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 </w:t>
      </w:r>
    </w:p>
    <w:p>
      <w:pPr>
        <w:pStyle w:val="TextBody"/>
        <w:bidi w:val="0"/>
        <w:spacing w:lineRule="auto" w:line="288" w:before="0" w:after="0"/>
        <w:jc w:val="center"/>
        <w:rPr/>
      </w:pPr>
      <w:r>
        <w:rPr>
          <w:rFonts w:ascii="Times New Roman;serif" w:hAnsi="Times New Roman;serif"/>
          <w:b/>
          <w:color w:val="000000"/>
          <w:sz w:val="28"/>
        </w:rPr>
        <w:t>FORM 10-Q</w:t>
      </w:r>
      <w:r>
        <w:rPr>
          <w:color w:val="000000"/>
        </w:rPr>
        <w:t xml:space="preserve">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June 30, 2026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val="false"/>
          <w:color w:val="000000"/>
          <w:sz w:val="20"/>
        </w:rPr>
        <w:t xml:space="preserve">For the transition period from </w:t>
      </w:r>
      <w:r>
        <w:rPr>
          <w:color w:val="000000"/>
          <w:u w:val="single"/>
        </w:rPr>
        <w:t>                </w:t>
      </w:r>
      <w:r>
        <w:rPr>
          <w:color w:val="000000"/>
        </w:rPr>
        <w:t xml:space="preserve"> </w:t>
      </w:r>
      <w:r>
        <w:rPr>
          <w:rFonts w:ascii="Times New Roman;serif" w:hAnsi="Times New Roman;serif"/>
          <w:b w:val="false"/>
          <w:color w:val="000000"/>
          <w:sz w:val="20"/>
        </w:rPr>
        <w:t xml:space="preserve">to </w:t>
      </w:r>
      <w:r>
        <w:rPr>
          <w:color w:val="000000"/>
          <w:u w:val="single"/>
        </w:rPr>
        <w:t>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000-23593  </w:t>
      </w:r>
    </w:p>
    <w:p>
      <w:pPr>
        <w:pStyle w:val="TextBody"/>
        <w:bidi w:val="0"/>
        <w:spacing w:lineRule="auto" w:line="288" w:before="60" w:after="283"/>
        <w:jc w:val="center"/>
        <w:rPr>
          <w:rFonts w:ascii="Times New Roman;serif" w:hAnsi="Times New Roman;serif"/>
          <w:b/>
          <w:color w:val="000000"/>
          <w:sz w:val="44"/>
        </w:rPr>
      </w:pPr>
      <w:r>
        <w:rPr>
          <w:rFonts w:ascii="Times New Roman;serif" w:hAnsi="Times New Roman;serif"/>
          <w:b/>
          <w:color w:val="000000"/>
          <w:sz w:val="44"/>
        </w:rPr>
        <w:t xml:space="preserve">VERISIGN,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4736" w:type="dxa"/>
        <w:jc w:val="left"/>
        <w:tblInd w:w="0" w:type="dxa"/>
        <w:tblLayout w:type="fixed"/>
        <w:tblCellMar>
          <w:top w:w="28" w:type="dxa"/>
          <w:left w:w="28" w:type="dxa"/>
          <w:bottom w:w="28" w:type="dxa"/>
          <w:right w:w="28" w:type="dxa"/>
        </w:tblCellMar>
      </w:tblPr>
      <w:tblGrid>
        <w:gridCol w:w="539"/>
        <w:gridCol w:w="473"/>
        <w:gridCol w:w="473"/>
        <w:gridCol w:w="473"/>
        <w:gridCol w:w="473"/>
        <w:gridCol w:w="494"/>
        <w:gridCol w:w="109"/>
        <w:gridCol w:w="109"/>
        <w:gridCol w:w="109"/>
        <w:gridCol w:w="433"/>
        <w:gridCol w:w="433"/>
        <w:gridCol w:w="618"/>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94-3221585</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12061 Bluemont Way,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Reston,</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20190</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(703) 948-3200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233" w:type="dxa"/>
        <w:jc w:val="center"/>
        <w:tblInd w:w="0" w:type="dxa"/>
        <w:tblLayout w:type="fixed"/>
        <w:tblCellMar>
          <w:top w:w="28" w:type="dxa"/>
          <w:left w:w="28" w:type="dxa"/>
          <w:bottom w:w="28" w:type="dxa"/>
          <w:right w:w="28" w:type="dxa"/>
        </w:tblCellMar>
      </w:tblPr>
      <w:tblGrid>
        <w:gridCol w:w="1155"/>
        <w:gridCol w:w="1017"/>
        <w:gridCol w:w="1023"/>
        <w:gridCol w:w="519"/>
        <w:gridCol w:w="519"/>
        <w:gridCol w:w="521"/>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VRSN</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0"/>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6895" w:type="dxa"/>
        <w:jc w:val="left"/>
        <w:tblInd w:w="0" w:type="dxa"/>
        <w:tblLayout w:type="fixed"/>
        <w:tblCellMar>
          <w:top w:w="28" w:type="dxa"/>
          <w:left w:w="28" w:type="dxa"/>
          <w:bottom w:w="28" w:type="dxa"/>
          <w:right w:w="28" w:type="dxa"/>
        </w:tblCellMar>
      </w:tblPr>
      <w:tblGrid>
        <w:gridCol w:w="1287"/>
        <w:gridCol w:w="1135"/>
        <w:gridCol w:w="1147"/>
        <w:gridCol w:w="109"/>
        <w:gridCol w:w="109"/>
        <w:gridCol w:w="109"/>
        <w:gridCol w:w="876"/>
        <w:gridCol w:w="876"/>
        <w:gridCol w:w="1247"/>
      </w:tblGrid>
      <w:tr>
        <w:trPr/>
        <w:tc>
          <w:tcPr>
            <w:tcW w:w="12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Shares Outstanding as of July 17, 2026</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90.3 million</w:t>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3"/>
        <w:gridCol w:w="258"/>
        <w:gridCol w:w="260"/>
        <w:gridCol w:w="2958"/>
        <w:gridCol w:w="2958"/>
        <w:gridCol w:w="2965"/>
        <w:gridCol w:w="149"/>
        <w:gridCol w:w="149"/>
        <w:gridCol w:w="21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8ed96297cd40b09fc505adb3b2e2fe_10">
              <w:r>
                <w:rPr>
                  <w:rStyle w:val="InternetLink"/>
                  <w:rFonts w:ascii="Times New Roman;serif" w:hAnsi="Times New Roman;serif"/>
                  <w:b/>
                  <w:color w:val="0000FF"/>
                  <w:sz w:val="20"/>
                  <w:u w:val="single"/>
                </w:rPr>
                <w:t>PART I—FINANCIAL INFORMATION</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10">
              <w:r>
                <w:rPr>
                  <w:rStyle w:val="InternetLink"/>
                  <w:rFonts w:ascii="Times New Roman;serif" w:hAnsi="Times New Roman;serif"/>
                  <w:b w:val="false"/>
                  <w:color w:val="0000FF"/>
                  <w:sz w:val="20"/>
                  <w:u w:val="single"/>
                </w:rPr>
                <w:t>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8ed96297cd40b09fc505adb3b2e2fe_10">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13">
              <w:r>
                <w:rPr>
                  <w:rStyle w:val="InternetLink"/>
                  <w:rFonts w:ascii="Times New Roman;serif" w:hAnsi="Times New Roman;serif"/>
                  <w:b w:val="false"/>
                  <w:color w:val="000080"/>
                  <w:sz w:val="20"/>
                  <w:u w:val="single"/>
                </w:rPr>
                <w:t xml:space="preserve">Condensed Consolidated Balance Sheets as of </w:t>
              </w:r>
            </w:hyperlink>
            <w:hyperlink w:anchor="if78ed96297cd40b09fc505adb3b2e2fe_13">
              <w:r>
                <w:rPr>
                  <w:rStyle w:val="InternetLink"/>
                  <w:rFonts w:ascii="Times New Roman;serif" w:hAnsi="Times New Roman;serif"/>
                  <w:b w:val="false"/>
                  <w:color w:val="000080"/>
                  <w:sz w:val="20"/>
                  <w:u w:val="single"/>
                </w:rPr>
                <w:t>June 30</w:t>
              </w:r>
            </w:hyperlink>
            <w:hyperlink w:anchor="if78ed96297cd40b09fc505adb3b2e2fe_13">
              <w:r>
                <w:rPr>
                  <w:rStyle w:val="InternetLink"/>
                  <w:rFonts w:ascii="Times New Roman;serif" w:hAnsi="Times New Roman;serif"/>
                  <w:b w:val="false"/>
                  <w:color w:val="000080"/>
                  <w:sz w:val="20"/>
                  <w:u w:val="single"/>
                </w:rPr>
                <w:t>, 2026 and December 31,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8ed96297cd40b09fc505adb3b2e2fe_13">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19">
              <w:r>
                <w:rPr>
                  <w:rStyle w:val="InternetLink"/>
                  <w:rFonts w:ascii="Times New Roman;serif" w:hAnsi="Times New Roman;serif"/>
                  <w:b w:val="false"/>
                  <w:color w:val="000080"/>
                  <w:sz w:val="20"/>
                  <w:u w:val="single"/>
                </w:rPr>
                <w:t>Condensed Consolidated Statements of Comprehensive Income for the Three</w:t>
              </w:r>
            </w:hyperlink>
            <w:hyperlink w:anchor="if78ed96297cd40b09fc505adb3b2e2fe_19">
              <w:r>
                <w:rPr>
                  <w:rStyle w:val="InternetLink"/>
                  <w:rFonts w:ascii="Times New Roman;serif" w:hAnsi="Times New Roman;serif"/>
                  <w:b w:val="false"/>
                  <w:color w:val="000080"/>
                  <w:sz w:val="20"/>
                  <w:u w:val="single"/>
                </w:rPr>
                <w:t xml:space="preserve"> and Six</w:t>
              </w:r>
            </w:hyperlink>
            <w:hyperlink w:anchor="if78ed96297cd40b09fc505adb3b2e2fe_19">
              <w:r>
                <w:rPr>
                  <w:rStyle w:val="InternetLink"/>
                  <w:rFonts w:ascii="Times New Roman;serif" w:hAnsi="Times New Roman;serif"/>
                  <w:b w:val="false"/>
                  <w:color w:val="000080"/>
                  <w:sz w:val="20"/>
                  <w:u w:val="single"/>
                </w:rPr>
                <w:t xml:space="preserve"> Months Ended </w:t>
              </w:r>
            </w:hyperlink>
            <w:hyperlink w:anchor="if78ed96297cd40b09fc505adb3b2e2fe_19">
              <w:r>
                <w:rPr>
                  <w:rStyle w:val="InternetLink"/>
                  <w:rFonts w:ascii="Times New Roman;serif" w:hAnsi="Times New Roman;serif"/>
                  <w:b w:val="false"/>
                  <w:color w:val="000080"/>
                  <w:sz w:val="20"/>
                  <w:u w:val="single"/>
                </w:rPr>
                <w:t>June</w:t>
              </w:r>
            </w:hyperlink>
            <w:hyperlink w:anchor="if78ed96297cd40b09fc505adb3b2e2fe_19">
              <w:r>
                <w:rPr>
                  <w:rStyle w:val="InternetLink"/>
                  <w:rFonts w:ascii="Times New Roman;serif" w:hAnsi="Times New Roman;serif"/>
                  <w:b w:val="false"/>
                  <w:color w:val="000080"/>
                  <w:sz w:val="20"/>
                  <w:u w:val="single"/>
                </w:rPr>
                <w:t xml:space="preserve"> 3</w:t>
              </w:r>
            </w:hyperlink>
            <w:hyperlink w:anchor="if78ed96297cd40b09fc505adb3b2e2fe_19">
              <w:r>
                <w:rPr>
                  <w:rStyle w:val="InternetLink"/>
                  <w:rFonts w:ascii="Times New Roman;serif" w:hAnsi="Times New Roman;serif"/>
                  <w:b w:val="false"/>
                  <w:color w:val="000080"/>
                  <w:sz w:val="20"/>
                  <w:u w:val="single"/>
                </w:rPr>
                <w:t>0</w:t>
              </w:r>
            </w:hyperlink>
            <w:hyperlink w:anchor="if78ed96297cd40b09fc505adb3b2e2fe_19">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8ed96297cd40b09fc505adb3b2e2fe_19">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22">
              <w:r>
                <w:rPr>
                  <w:rStyle w:val="InternetLink"/>
                  <w:rFonts w:ascii="Times New Roman;serif" w:hAnsi="Times New Roman;serif"/>
                  <w:b w:val="false"/>
                  <w:color w:val="000080"/>
                  <w:sz w:val="20"/>
                  <w:u w:val="single"/>
                </w:rPr>
                <w:t xml:space="preserve">Condensed Consolidated Statements of Stockholders’ Deficit for the Three </w:t>
              </w:r>
            </w:hyperlink>
            <w:hyperlink w:anchor="if78ed96297cd40b09fc505adb3b2e2fe_22">
              <w:r>
                <w:rPr>
                  <w:rStyle w:val="InternetLink"/>
                  <w:rFonts w:ascii="Times New Roman;serif" w:hAnsi="Times New Roman;serif"/>
                  <w:b w:val="false"/>
                  <w:color w:val="000080"/>
                  <w:sz w:val="20"/>
                  <w:u w:val="single"/>
                </w:rPr>
                <w:t xml:space="preserve">and Six </w:t>
              </w:r>
            </w:hyperlink>
            <w:hyperlink w:anchor="if78ed96297cd40b09fc505adb3b2e2fe_22">
              <w:r>
                <w:rPr>
                  <w:rStyle w:val="InternetLink"/>
                  <w:rFonts w:ascii="Times New Roman;serif" w:hAnsi="Times New Roman;serif"/>
                  <w:b w:val="false"/>
                  <w:color w:val="000080"/>
                  <w:sz w:val="20"/>
                  <w:u w:val="single"/>
                </w:rPr>
                <w:t xml:space="preserve">Months Ended </w:t>
              </w:r>
            </w:hyperlink>
            <w:hyperlink w:anchor="if78ed96297cd40b09fc505adb3b2e2fe_22">
              <w:r>
                <w:rPr>
                  <w:rStyle w:val="InternetLink"/>
                  <w:rFonts w:ascii="Times New Roman;serif" w:hAnsi="Times New Roman;serif"/>
                  <w:b w:val="false"/>
                  <w:color w:val="000080"/>
                  <w:sz w:val="20"/>
                  <w:u w:val="single"/>
                </w:rPr>
                <w:t>June</w:t>
              </w:r>
            </w:hyperlink>
            <w:hyperlink w:anchor="if78ed96297cd40b09fc505adb3b2e2fe_22">
              <w:r>
                <w:rPr>
                  <w:rStyle w:val="InternetLink"/>
                  <w:rFonts w:ascii="Times New Roman;serif" w:hAnsi="Times New Roman;serif"/>
                  <w:b w:val="false"/>
                  <w:color w:val="000080"/>
                  <w:sz w:val="20"/>
                  <w:u w:val="single"/>
                </w:rPr>
                <w:t xml:space="preserve"> 3</w:t>
              </w:r>
            </w:hyperlink>
            <w:hyperlink w:anchor="if78ed96297cd40b09fc505adb3b2e2fe_22">
              <w:r>
                <w:rPr>
                  <w:rStyle w:val="InternetLink"/>
                  <w:rFonts w:ascii="Times New Roman;serif" w:hAnsi="Times New Roman;serif"/>
                  <w:b w:val="false"/>
                  <w:color w:val="000080"/>
                  <w:sz w:val="20"/>
                  <w:u w:val="single"/>
                </w:rPr>
                <w:t>0</w:t>
              </w:r>
            </w:hyperlink>
            <w:hyperlink w:anchor="if78ed96297cd40b09fc505adb3b2e2fe_22">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8ed96297cd40b09fc505adb3b2e2fe_22">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25">
              <w:r>
                <w:rPr>
                  <w:rStyle w:val="InternetLink"/>
                  <w:rFonts w:ascii="Times New Roman;serif" w:hAnsi="Times New Roman;serif"/>
                  <w:b w:val="false"/>
                  <w:color w:val="000080"/>
                  <w:sz w:val="20"/>
                  <w:u w:val="single"/>
                </w:rPr>
                <w:t xml:space="preserve">Condensed Consolidated Statements of Cash Flows for the </w:t>
              </w:r>
            </w:hyperlink>
            <w:hyperlink w:anchor="if78ed96297cd40b09fc505adb3b2e2fe_25">
              <w:r>
                <w:rPr>
                  <w:rStyle w:val="InternetLink"/>
                  <w:rFonts w:ascii="Times New Roman;serif" w:hAnsi="Times New Roman;serif"/>
                  <w:b w:val="false"/>
                  <w:color w:val="000080"/>
                  <w:sz w:val="20"/>
                  <w:u w:val="single"/>
                </w:rPr>
                <w:t>Six</w:t>
              </w:r>
            </w:hyperlink>
            <w:hyperlink w:anchor="if78ed96297cd40b09fc505adb3b2e2fe_25">
              <w:r>
                <w:rPr>
                  <w:rStyle w:val="InternetLink"/>
                  <w:rFonts w:ascii="Times New Roman;serif" w:hAnsi="Times New Roman;serif"/>
                  <w:b w:val="false"/>
                  <w:color w:val="000080"/>
                  <w:sz w:val="20"/>
                  <w:u w:val="single"/>
                </w:rPr>
                <w:t xml:space="preserve"> Months Ended </w:t>
              </w:r>
            </w:hyperlink>
            <w:hyperlink w:anchor="if78ed96297cd40b09fc505adb3b2e2fe_25">
              <w:r>
                <w:rPr>
                  <w:rStyle w:val="InternetLink"/>
                  <w:rFonts w:ascii="Times New Roman;serif" w:hAnsi="Times New Roman;serif"/>
                  <w:b w:val="false"/>
                  <w:color w:val="000080"/>
                  <w:sz w:val="20"/>
                  <w:u w:val="single"/>
                </w:rPr>
                <w:t>June 30</w:t>
              </w:r>
            </w:hyperlink>
            <w:hyperlink w:anchor="if78ed96297cd40b09fc505adb3b2e2fe_25">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8ed96297cd40b09fc505adb3b2e2fe_25">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28">
              <w:r>
                <w:rPr>
                  <w:rStyle w:val="InternetLink"/>
                  <w:rFonts w:ascii="Times New Roman;serif" w:hAnsi="Times New Roman;serif"/>
                  <w:b w:val="false"/>
                  <w:color w:val="0000FF"/>
                  <w:sz w:val="20"/>
                  <w:u w:val="single"/>
                </w:rPr>
                <w:t>Notes to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8ed96297cd40b09fc505adb3b2e2fe_28">
              <w:r>
                <w:rPr>
                  <w:rStyle w:val="InternetLink"/>
                  <w:rFonts w:ascii="Times New Roman;serif" w:hAnsi="Times New Roman;serif"/>
                  <w:b w:val="false"/>
                  <w:color w:val="0000FF"/>
                  <w:sz w:val="20"/>
                  <w:u w:val="single"/>
                </w:rPr>
                <w:t>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61">
              <w:r>
                <w:rPr>
                  <w:rStyle w:val="InternetLink"/>
                  <w:rFonts w:ascii="Times New Roman;serif" w:hAnsi="Times New Roman;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6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8ed96297cd40b09fc505adb3b2e2fe_61">
              <w:r>
                <w:rPr>
                  <w:rStyle w:val="InternetLink"/>
                  <w:rFonts w:ascii="Times New Roman;serif" w:hAnsi="Times New Roman;serif"/>
                  <w:b w:val="false"/>
                  <w:color w:val="0000FF"/>
                  <w:sz w:val="20"/>
                  <w:u w:val="single"/>
                </w:rPr>
                <w:t>13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73">
              <w:r>
                <w:rPr>
                  <w:rStyle w:val="InternetLink"/>
                  <w:rFonts w:ascii="Times New Roman;serif" w:hAnsi="Times New Roman;serif"/>
                  <w:b w:val="false"/>
                  <w:color w:val="0000FF"/>
                  <w:sz w:val="20"/>
                  <w:u w:val="single"/>
                </w:rPr>
                <w:t>Item 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73">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8ed96297cd40b09fc505adb3b2e2fe_73">
              <w:r>
                <w:rPr>
                  <w:rStyle w:val="InternetLink"/>
                  <w:rFonts w:ascii="Times New Roman;serif" w:hAnsi="Times New Roman;serif"/>
                  <w:b w:val="false"/>
                  <w:color w:val="0000FF"/>
                  <w:sz w:val="20"/>
                  <w:u w:val="single"/>
                </w:rPr>
                <w:t>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76">
              <w:r>
                <w:rPr>
                  <w:rStyle w:val="InternetLink"/>
                  <w:rFonts w:ascii="Times New Roman;serif" w:hAnsi="Times New Roman;serif"/>
                  <w:b w:val="false"/>
                  <w:color w:val="0000FF"/>
                  <w:sz w:val="20"/>
                  <w:u w:val="single"/>
                </w:rPr>
                <w:t>Item 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76">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8ed96297cd40b09fc505adb3b2e2fe_76">
              <w:r>
                <w:rPr>
                  <w:rStyle w:val="InternetLink"/>
                  <w:rFonts w:ascii="Times New Roman;serif" w:hAnsi="Times New Roman;serif"/>
                  <w:b w:val="false"/>
                  <w:color w:val="0000FF"/>
                  <w:sz w:val="20"/>
                  <w:u w:val="single"/>
                </w:rPr>
                <w:t>19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8ed96297cd40b09fc505adb3b2e2fe_79">
              <w:r>
                <w:rPr>
                  <w:rStyle w:val="InternetLink"/>
                  <w:rFonts w:ascii="Times New Roman;serif" w:hAnsi="Times New Roman;serif"/>
                  <w:b/>
                  <w:color w:val="0000FF"/>
                  <w:sz w:val="20"/>
                  <w:u w:val="single"/>
                </w:rPr>
                <w:t>PART II—OTHER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82">
              <w:r>
                <w:rPr>
                  <w:rStyle w:val="InternetLink"/>
                  <w:rFonts w:ascii="Times New Roman;serif" w:hAnsi="Times New Roman;serif"/>
                  <w:b w:val="false"/>
                  <w:color w:val="0000FF"/>
                  <w:sz w:val="20"/>
                  <w:u w:val="single"/>
                </w:rPr>
                <w:t>Item 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82">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8ed96297cd40b09fc505adb3b2e2fe_82">
              <w:r>
                <w:rPr>
                  <w:rStyle w:val="InternetLink"/>
                  <w:rFonts w:ascii="Times New Roman;serif" w:hAnsi="Times New Roman;serif"/>
                  <w:b w:val="false"/>
                  <w:color w:val="0000FF"/>
                  <w:sz w:val="20"/>
                  <w:u w:val="single"/>
                </w:rPr>
                <w:t>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85">
              <w:r>
                <w:rPr>
                  <w:rStyle w:val="InternetLink"/>
                  <w:rFonts w:ascii="Times New Roman;serif" w:hAnsi="Times New Roman;serif"/>
                  <w:b w:val="false"/>
                  <w:color w:val="0000FF"/>
                  <w:sz w:val="20"/>
                  <w:u w:val="single"/>
                </w:rPr>
                <w:t>Item 1A.</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85">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8ed96297cd40b09fc505adb3b2e2fe_85">
              <w:r>
                <w:rPr>
                  <w:rStyle w:val="InternetLink"/>
                  <w:rFonts w:ascii="Times New Roman;serif" w:hAnsi="Times New Roman;serif"/>
                  <w:b w:val="false"/>
                  <w:color w:val="0000FF"/>
                  <w:sz w:val="20"/>
                  <w:u w:val="single"/>
                </w:rPr>
                <w:t>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88">
              <w:r>
                <w:rPr>
                  <w:rStyle w:val="InternetLink"/>
                  <w:rFonts w:ascii="Times New Roman;serif" w:hAnsi="Times New Roman;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88">
              <w:r>
                <w:rPr>
                  <w:rStyle w:val="InternetLink"/>
                  <w:rFonts w:ascii="Times New Roman;serif" w:hAnsi="Times New Roman;serif"/>
                  <w:b w:val="false"/>
                  <w:color w:val="0000FF"/>
                  <w:sz w:val="20"/>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8ed96297cd40b09fc505adb3b2e2fe_88">
              <w:r>
                <w:rPr>
                  <w:rStyle w:val="InternetLink"/>
                  <w:rFonts w:ascii="Times New Roman;serif" w:hAnsi="Times New Roman;serif"/>
                  <w:b w:val="false"/>
                  <w:color w:val="0000FF"/>
                  <w:sz w:val="20"/>
                  <w:u w:val="single"/>
                </w:rPr>
                <w:t>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91">
              <w:r>
                <w:rPr>
                  <w:rStyle w:val="InternetLink"/>
                  <w:rFonts w:ascii="Times New Roman;serif" w:hAnsi="Times New Roman;serif"/>
                  <w:b w:val="false"/>
                  <w:color w:val="0000FF"/>
                  <w:sz w:val="20"/>
                  <w:u w:val="single"/>
                </w:rPr>
                <w:t>Item 5.</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91">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8ed96297cd40b09fc505adb3b2e2fe_91">
              <w:r>
                <w:rPr>
                  <w:rStyle w:val="InternetLink"/>
                  <w:rFonts w:ascii="Times New Roman;serif" w:hAnsi="Times New Roman;serif"/>
                  <w:b w:val="false"/>
                  <w:color w:val="0000FF"/>
                  <w:sz w:val="20"/>
                  <w:u w:val="single"/>
                </w:rPr>
                <w:t>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94">
              <w:r>
                <w:rPr>
                  <w:rStyle w:val="InternetLink"/>
                  <w:rFonts w:ascii="Times New Roman;serif" w:hAnsi="Times New Roman;serif"/>
                  <w:b w:val="false"/>
                  <w:color w:val="0000FF"/>
                  <w:sz w:val="20"/>
                  <w:u w:val="single"/>
                </w:rPr>
                <w:t>Item 6.</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94">
              <w:r>
                <w:rPr>
                  <w:rStyle w:val="InternetLink"/>
                  <w:rFonts w:ascii="Times New Roman;serif" w:hAnsi="Times New Roman;serif"/>
                  <w:b w:val="false"/>
                  <w:color w:val="0000FF"/>
                  <w:sz w:val="20"/>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8ed96297cd40b09fc505adb3b2e2fe_94">
              <w:r>
                <w:rPr>
                  <w:rStyle w:val="InternetLink"/>
                  <w:rFonts w:ascii="Times New Roman;serif" w:hAnsi="Times New Roman;serif"/>
                  <w:b w:val="false"/>
                  <w:color w:val="0000FF"/>
                  <w:sz w:val="20"/>
                  <w:u w:val="single"/>
                </w:rPr>
                <w:t>21</w:t>
              </w:r>
            </w:hyperlink>
          </w:p>
        </w:tc>
      </w:tr>
      <w:tr>
        <w:trPr/>
        <w:tc>
          <w:tcPr>
            <w:tcW w:w="9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78ed96297cd40b09fc505adb3b2e2fe_97">
              <w:r>
                <w:rPr>
                  <w:rStyle w:val="InternetLink"/>
                  <w:rFonts w:ascii="Times New Roman;serif" w:hAnsi="Times New Roman;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8ed96297cd40b09fc505adb3b2e2fe_97">
              <w:r>
                <w:rPr>
                  <w:rStyle w:val="InternetLink"/>
                  <w:rFonts w:ascii="Times New Roman;serif" w:hAnsi="Times New Roman;serif"/>
                  <w:b w:val="false"/>
                  <w:color w:val="0000FF"/>
                  <w:sz w:val="20"/>
                  <w:u w:val="single"/>
                </w:rPr>
                <w:t>22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079"/>
        <w:gridCol w:w="2337"/>
        <w:gridCol w:w="2241"/>
        <w:gridCol w:w="211"/>
        <w:gridCol w:w="766"/>
        <w:gridCol w:w="109"/>
        <w:gridCol w:w="109"/>
        <w:gridCol w:w="109"/>
        <w:gridCol w:w="109"/>
        <w:gridCol w:w="211"/>
        <w:gridCol w:w="767"/>
        <w:gridCol w:w="157"/>
      </w:tblGrid>
      <w:tr>
        <w:trPr/>
        <w:tc>
          <w:tcPr>
            <w:tcW w:w="3079"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to acquire 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LIABILITIES AND STOCKHOLDERS’ DEFICIT</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senior notes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senior notes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tax and 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stock—par value $.001 per share; Authorized shares: 5.0; Issued and outstanding shares: none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and additional paid-in capital—par value $.001 per share; Authorized shares: 1,000; Issued shares: 355.9 at June 30, 2026 and 355.6 at December 31, 2025; Outstanding shares: 90.4 at June 30, 2026 and 91.9 at December 31,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8357" w:type="dxa"/>
        <w:jc w:val="left"/>
        <w:tblInd w:w="0" w:type="dxa"/>
        <w:tblLayout w:type="fixed"/>
        <w:tblCellMar>
          <w:top w:w="28" w:type="dxa"/>
          <w:left w:w="28" w:type="dxa"/>
          <w:bottom w:w="28" w:type="dxa"/>
          <w:right w:w="28" w:type="dxa"/>
        </w:tblCellMar>
      </w:tblPr>
      <w:tblGrid>
        <w:gridCol w:w="1277"/>
        <w:gridCol w:w="1119"/>
        <w:gridCol w:w="1128"/>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net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earnings per share</w:t>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644" w:type="dxa"/>
        <w:jc w:val="center"/>
        <w:tblInd w:w="0" w:type="dxa"/>
        <w:tblLayout w:type="fixed"/>
        <w:tblCellMar>
          <w:top w:w="28" w:type="dxa"/>
          <w:left w:w="28" w:type="dxa"/>
          <w:bottom w:w="28" w:type="dxa"/>
          <w:right w:w="28" w:type="dxa"/>
        </w:tblCellMar>
      </w:tblPr>
      <w:tblGrid>
        <w:gridCol w:w="1438"/>
        <w:gridCol w:w="1265"/>
        <w:gridCol w:w="1271"/>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143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and additional paid-in capital</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cash dividends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plans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on repurchase of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 end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per common share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8963" w:type="dxa"/>
        <w:jc w:val="left"/>
        <w:tblInd w:w="0" w:type="dxa"/>
        <w:tblLayout w:type="fixed"/>
        <w:tblCellMar>
          <w:top w:w="28" w:type="dxa"/>
          <w:left w:w="28" w:type="dxa"/>
          <w:bottom w:w="28" w:type="dxa"/>
          <w:right w:w="28" w:type="dxa"/>
        </w:tblCellMar>
      </w:tblPr>
      <w:tblGrid>
        <w:gridCol w:w="2431"/>
        <w:gridCol w:w="2141"/>
        <w:gridCol w:w="2147"/>
        <w:gridCol w:w="211"/>
        <w:gridCol w:w="616"/>
        <w:gridCol w:w="109"/>
        <w:gridCol w:w="109"/>
        <w:gridCol w:w="109"/>
        <w:gridCol w:w="109"/>
        <w:gridCol w:w="211"/>
        <w:gridCol w:w="61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sales of 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senior note issuance, net of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dividends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excise tax on repurchase of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disclosures: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Basis of Presentation</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Interim Financial Statements</w:t>
      </w:r>
    </w:p>
    <w:p>
      <w:pPr>
        <w:pStyle w:val="TextBody"/>
        <w:bidi w:val="0"/>
        <w:spacing w:lineRule="auto" w:line="288" w:before="90" w:after="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by VeriSign, Inc. (“Verisign” or the “Company”) in accordance with the instructions to Form 10-Q pursuant to the rules and regulations of the Securities and Exchange Commission (“SEC”) and, therefore, do not include all information and notes normally provided in audited financial statements. In the opinion of management, all adjustments (consisting of normal recurring accruals and other adjustments) considered necessary for a fair presentation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Verisign’s Annual Report on Form 10-K for the year ended December 31, 2025 (the “2025 Form 10-K”) filed with the SEC on February 5, 2026.</w:t>
      </w:r>
    </w:p>
    <w:p>
      <w:pPr>
        <w:pStyle w:val="TextBody"/>
        <w:bidi w:val="0"/>
        <w:spacing w:lineRule="auto" w:line="288" w:before="90" w:after="6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to prior period amounts to conform to current period presentation. Such reclassifications have no effect on net income as previously reported.</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 Accounting Pronouncements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In November 2024, the Financial Accounting Standards Board (“FASB”) issued Accounting Standards Update (“ASU”) No.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additional disclosure of certain costs and expenses within the notes to the financial statements. This guidance will be effective for the Company’s 2027 Form 10-K. The Company does not expect the adoption of this guidance to have a material impact on the Company’s consolidated financial statements.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which clarifies and modernizes certain aspects of the accounting for and disclosure of internal-use software costs. The ASU does not change what types of costs are capitalized or when internal-use software cost capitalization ceases. This guidance will be effective for the Company in 2028. The Company does not expect the adoption of this guidance to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Financial Instruments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Cash, Cash Equivalents, and Marketable Securities</w:t>
      </w:r>
    </w:p>
    <w:p>
      <w:pPr>
        <w:pStyle w:val="TextBody"/>
        <w:bidi w:val="0"/>
        <w:spacing w:lineRule="auto" w:line="288" w:before="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cash, cash equivalents, and marketable securities and the fair value categorization of the financial instruments measured at fair value on a recurring basis:</w:t>
      </w:r>
    </w:p>
    <w:tbl>
      <w:tblPr>
        <w:tblW w:w="6887" w:type="dxa"/>
        <w:jc w:val="left"/>
        <w:tblInd w:w="0" w:type="dxa"/>
        <w:tblLayout w:type="fixed"/>
        <w:tblCellMar>
          <w:top w:w="28" w:type="dxa"/>
          <w:left w:w="28" w:type="dxa"/>
          <w:bottom w:w="28" w:type="dxa"/>
          <w:right w:w="28" w:type="dxa"/>
        </w:tblCellMar>
      </w:tblPr>
      <w:tblGrid>
        <w:gridCol w:w="1561"/>
        <w:gridCol w:w="1373"/>
        <w:gridCol w:w="1400"/>
        <w:gridCol w:w="211"/>
        <w:gridCol w:w="766"/>
        <w:gridCol w:w="109"/>
        <w:gridCol w:w="109"/>
        <w:gridCol w:w="109"/>
        <w:gridCol w:w="109"/>
        <w:gridCol w:w="245"/>
        <w:gridCol w:w="716"/>
        <w:gridCol w:w="179"/>
      </w:tblGrid>
      <w:tr>
        <w:trPr/>
        <w:tc>
          <w:tcPr>
            <w:tcW w:w="156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 (Level 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issued by the U.S. Treasury (Level 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long-term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gross and net unrealized gains and losses included in the fair value of the debt securities were not significant for the periods presented. All of the debt securities held as of June 30, 2026 are scheduled to mature in less than one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investments in money market funds approximates their face value. Such instruments are included in Cash and cash equivalents. The fair value of the debt securities consisting of U.S. Treasury bills is based on their quoted market prices. Debt securities purchased with original maturities in excess of three months are included in Marketable securities. The fair value of the Company’s foreign currency forward contracts is based on foreign currency rates quoted by banks or foreign currency dealers and other public data sources. The fair value of all of these financial instruments is classified as Level 1 in the fair value hierarchy.</w:t>
      </w:r>
    </w:p>
    <w:p>
      <w:pPr>
        <w:pStyle w:val="TextBody"/>
        <w:bidi w:val="0"/>
        <w:spacing w:lineRule="auto" w:line="288" w:before="12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other financial instruments include cash, accounts receivable, restricted cash, and accounts payable whose carrying values approximated their face values. The aggregate fair value of the Company’s current and long-term senior notes is $2.28 billion and $1.75 billion as of June 30, 2026 and December 31, 2025, respectively. Refer to Note 4, “Debt,” for details regarding the senior notes issued in June 2026. The fair values of these debt instruments are based on available market information from public data sources and are classified as Level 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Note 3. Selected Balance Sheet Items</w:t>
      </w:r>
    </w:p>
    <w:p>
      <w:pPr>
        <w:pStyle w:val="TextBody"/>
        <w:bidi w:val="0"/>
        <w:spacing w:lineRule="auto" w:line="288" w:before="120" w:after="6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Other Current Assets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Other current assets consist of the following:</w:t>
      </w:r>
      <w:r>
        <w:rPr>
          <w:color w:val="000000"/>
        </w:rPr>
        <w:t> </w:t>
      </w:r>
    </w:p>
    <w:tbl>
      <w:tblPr>
        <w:tblW w:w="4442" w:type="dxa"/>
        <w:jc w:val="left"/>
        <w:tblInd w:w="0" w:type="dxa"/>
        <w:tblLayout w:type="fixed"/>
        <w:tblCellMar>
          <w:top w:w="28" w:type="dxa"/>
          <w:left w:w="28" w:type="dxa"/>
          <w:bottom w:w="28" w:type="dxa"/>
          <w:right w:w="28" w:type="dxa"/>
        </w:tblCellMar>
      </w:tblPr>
      <w:tblGrid>
        <w:gridCol w:w="777"/>
        <w:gridCol w:w="681"/>
        <w:gridCol w:w="687"/>
        <w:gridCol w:w="211"/>
        <w:gridCol w:w="511"/>
        <w:gridCol w:w="109"/>
        <w:gridCol w:w="109"/>
        <w:gridCol w:w="109"/>
        <w:gridCol w:w="109"/>
        <w:gridCol w:w="274"/>
        <w:gridCol w:w="665"/>
        <w:gridCol w:w="200"/>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registry fees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Property and Equipment, Net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Certain assets included in Property and equipment, net were classified as held for sale as of June 30, 2026 and December 31, 2025. These assets are not material.</w:t>
      </w:r>
    </w:p>
    <w:p>
      <w:pPr>
        <w:pStyle w:val="TextBody"/>
        <w:bidi w:val="0"/>
        <w:spacing w:lineRule="auto" w:line="288" w:before="120" w:after="6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Other Long-Term Assets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Other long-term assets consist of the following:</w:t>
      </w:r>
      <w:r>
        <w:rPr>
          <w:color w:val="000000"/>
        </w:rPr>
        <w:t> </w:t>
      </w:r>
    </w:p>
    <w:tbl>
      <w:tblPr>
        <w:tblW w:w="5101" w:type="dxa"/>
        <w:jc w:val="left"/>
        <w:tblInd w:w="0" w:type="dxa"/>
        <w:tblLayout w:type="fixed"/>
        <w:tblCellMar>
          <w:top w:w="28" w:type="dxa"/>
          <w:left w:w="28" w:type="dxa"/>
          <w:bottom w:w="28" w:type="dxa"/>
          <w:right w:w="28" w:type="dxa"/>
        </w:tblCellMar>
      </w:tblPr>
      <w:tblGrid>
        <w:gridCol w:w="1014"/>
        <w:gridCol w:w="893"/>
        <w:gridCol w:w="897"/>
        <w:gridCol w:w="211"/>
        <w:gridCol w:w="511"/>
        <w:gridCol w:w="109"/>
        <w:gridCol w:w="109"/>
        <w:gridCol w:w="109"/>
        <w:gridCol w:w="109"/>
        <w:gridCol w:w="274"/>
        <w:gridCol w:w="665"/>
        <w:gridCol w:w="200"/>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prepaid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prepaid registry fees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long-term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pPr>
      <w:r>
        <w:rPr>
          <w:rFonts w:ascii="Times New Roman;serif" w:hAnsi="Times New Roman;serif"/>
          <w:b w:val="false"/>
          <w:color w:val="000000"/>
          <w:sz w:val="20"/>
        </w:rPr>
        <w:t>The prepaid registry fees in the tables above primarily relate to the fees the Company pays to ICANN for each annual term of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domain name registrations and renewals which are deferred and amortized over the domain name registration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6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Accounts Payable and Accrued Liabilities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Accounts payable and accrued liabilities consist of the following:</w:t>
      </w:r>
      <w:r>
        <w:rPr>
          <w:color w:val="000000"/>
        </w:rPr>
        <w:t> </w:t>
      </w:r>
    </w:p>
    <w:tbl>
      <w:tblPr>
        <w:tblW w:w="6258" w:type="dxa"/>
        <w:jc w:val="left"/>
        <w:tblInd w:w="0" w:type="dxa"/>
        <w:tblLayout w:type="fixed"/>
        <w:tblCellMar>
          <w:top w:w="28" w:type="dxa"/>
          <w:left w:w="28" w:type="dxa"/>
          <w:bottom w:w="28" w:type="dxa"/>
          <w:right w:w="28" w:type="dxa"/>
        </w:tblCellMar>
      </w:tblPr>
      <w:tblGrid>
        <w:gridCol w:w="1397"/>
        <w:gridCol w:w="1227"/>
        <w:gridCol w:w="1231"/>
        <w:gridCol w:w="211"/>
        <w:gridCol w:w="616"/>
        <w:gridCol w:w="109"/>
        <w:gridCol w:w="109"/>
        <w:gridCol w:w="109"/>
        <w:gridCol w:w="109"/>
        <w:gridCol w:w="245"/>
        <w:gridCol w:w="716"/>
        <w:gridCol w:w="179"/>
      </w:tblGrid>
      <w:tr>
        <w:trPr/>
        <w:tc>
          <w:tcPr>
            <w:tcW w:w="13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incentives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registry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Customer deposits vary from period to period due to the timing of payments from certain large customers. Accrued employee compensation primarily consists of liabilities for employee leave, salaries, payroll taxes, employee contributions to the employee stock purchase plan, and incentive compensation. Accrued employee incentive compensation as of December 31, 2025 was paid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Debt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26, 2026, the Company issued $550.0 million of 5.10% senior unsecured notes due July 15, 2031 (“2026 Notes”). The 2026 Notes were issued at 99.961% of par value. The Company will pay interest on the notes semi-annually on January 15 and July 15, commencing on January 15, 2027. The total discount and issuance costs of $5.0 million are presented on the balance sheet as a reduction of the debt obligation and are being amortized to Interest expense over the 5-year term of the notes.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18, 2026, the Company issued an irrevocable redemption notice on its $550.0 million aggregate principal amount of outstanding 4.75% senior unsecured notes issued in 2017 (“2017 Notes”) that were scheduled to mature on July 15, 2027. As such, current and long-term senior notes as of June 30, 2026 reflect the classification of $549.3 million of the Company’s 2017 Notes, net of unamortized debt issuance costs, as current liabilities. On July 20, 2026, the Company used the net proceeds from the 2026 Notes and cash on hand to redeem all of its 2017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Stockholders’ Deficit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the Company’s common stock repurchases is as follows: </w:t>
      </w:r>
    </w:p>
    <w:tbl>
      <w:tblPr>
        <w:tblW w:w="10205" w:type="dxa"/>
        <w:jc w:val="center"/>
        <w:tblInd w:w="0" w:type="dxa"/>
        <w:tblLayout w:type="fixed"/>
        <w:tblCellMar>
          <w:top w:w="28" w:type="dxa"/>
          <w:left w:w="28" w:type="dxa"/>
          <w:bottom w:w="28" w:type="dxa"/>
          <w:right w:w="28" w:type="dxa"/>
        </w:tblCellMar>
      </w:tblPr>
      <w:tblGrid>
        <w:gridCol w:w="1174"/>
        <w:gridCol w:w="1005"/>
        <w:gridCol w:w="1011"/>
        <w:gridCol w:w="209"/>
        <w:gridCol w:w="206"/>
        <w:gridCol w:w="207"/>
        <w:gridCol w:w="109"/>
        <w:gridCol w:w="109"/>
        <w:gridCol w:w="109"/>
        <w:gridCol w:w="211"/>
        <w:gridCol w:w="616"/>
        <w:gridCol w:w="109"/>
        <w:gridCol w:w="109"/>
        <w:gridCol w:w="109"/>
        <w:gridCol w:w="109"/>
        <w:gridCol w:w="226"/>
        <w:gridCol w:w="774"/>
        <w:gridCol w:w="116"/>
        <w:gridCol w:w="109"/>
        <w:gridCol w:w="109"/>
        <w:gridCol w:w="109"/>
        <w:gridCol w:w="203"/>
        <w:gridCol w:w="203"/>
        <w:gridCol w:w="196"/>
        <w:gridCol w:w="109"/>
        <w:gridCol w:w="109"/>
        <w:gridCol w:w="109"/>
        <w:gridCol w:w="211"/>
        <w:gridCol w:w="616"/>
        <w:gridCol w:w="109"/>
        <w:gridCol w:w="109"/>
        <w:gridCol w:w="109"/>
        <w:gridCol w:w="109"/>
        <w:gridCol w:w="225"/>
        <w:gridCol w:w="772"/>
        <w:gridCol w:w="171"/>
      </w:tblGrid>
      <w:tr>
        <w:trPr/>
        <w:tc>
          <w:tcPr>
            <w:tcW w:w="117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r>
          </w:p>
        </w:tc>
      </w:tr>
      <w:tr>
        <w:trPr/>
        <w:tc>
          <w:tcPr>
            <w:tcW w:w="3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average price amounts)</w:t>
            </w:r>
          </w:p>
        </w:tc>
      </w:tr>
      <w:tr>
        <w:trPr/>
        <w:tc>
          <w:tcPr>
            <w:tcW w:w="3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repurchases under the repurchase plans</w:t>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repurchases for tax withholdings</w:t>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repurchases</w:t>
            </w:r>
          </w:p>
        </w:tc>
        <w:tc>
          <w:tcPr>
            <w:tcW w:w="4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$666.0 million remaining available for repurchases under the Company’s share repurchase program. The program has no expiration date. Purchases made under the program can be effected through open market transactions, block purchases, accelerated share repurchase agreements or other negotiated transactions. Effective July 23, 2026, the Company’s Board of Directors authorized the repurchase of its common stock in the amount of $884.2 million, in addition to the $615.8 million that remained available for repurchases under the prior share repurchase authorization, for a total repurchase authorization of up to $1.50 billion under the program.</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inception, the Company has repurchased 265.4 million shares of its common stock for an aggregate cost of $16.19 billion, which is recorded as a reduction of Additional paid-in capital. The share repurchase and authorization amounts disclosed within this Form 10-Q exclude the excise tax on share repurchases.</w:t>
      </w:r>
    </w:p>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the Company’s dividend activities is as follows:</w:t>
      </w:r>
    </w:p>
    <w:tbl>
      <w:tblPr>
        <w:tblW w:w="6803" w:type="dxa"/>
        <w:jc w:val="left"/>
        <w:tblInd w:w="0" w:type="dxa"/>
        <w:tblLayout w:type="fixed"/>
        <w:tblCellMar>
          <w:top w:w="28" w:type="dxa"/>
          <w:left w:w="28" w:type="dxa"/>
          <w:bottom w:w="28" w:type="dxa"/>
          <w:right w:w="28" w:type="dxa"/>
        </w:tblCellMar>
      </w:tblPr>
      <w:tblGrid>
        <w:gridCol w:w="582"/>
        <w:gridCol w:w="509"/>
        <w:gridCol w:w="514"/>
        <w:gridCol w:w="109"/>
        <w:gridCol w:w="109"/>
        <w:gridCol w:w="109"/>
        <w:gridCol w:w="529"/>
        <w:gridCol w:w="529"/>
        <w:gridCol w:w="532"/>
        <w:gridCol w:w="109"/>
        <w:gridCol w:w="109"/>
        <w:gridCol w:w="109"/>
        <w:gridCol w:w="402"/>
        <w:gridCol w:w="976"/>
        <w:gridCol w:w="207"/>
        <w:gridCol w:w="114"/>
        <w:gridCol w:w="114"/>
        <w:gridCol w:w="114"/>
        <w:gridCol w:w="221"/>
        <w:gridCol w:w="645"/>
        <w:gridCol w:w="161"/>
      </w:tblGrid>
      <w:tr>
        <w:trPr/>
        <w:tc>
          <w:tcPr>
            <w:tcW w:w="58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Dividend Per Share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dividends were accounted for as a reduction of Additional paid-in capital. On July 20, 2026, the Company’s Board of Directors declared a cash dividend of $0.81 per share of the Company’s outstanding common stock to stockholders of record as of the close of business on August 19, 2026, payable on August 27, 2026. The Company intends to continue to pay a cash dividend on a quarterly basis, subject to market conditions and approval by the Company’s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6. Calculation of Earnings per Share </w:t>
      </w:r>
    </w:p>
    <w:p>
      <w:pPr>
        <w:pStyle w:val="TextBody"/>
        <w:bidi w:val="0"/>
        <w:spacing w:lineRule="auto" w:line="288" w:before="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weighted-average shares used in the calculation of basic and diluted earnings per share:</w:t>
      </w:r>
    </w:p>
    <w:tbl>
      <w:tblPr>
        <w:tblW w:w="10205" w:type="dxa"/>
        <w:jc w:val="left"/>
        <w:tblInd w:w="0" w:type="dxa"/>
        <w:tblLayout w:type="fixed"/>
        <w:tblCellMar>
          <w:top w:w="28" w:type="dxa"/>
          <w:left w:w="28" w:type="dxa"/>
          <w:bottom w:w="28" w:type="dxa"/>
          <w:right w:w="28" w:type="dxa"/>
        </w:tblCellMar>
      </w:tblPr>
      <w:tblGrid>
        <w:gridCol w:w="1941"/>
        <w:gridCol w:w="1704"/>
        <w:gridCol w:w="1711"/>
        <w:gridCol w:w="250"/>
        <w:gridCol w:w="247"/>
        <w:gridCol w:w="247"/>
        <w:gridCol w:w="247"/>
        <w:gridCol w:w="247"/>
        <w:gridCol w:w="247"/>
        <w:gridCol w:w="250"/>
        <w:gridCol w:w="247"/>
        <w:gridCol w:w="247"/>
        <w:gridCol w:w="109"/>
        <w:gridCol w:w="109"/>
        <w:gridCol w:w="109"/>
        <w:gridCol w:w="320"/>
        <w:gridCol w:w="223"/>
        <w:gridCol w:w="221"/>
        <w:gridCol w:w="221"/>
        <w:gridCol w:w="221"/>
        <w:gridCol w:w="221"/>
        <w:gridCol w:w="320"/>
        <w:gridCol w:w="223"/>
        <w:gridCol w:w="323"/>
      </w:tblGrid>
      <w:tr>
        <w:trPr/>
        <w:tc>
          <w:tcPr>
            <w:tcW w:w="1941"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potential shares of common stock outstanding:</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 and ESPP</w:t>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diluted earnings per share</w:t>
            </w:r>
          </w:p>
        </w:tc>
        <w:tc>
          <w:tcPr>
            <w:tcW w:w="7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r>
    </w:tbl>
    <w:p>
      <w:pPr>
        <w:pStyle w:val="TextBody"/>
        <w:bidi w:val="0"/>
        <w:spacing w:lineRule="auto" w:line="288" w:before="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calculation of diluted weighted average shares outstanding excludes performance-based RSUs granted by the Company for which the relevant performance criteria have not been achieved and any awards that are antidilutive. The number of potential shares excluded from the calculation was not significant in any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7. Segment Information</w:t>
      </w:r>
    </w:p>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one reportable segment that includes all the operations of the business. The chief operating decision maker assesses performance and decides how to allocate resources based on revenues, operating income and net income as reported on the Consolidated Statements of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segment revenues, significant expenses and profits:</w:t>
      </w:r>
    </w:p>
    <w:tbl>
      <w:tblPr>
        <w:tblW w:w="7953" w:type="dxa"/>
        <w:jc w:val="left"/>
        <w:tblInd w:w="0" w:type="dxa"/>
        <w:tblLayout w:type="fixed"/>
        <w:tblCellMar>
          <w:top w:w="28" w:type="dxa"/>
          <w:left w:w="28" w:type="dxa"/>
          <w:bottom w:w="28" w:type="dxa"/>
          <w:right w:w="28" w:type="dxa"/>
        </w:tblCellMar>
      </w:tblPr>
      <w:tblGrid>
        <w:gridCol w:w="1131"/>
        <w:gridCol w:w="991"/>
        <w:gridCol w:w="998"/>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 expenses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software expenses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Registry fee expenses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net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segment items that are a part of the Company’s segment net income include professional services expenses, telecommunication expenses, legal expenses, occupancy expenses, and other miscellaneous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Note 8. Revenues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generates revenues in the U.S.; Europe, the Middle East and Africa (“EMEA”); Australia, China, Japan, Singapore, and other Asia Pacific countries (“APAC”); and certain other countries, including Canada and Latin American countries.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geography, based on the billing addresses of the Company’s customers:</w:t>
      </w:r>
    </w:p>
    <w:tbl>
      <w:tblPr>
        <w:tblW w:w="6152" w:type="dxa"/>
        <w:jc w:val="center"/>
        <w:tblInd w:w="0" w:type="dxa"/>
        <w:tblLayout w:type="fixed"/>
        <w:tblCellMar>
          <w:top w:w="28" w:type="dxa"/>
          <w:left w:w="28" w:type="dxa"/>
          <w:bottom w:w="28" w:type="dxa"/>
          <w:right w:w="28" w:type="dxa"/>
        </w:tblCellMar>
      </w:tblPr>
      <w:tblGrid>
        <w:gridCol w:w="475"/>
        <w:gridCol w:w="417"/>
        <w:gridCol w:w="427"/>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47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Revenues in the table above are attributed to the country of domicile and the respective regions in which registrars are located; however, this may differ from the regions where the registrars operate or where registrants are located. Revenues for each region may be impacted by registrars reincorporating, relocating, or from acquisitions or changes in affiliations of resellers. Revenues for each region may also be impacted by registrars domiciled in one region, registering domain names in another region.</w:t>
      </w:r>
    </w:p>
    <w:p>
      <w:pPr>
        <w:pStyle w:val="TextBody"/>
        <w:bidi w:val="0"/>
        <w:spacing w:lineRule="auto" w:line="288" w:before="18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Deferred Revenues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payment for domain name registrations and renewals are due in advance of the Company’s performance, the Company records these amounts as deferred revenues. The increase in the deferred revenues balance for the six months ended June 30, 2026 was primarily driven by amounts billed in the six months ended June 30, 2026 for domain name registrations and renewals to be recognized as revenues in future periods, offset by refunds for domain name renewals deleted during the 45-day grace period, and $679.4 million of revenues recognized that were included in the deferred revenues balance at December 31, 2025. The balance of deferred revenues as of June 30, 2026 represents the Company’s aggregate remaining performance obligations. Amounts included in current deferred revenues are all expected to be recognized in revenues within 12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except for a portion of deferred revenues that relates to domain name renewals that are deleted in the 45-day grace period following the transaction. The long-term deferred revenues amounts will be recognized in revenues over several years, and in some cases, up to ten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 Stock-based Compensation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Stock-based compensation is classified in the Condensed Consolidated Statements of Comprehensive Income in the same expense line items as cash compensation. The following table presents the classification of stock-based compensation:</w:t>
      </w:r>
    </w:p>
    <w:tbl>
      <w:tblPr>
        <w:tblW w:w="9427" w:type="dxa"/>
        <w:jc w:val="left"/>
        <w:tblInd w:w="0" w:type="dxa"/>
        <w:tblLayout w:type="fixed"/>
        <w:tblCellMar>
          <w:top w:w="28" w:type="dxa"/>
          <w:left w:w="28" w:type="dxa"/>
          <w:bottom w:w="28" w:type="dxa"/>
          <w:right w:w="28" w:type="dxa"/>
        </w:tblCellMar>
      </w:tblPr>
      <w:tblGrid>
        <w:gridCol w:w="1708"/>
        <w:gridCol w:w="1504"/>
        <w:gridCol w:w="1512"/>
        <w:gridCol w:w="240"/>
        <w:gridCol w:w="582"/>
        <w:gridCol w:w="124"/>
        <w:gridCol w:w="124"/>
        <w:gridCol w:w="124"/>
        <w:gridCol w:w="124"/>
        <w:gridCol w:w="240"/>
        <w:gridCol w:w="582"/>
        <w:gridCol w:w="124"/>
        <w:gridCol w:w="109"/>
        <w:gridCol w:w="109"/>
        <w:gridCol w:w="109"/>
        <w:gridCol w:w="219"/>
        <w:gridCol w:w="531"/>
        <w:gridCol w:w="113"/>
        <w:gridCol w:w="113"/>
        <w:gridCol w:w="113"/>
        <w:gridCol w:w="113"/>
        <w:gridCol w:w="219"/>
        <w:gridCol w:w="531"/>
        <w:gridCol w:w="160"/>
      </w:tblGrid>
      <w:tr>
        <w:trPr/>
        <w:tc>
          <w:tcPr>
            <w:tcW w:w="170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24"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(included in Property and equipment, net)</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nature of the Company’s total stock-based compensation:</w:t>
      </w:r>
    </w:p>
    <w:tbl>
      <w:tblPr>
        <w:tblW w:w="7448" w:type="dxa"/>
        <w:jc w:val="left"/>
        <w:tblInd w:w="0" w:type="dxa"/>
        <w:tblLayout w:type="fixed"/>
        <w:tblCellMar>
          <w:top w:w="28" w:type="dxa"/>
          <w:left w:w="28" w:type="dxa"/>
          <w:bottom w:w="28" w:type="dxa"/>
          <w:right w:w="28" w:type="dxa"/>
        </w:tblCellMar>
      </w:tblPr>
      <w:tblGrid>
        <w:gridCol w:w="995"/>
        <w:gridCol w:w="869"/>
        <w:gridCol w:w="881"/>
        <w:gridCol w:w="240"/>
        <w:gridCol w:w="582"/>
        <w:gridCol w:w="124"/>
        <w:gridCol w:w="124"/>
        <w:gridCol w:w="124"/>
        <w:gridCol w:w="124"/>
        <w:gridCol w:w="240"/>
        <w:gridCol w:w="582"/>
        <w:gridCol w:w="124"/>
        <w:gridCol w:w="109"/>
        <w:gridCol w:w="109"/>
        <w:gridCol w:w="109"/>
        <w:gridCol w:w="219"/>
        <w:gridCol w:w="531"/>
        <w:gridCol w:w="113"/>
        <w:gridCol w:w="113"/>
        <w:gridCol w:w="113"/>
        <w:gridCol w:w="113"/>
        <w:gridCol w:w="219"/>
        <w:gridCol w:w="531"/>
        <w:gridCol w:w="160"/>
      </w:tblGrid>
      <w:tr>
        <w:trPr/>
        <w:tc>
          <w:tcPr>
            <w:tcW w:w="99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RSUs</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10. Non-operating Income, Net</w:t>
      </w:r>
    </w:p>
    <w:p>
      <w:pPr>
        <w:pStyle w:val="TextBody"/>
        <w:bidi w:val="0"/>
        <w:spacing w:lineRule="auto" w:line="288" w:before="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Non-operating income, net, primarily consists of interest income from the Company’s surplus cash balances and marketable securities. Interest income was $5.0 million and $10.2 million during the three and six months ended June 30, 2026, respectively, compared to $6.0 million and $13.9 million during the same periods in 2025. The decrease in interest income during the three and six months ended June 30, 2026 primarily reflects the lower amounts invested in debt securities in the current period and lower interest rates on the Company’s investments in debt securities compared to the prior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11. Income Taxes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income tax expense and the effective tax rate:</w:t>
      </w:r>
    </w:p>
    <w:tbl>
      <w:tblPr>
        <w:tblW w:w="6933" w:type="dxa"/>
        <w:jc w:val="left"/>
        <w:tblInd w:w="0" w:type="dxa"/>
        <w:tblLayout w:type="fixed"/>
        <w:tblCellMar>
          <w:top w:w="28" w:type="dxa"/>
          <w:left w:w="28" w:type="dxa"/>
          <w:bottom w:w="28" w:type="dxa"/>
          <w:right w:w="28" w:type="dxa"/>
        </w:tblCellMar>
      </w:tblPr>
      <w:tblGrid>
        <w:gridCol w:w="625"/>
        <w:gridCol w:w="548"/>
        <w:gridCol w:w="552"/>
        <w:gridCol w:w="211"/>
        <w:gridCol w:w="511"/>
        <w:gridCol w:w="271"/>
        <w:gridCol w:w="109"/>
        <w:gridCol w:w="109"/>
        <w:gridCol w:w="109"/>
        <w:gridCol w:w="211"/>
        <w:gridCol w:w="511"/>
        <w:gridCol w:w="271"/>
        <w:gridCol w:w="109"/>
        <w:gridCol w:w="109"/>
        <w:gridCol w:w="109"/>
        <w:gridCol w:w="211"/>
        <w:gridCol w:w="616"/>
        <w:gridCol w:w="271"/>
        <w:gridCol w:w="109"/>
        <w:gridCol w:w="109"/>
        <w:gridCol w:w="109"/>
        <w:gridCol w:w="211"/>
        <w:gridCol w:w="616"/>
        <w:gridCol w:w="316"/>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each of the periods in the table above differed from the statutory federal rate of 21%, due to state income taxes and U.S. taxes on foreign earnings, net of foreign tax credits, partially offset by a lower foreign effective tax rate. </w:t>
      </w:r>
    </w:p>
    <w:p>
      <w:pPr>
        <w:pStyle w:val="TextBody"/>
        <w:bidi w:val="0"/>
        <w:spacing w:before="8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6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0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in conjunction with the 2025 Form 10-K and the interim unaudited Condensed Consolidated Financial Statements and related notes included in Part I, Item I of this Quarterly Report on Form 10-Q.</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on Form 10-Q contains forward-looking statements within the meaning of Section 27A of the Securities Act of 1933, as amended, and Section 21E of the Securities Exchange Act of 1934, as amended (the “Exchange Act”). These forward-looking statements are based on current expectations and assumptions and involve risks, uncertainties, and other important factors, including, among other things, statements regarding the Company’s quarterly dividend and our expectations about the sufficiency of our existing cash, cash equivalents and marketable securities, and funds generated from operations, together with our borrowing capacity under the unsecured revolving credit facility. In some cases, you can identify forward-looking statements by terms such as “assumes,” “could,” “estimates,” “forecasts,” “may,” “plans,” “potential,” “predicts,” “projects,” “should,” “targets,” “will,” “would,” “seeks,” “expects,” “anticipates,” “intends,” “believes” and similar language intended to identify forward-looking statements. Our actual results may differ significantly from those projected in the forward-looking statements. Factors that might cause or contribute to such differences include, but are not limited to, those discussed in the section titled “Risk Factors” in Part I, Item 1A of the 2025 Form 10-K. You should also carefully review the risks described in other documents we file from time to time with the Securities and Exchange Commission, including the Quarterly Reports on Form 10-Q or Current Reports on Form 8-K that we file in 2026. You are cautioned not to place undue reliance on the forward-looking statements, which speak only as of the date of this Quarterly Report on Form 10-Q. We undertake no obligation to update publicly or revise such statements, whether as a result of new information, future events, or otherwise, except as required by law.</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For purposes of this Quarterly Report on Form 10-Q, the terms “Verisign,” “the Company,” “we,” “us,” and “our” refer to VeriSign,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ind w:left="0" w:right="0" w:firstLine="450"/>
        <w:jc w:val="left"/>
        <w:rPr/>
      </w:pPr>
      <w:r>
        <w:rPr>
          <w:rFonts w:ascii="Times New Roman;serif" w:hAnsi="Times New Roman;serif"/>
          <w:b w:val="false"/>
          <w:color w:val="000000"/>
          <w:sz w:val="20"/>
        </w:rPr>
        <w:t>We are a global provider of critical internet infrastructure and domain name registry services, enabling internet navigation for many of the world’s most recognized domain names. We help enable the security, stability, and resiliency of the Domain Name System (“DNS”) and the internet by providing Root Zone Maintainer Services, operating two of the thirteen global internet root servers, and providing registration services and authoritative resolution for the .</w:t>
      </w:r>
      <w:r>
        <w:rPr>
          <w:rFonts w:ascii="Times New Roman;serif" w:hAnsi="Times New Roman;serif"/>
          <w:b w:val="false"/>
          <w:i/>
          <w:color w:val="000000"/>
          <w:sz w:val="20"/>
        </w:rPr>
        <w:t>com</w:t>
      </w:r>
      <w:r>
        <w:rPr>
          <w:color w:val="000000"/>
        </w:rPr>
        <w:t>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w:t>
      </w:r>
      <w:r>
        <w:rPr>
          <w:rFonts w:ascii="Times New Roman;serif" w:hAnsi="Times New Roman;serif"/>
          <w:b w:val="false"/>
          <w:color w:val="000000"/>
          <w:sz w:val="20"/>
        </w:rPr>
        <w:t>generic top-level domains (“gTLDs”), which support the majority of global e-commerce.</w:t>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As of June 30, 2026, we had 179.1 million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.net </w:t>
      </w:r>
      <w:r>
        <w:rPr>
          <w:rFonts w:ascii="Times New Roman;serif" w:hAnsi="Times New Roman;serif"/>
          <w:b w:val="false"/>
          <w:color w:val="000000"/>
          <w:sz w:val="20"/>
        </w:rPr>
        <w:t xml:space="preserve">registrations in the domain name base. The number of domain names registered is largely driven by continued growth in online advertising, e-commerce, and the number of internet users, which is partially driven by greater availability of internet access, as well as marketing activities carried out by us and our registrars. The number of domain name registrations under our management may be negatively impacted by certain factors, including overall economic conditions, competition from country code top-level domains (“ccTLDs”), other gTLDs, services that offer alternatives for an online presence, and ongoing changes in the internet practices and behaviors of consumers and businesses. Factors such as the evolving practices and preferences of internet users, and how they navigate the internet, as well as the motivation of domain name registrants and how they will manage their investment in domain names, can negatively impact our business and the demand for new domain name registrations and renewals. </w:t>
      </w:r>
    </w:p>
    <w:p>
      <w:pPr>
        <w:pStyle w:val="TextBody"/>
        <w:bidi w:val="0"/>
        <w:spacing w:lineRule="auto" w:line="288" w:before="180" w:after="120"/>
        <w:ind w:left="0" w:right="0" w:firstLine="270"/>
        <w:jc w:val="left"/>
        <w:rPr>
          <w:rFonts w:ascii="Times New Roman;serif" w:hAnsi="Times New Roman;serif"/>
          <w:b/>
          <w:i/>
          <w:color w:val="000000"/>
          <w:sz w:val="20"/>
        </w:rPr>
      </w:pPr>
      <w:r>
        <w:rPr>
          <w:rFonts w:ascii="Times New Roman;serif" w:hAnsi="Times New Roman;serif"/>
          <w:b/>
          <w:i/>
          <w:color w:val="000000"/>
          <w:sz w:val="20"/>
        </w:rPr>
        <w:t>Business Highlights and Trends</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 xml:space="preserve">We recorded revenues of $434.6 million and $863.5 million during the three and six months ended June 30, 2026, which represents an increase of 6% compared to the same periods in 2025.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 xml:space="preserve">We recorded operating income of $296.3 million and $589.9 million during the three and six months ended June 30, 2026, which represents an increase of 6% and 7%, respectively, compared to the same periods in 2025.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 xml:space="preserve">As of June 30, 2026, we had 179.1 million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.net </w:t>
      </w:r>
      <w:r>
        <w:rPr>
          <w:rFonts w:ascii="Times New Roman;serif" w:hAnsi="Times New Roman;serif"/>
          <w:b w:val="false"/>
          <w:color w:val="000000"/>
          <w:sz w:val="20"/>
        </w:rPr>
        <w:t>registrations in the domain name base, which represents a 5.1% increase from June 30, 2025, and a net increase of 3.0 million domain name registrations from March 31, 2026.</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 xml:space="preserve">During the three months ended June 30, 2026, we processed 12.7 million new domain name registrations for </w:t>
      </w:r>
      <w:r>
        <w:rPr>
          <w:rFonts w:ascii="Times New Roman;serif" w:hAnsi="Times New Roman;serif"/>
          <w:b w:val="false"/>
          <w:i/>
          <w:color w:val="000000"/>
          <w:sz w:val="20"/>
        </w:rPr>
        <w:t xml:space="preserve">.com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compared to 10.4 million for the same period in 2025.</w:t>
      </w:r>
      <w:r>
        <w:rPr>
          <w:color w:val="000000"/>
        </w:rPr>
        <w:t xml:space="preserve">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The final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 xml:space="preserve">net </w:t>
      </w:r>
      <w:r>
        <w:rPr>
          <w:rFonts w:ascii="Times New Roman;serif" w:hAnsi="Times New Roman;serif"/>
          <w:b w:val="false"/>
          <w:color w:val="000000"/>
          <w:sz w:val="20"/>
        </w:rPr>
        <w:t xml:space="preserve">renewal rate for the first quarter of 2026 was 76.3% compared to 75.5% for the first quarter of 2025. Renewal rates are not fully measurable until 45 days after the end of the quarter.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 xml:space="preserve">We generated cash flows from operating activities of $504.0 million during the six months ended June 30, 2026, compared to $493.8 million for the same period in 2025.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 xml:space="preserve">During the three months ended June 30, 2026, we repurchased 0.7 million shares of common stock for an aggregate cost of $196.8 million. As of June 30, 2026, there was $666.0 million remaining for future share repurchases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share repurchase program. Effective July 23, 2026, the Board of Directors authorized the repurchase of common stock in the amount of $884.2 million, in addition to the $615.8 million that remained available for repurchases under the prior share repurchase authorization, for a total repurchase authorization of up to $1.50 billion under the program.</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On June 26, 2026, we issued the 2026 Notes. On July 20, 2026, we used the net proceeds from the 2026 Notes and cash on hand to redeem all of our 2017 Notes.</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On July 20, 2026, the Board of Directors declared a cash dividend of $0.81 per share of the Company’s outstanding common stock to stockholders of record as of the close of business on August 19, 2026, payable on August 27, 2026.</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On July 22, 2026, we announced that the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TLD has been delegated into the global DNS root zone, with Verisign as the designated registry operator.</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Pursuant to our agreements with ICANN, we make available files containing all active domain names registered in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registries. Further, we also make available a summary of the active zone count registered in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registries and the number of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domain name registrations in the domain name base. The zone counts and information on how to obtain access to the zone files can be found at </w:t>
      </w:r>
      <w:r>
        <w:rPr>
          <w:rFonts w:ascii="Times New Roman;serif" w:hAnsi="Times New Roman;serif"/>
          <w:b w:val="false"/>
          <w:color w:val="000000"/>
          <w:sz w:val="20"/>
          <w:u w:val="single"/>
        </w:rPr>
        <w:t>https://www.verisign.com/resources/zone-file</w:t>
      </w:r>
      <w:r>
        <w:rPr>
          <w:rFonts w:ascii="Times New Roman;serif" w:hAnsi="Times New Roman;serif"/>
          <w:b w:val="false"/>
          <w:color w:val="000000"/>
          <w:sz w:val="20"/>
        </w:rPr>
        <w:t xml:space="preserve">. The domain name base is the active zone plus the number of domain names that are registered but not configured for use in the respective top-level domain zone file plus the number of domain names that are in a client or server hold status. The domain name base may also reflect compensated or uncompensated judicial or administrative actions to add or remove from the active zone an immaterial number of domain names. These files and the related summary data are updated daily. The update times may vary each day. The number of domain names provided in this Form 10-Q is as of midnight of the date reported.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our results of operations as a percentage of revenues:</w:t>
      </w:r>
    </w:p>
    <w:tbl>
      <w:tblPr>
        <w:tblW w:w="8682" w:type="dxa"/>
        <w:jc w:val="left"/>
        <w:tblInd w:w="0" w:type="dxa"/>
        <w:tblLayout w:type="fixed"/>
        <w:tblCellMar>
          <w:top w:w="28" w:type="dxa"/>
          <w:left w:w="28" w:type="dxa"/>
          <w:bottom w:w="28" w:type="dxa"/>
          <w:right w:w="28" w:type="dxa"/>
        </w:tblCellMar>
      </w:tblPr>
      <w:tblGrid>
        <w:gridCol w:w="1071"/>
        <w:gridCol w:w="938"/>
        <w:gridCol w:w="946"/>
        <w:gridCol w:w="308"/>
        <w:gridCol w:w="308"/>
        <w:gridCol w:w="470"/>
        <w:gridCol w:w="189"/>
        <w:gridCol w:w="189"/>
        <w:gridCol w:w="189"/>
        <w:gridCol w:w="308"/>
        <w:gridCol w:w="308"/>
        <w:gridCol w:w="470"/>
        <w:gridCol w:w="109"/>
        <w:gridCol w:w="109"/>
        <w:gridCol w:w="109"/>
        <w:gridCol w:w="308"/>
        <w:gridCol w:w="308"/>
        <w:gridCol w:w="424"/>
        <w:gridCol w:w="170"/>
        <w:gridCol w:w="170"/>
        <w:gridCol w:w="170"/>
        <w:gridCol w:w="308"/>
        <w:gridCol w:w="308"/>
        <w:gridCol w:w="495"/>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621" w:type="dxa"/>
            <w:gridSpan w:val="6"/>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27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0"/>
        <w:ind w:left="0" w:right="0" w:firstLine="450"/>
        <w:jc w:val="left"/>
        <w:rPr/>
      </w:pPr>
      <w:r>
        <w:rPr>
          <w:rFonts w:ascii="Times New Roman;serif" w:hAnsi="Times New Roman;serif"/>
          <w:b w:val="false"/>
          <w:color w:val="000000"/>
          <w:sz w:val="20"/>
        </w:rPr>
        <w:t>Our revenues are primarily derived from registrations for domain names in the</w:t>
      </w:r>
      <w:r>
        <w:rPr>
          <w:color w:val="000000"/>
        </w:rPr>
        <w:t xml:space="preserv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domain name registries. We also derive revenues from operating domain name registries and technical systems for several other gTLDs and one ccTLD, all of which are not significant in relation to our consolidated revenues. For domain names registered in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registries, we receive a fee from registrars per annual registration that is determined pursuant to our agreements with ICANN. Individual customers, called registrants, contract directly with registrars or their resellers, and the registrars, who are our direct customers, in turn register the domain names with Verisign. Changes in revenues are driven largely by changes in the number of new domain name registrations and the renewal rate for existing registrations as well as the impact of new and prior price increases, to the extent permitted by ICANN and the Department of Commerce. New registrations and the renewal rate for existing registrations are impacted by continued growth in online advertising, e-commerce, and the number of internet users, as well as marketing activities carried out by us and our registrars. We also offer promotional incentive-based discount programs to registrars based upon market conditions and the business environment in which the registrars operate.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In November 2024, we renewed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Registry Agreement with ICANN, pursuant to which we will remain the sole registry operator for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registry through November 30, 2030. Under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Registry Agreement, we are permitted to increase the price of a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domain name registration by up to 7% in each of the final four years of each six-year period. The current such six-year period began on October 26, 2024. We increased the annual registry-level wholesale fee for each new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left"/>
        <w:rPr/>
      </w:pPr>
      <w:r>
        <w:rPr>
          <w:rFonts w:ascii="Times New Roman;serif" w:hAnsi="Times New Roman;serif"/>
          <w:b w:val="false"/>
          <w:color w:val="000000"/>
          <w:sz w:val="20"/>
        </w:rPr>
        <w:t>renewal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domain name registration from $9.59 to $10.26 effective September 1, 2024. On April 23, 2026, we announced that we will increase the annual registry-level wholesale fee for each new and renewal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domain name registration from $10.26 to $10.97 effective November 1, 2026. Under the </w:t>
      </w:r>
      <w:r>
        <w:rPr>
          <w:rFonts w:ascii="Times New Roman;serif" w:hAnsi="Times New Roman;serif"/>
          <w:b w:val="false"/>
          <w:i/>
          <w:color w:val="000000"/>
          <w:sz w:val="20"/>
        </w:rPr>
        <w:t xml:space="preserve">.net </w:t>
      </w:r>
      <w:r>
        <w:rPr>
          <w:rFonts w:ascii="Times New Roman;serif" w:hAnsi="Times New Roman;serif"/>
          <w:b w:val="false"/>
          <w:color w:val="000000"/>
          <w:sz w:val="20"/>
        </w:rPr>
        <w:t xml:space="preserve">Registry Agreement, we are permitted to increase the price of </w:t>
      </w:r>
      <w:r>
        <w:rPr>
          <w:rFonts w:ascii="Times New Roman;serif" w:hAnsi="Times New Roman;serif"/>
          <w:b w:val="false"/>
          <w:i/>
          <w:color w:val="000000"/>
          <w:sz w:val="20"/>
        </w:rPr>
        <w:t xml:space="preserve">.net </w:t>
      </w:r>
      <w:r>
        <w:rPr>
          <w:rFonts w:ascii="Times New Roman;serif" w:hAnsi="Times New Roman;serif"/>
          <w:b w:val="false"/>
          <w:color w:val="000000"/>
          <w:sz w:val="20"/>
        </w:rPr>
        <w:t xml:space="preserve">domain name registrations by up to 10% each year during the term of our agreement with ICANN, through June 30, 2029. We increased the annual registry-level wholesale fee for each new and renewal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domain name registration from $9.92 to $10.91 effective February 1, 2024. All fees paid to us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 xml:space="preserve">registrations are in U.S. dollars.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comparison of revenues is presented below:</w:t>
      </w:r>
    </w:p>
    <w:tbl>
      <w:tblPr>
        <w:tblW w:w="8082" w:type="dxa"/>
        <w:jc w:val="left"/>
        <w:tblInd w:w="0" w:type="dxa"/>
        <w:tblLayout w:type="fixed"/>
        <w:tblCellMar>
          <w:top w:w="28" w:type="dxa"/>
          <w:left w:w="28" w:type="dxa"/>
          <w:bottom w:w="28" w:type="dxa"/>
          <w:right w:w="28" w:type="dxa"/>
        </w:tblCellMar>
      </w:tblPr>
      <w:tblGrid>
        <w:gridCol w:w="332"/>
        <w:gridCol w:w="291"/>
        <w:gridCol w:w="293"/>
        <w:gridCol w:w="211"/>
        <w:gridCol w:w="616"/>
        <w:gridCol w:w="109"/>
        <w:gridCol w:w="109"/>
        <w:gridCol w:w="109"/>
        <w:gridCol w:w="109"/>
        <w:gridCol w:w="290"/>
        <w:gridCol w:w="290"/>
        <w:gridCol w:w="291"/>
        <w:gridCol w:w="109"/>
        <w:gridCol w:w="109"/>
        <w:gridCol w:w="109"/>
        <w:gridCol w:w="211"/>
        <w:gridCol w:w="616"/>
        <w:gridCol w:w="109"/>
        <w:gridCol w:w="109"/>
        <w:gridCol w:w="109"/>
        <w:gridCol w:w="109"/>
        <w:gridCol w:w="211"/>
        <w:gridCol w:w="616"/>
        <w:gridCol w:w="109"/>
        <w:gridCol w:w="109"/>
        <w:gridCol w:w="109"/>
        <w:gridCol w:w="109"/>
        <w:gridCol w:w="290"/>
        <w:gridCol w:w="290"/>
        <w:gridCol w:w="291"/>
        <w:gridCol w:w="109"/>
        <w:gridCol w:w="109"/>
        <w:gridCol w:w="109"/>
        <w:gridCol w:w="211"/>
        <w:gridCol w:w="616"/>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The following table compares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.net </w:t>
      </w:r>
      <w:r>
        <w:rPr>
          <w:rFonts w:ascii="Times New Roman;serif" w:hAnsi="Times New Roman;serif"/>
          <w:b w:val="false"/>
          <w:color w:val="000000"/>
          <w:sz w:val="20"/>
        </w:rPr>
        <w:t>domain name registrations in the domain name base:</w:t>
      </w:r>
    </w:p>
    <w:tbl>
      <w:tblPr>
        <w:tblW w:w="9457" w:type="dxa"/>
        <w:jc w:val="left"/>
        <w:tblInd w:w="0" w:type="dxa"/>
        <w:tblLayout w:type="fixed"/>
        <w:tblCellMar>
          <w:top w:w="28" w:type="dxa"/>
          <w:left w:w="28" w:type="dxa"/>
          <w:bottom w:w="28" w:type="dxa"/>
          <w:right w:w="28" w:type="dxa"/>
        </w:tblCellMar>
      </w:tblPr>
      <w:tblGrid>
        <w:gridCol w:w="1978"/>
        <w:gridCol w:w="1736"/>
        <w:gridCol w:w="1745"/>
        <w:gridCol w:w="404"/>
        <w:gridCol w:w="404"/>
        <w:gridCol w:w="406"/>
        <w:gridCol w:w="109"/>
        <w:gridCol w:w="109"/>
        <w:gridCol w:w="109"/>
        <w:gridCol w:w="290"/>
        <w:gridCol w:w="290"/>
        <w:gridCol w:w="291"/>
        <w:gridCol w:w="109"/>
        <w:gridCol w:w="109"/>
        <w:gridCol w:w="109"/>
        <w:gridCol w:w="368"/>
        <w:gridCol w:w="368"/>
        <w:gridCol w:w="523"/>
      </w:tblGrid>
      <w:tr>
        <w:trPr/>
        <w:tc>
          <w:tcPr>
            <w:tcW w:w="1978"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domain name registrations in the domain name base</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million</w:t>
            </w:r>
          </w:p>
        </w:tc>
      </w:tr>
    </w:tbl>
    <w:p>
      <w:pPr>
        <w:pStyle w:val="TextBody"/>
        <w:bidi w:val="0"/>
        <w:spacing w:lineRule="auto" w:line="288" w:before="120" w:after="120"/>
        <w:ind w:left="0" w:right="0" w:firstLine="450"/>
        <w:jc w:val="left"/>
        <w:rPr/>
      </w:pPr>
      <w:r>
        <w:rPr>
          <w:rFonts w:ascii="Times New Roman;serif" w:hAnsi="Times New Roman;serif"/>
          <w:b w:val="false"/>
          <w:color w:val="000000"/>
          <w:sz w:val="20"/>
        </w:rPr>
        <w:t xml:space="preserve">Revenues increased during the three and six months ended June 30, 2026, as compared to the same periods last year, primarily due to an increase in the domain name base as of June 30, 2026 compared to June 30, 2025 and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price increases.</w:t>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Demand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domain names has been primarily driven by continued internet growth and marketing activities carried out by us and our registrars. However, the demand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domain names may be limited by competitive pressure from other TLDs and alternatives for an online presence. Additionally, changes in internet practices, consumer behavior, and global economic conditions, as well as the motivation of existing domain name registrants managing their investment in domain names, such as for resale at increased prices or for revenue generation through website advertising, may impact demand for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net</w:t>
      </w:r>
      <w:r>
        <w:rPr>
          <w:color w:val="000000"/>
        </w:rPr>
        <w:t xml:space="preserve"> </w:t>
      </w:r>
      <w:r>
        <w:rPr>
          <w:rFonts w:ascii="Times New Roman;serif" w:hAnsi="Times New Roman;serif"/>
          <w:b w:val="false"/>
          <w:color w:val="000000"/>
          <w:sz w:val="20"/>
        </w:rPr>
        <w:t>domain names. Our domain name base increased during the three and six months ended June 30, 2026 compared to June 30, 2025, as the positive domain name base trends that began in 2025 continued into 2026 with higher new registrations and renewal rates. Growth in the domain name base has been positively impacted by continued registrar focus on customer acquisition and engagement with our marketing programs, as well as the evolution of AI tools used in content and website creation.</w:t>
      </w:r>
    </w:p>
    <w:p>
      <w:pPr>
        <w:pStyle w:val="TextBody"/>
        <w:bidi w:val="0"/>
        <w:spacing w:lineRule="auto" w:line="288" w:before="18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Geographic revenues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revenues in the U.S.; Europe, the Middle East and Africa (“EMEA”); Australia, China, Japan, Singapore, and other Asia Pacific countries (“APAC”); and certain other countries, including Canada and Latin American countries.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comparison of our geographic revenues:</w:t>
      </w:r>
    </w:p>
    <w:tbl>
      <w:tblPr>
        <w:tblW w:w="8485" w:type="dxa"/>
        <w:jc w:val="left"/>
        <w:tblInd w:w="0" w:type="dxa"/>
        <w:tblLayout w:type="fixed"/>
        <w:tblCellMar>
          <w:top w:w="28" w:type="dxa"/>
          <w:left w:w="28" w:type="dxa"/>
          <w:bottom w:w="28" w:type="dxa"/>
          <w:right w:w="28" w:type="dxa"/>
        </w:tblCellMar>
      </w:tblPr>
      <w:tblGrid>
        <w:gridCol w:w="475"/>
        <w:gridCol w:w="417"/>
        <w:gridCol w:w="427"/>
        <w:gridCol w:w="211"/>
        <w:gridCol w:w="616"/>
        <w:gridCol w:w="109"/>
        <w:gridCol w:w="109"/>
        <w:gridCol w:w="109"/>
        <w:gridCol w:w="109"/>
        <w:gridCol w:w="290"/>
        <w:gridCol w:w="290"/>
        <w:gridCol w:w="291"/>
        <w:gridCol w:w="109"/>
        <w:gridCol w:w="109"/>
        <w:gridCol w:w="109"/>
        <w:gridCol w:w="211"/>
        <w:gridCol w:w="616"/>
        <w:gridCol w:w="109"/>
        <w:gridCol w:w="109"/>
        <w:gridCol w:w="109"/>
        <w:gridCol w:w="109"/>
        <w:gridCol w:w="211"/>
        <w:gridCol w:w="616"/>
        <w:gridCol w:w="109"/>
        <w:gridCol w:w="109"/>
        <w:gridCol w:w="109"/>
        <w:gridCol w:w="109"/>
        <w:gridCol w:w="290"/>
        <w:gridCol w:w="290"/>
        <w:gridCol w:w="291"/>
        <w:gridCol w:w="109"/>
        <w:gridCol w:w="109"/>
        <w:gridCol w:w="109"/>
        <w:gridCol w:w="211"/>
        <w:gridCol w:w="616"/>
        <w:gridCol w:w="154"/>
      </w:tblGrid>
      <w:tr>
        <w:trPr/>
        <w:tc>
          <w:tcPr>
            <w:tcW w:w="47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Revenues in the table above are attributed to the country of domicile and the respective regions in which our registrars are located; however, this may differ from the regions where the registrars operate or where registrants are located. Revenue growth for each region may be impacted by registrars reincorporating, relocating, or from acquisitions or changes in affiliations of resellers. Revenue growth for each region may also be impacted by registrars domiciled in one region, registering domain names in another region. Our revenue growth was generated from registrars based in the U.S., EMEA and APAC during the three and six months ended June 30, 2026, compared to the same periods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 consists primarily of salaries and employee benefits expenses for our personnel who manage the operational systems, depreciation expenses, operational costs associated with the delivery of our services, fees paid to ICANN, customer support and training, costs of facilities and computer equipment used in these activities, telecommunications expense and allocations of indirect costs such as corporate overhead.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comparison of cost of revenues is presented below:</w:t>
      </w:r>
    </w:p>
    <w:tbl>
      <w:tblPr>
        <w:tblW w:w="8215" w:type="dxa"/>
        <w:jc w:val="left"/>
        <w:tblInd w:w="0" w:type="dxa"/>
        <w:tblLayout w:type="fixed"/>
        <w:tblCellMar>
          <w:top w:w="28" w:type="dxa"/>
          <w:left w:w="28" w:type="dxa"/>
          <w:bottom w:w="28" w:type="dxa"/>
          <w:right w:w="28" w:type="dxa"/>
        </w:tblCellMar>
      </w:tblPr>
      <w:tblGrid>
        <w:gridCol w:w="531"/>
        <w:gridCol w:w="468"/>
        <w:gridCol w:w="470"/>
        <w:gridCol w:w="211"/>
        <w:gridCol w:w="511"/>
        <w:gridCol w:w="109"/>
        <w:gridCol w:w="109"/>
        <w:gridCol w:w="109"/>
        <w:gridCol w:w="109"/>
        <w:gridCol w:w="290"/>
        <w:gridCol w:w="290"/>
        <w:gridCol w:w="291"/>
        <w:gridCol w:w="109"/>
        <w:gridCol w:w="109"/>
        <w:gridCol w:w="109"/>
        <w:gridCol w:w="211"/>
        <w:gridCol w:w="511"/>
        <w:gridCol w:w="109"/>
        <w:gridCol w:w="109"/>
        <w:gridCol w:w="109"/>
        <w:gridCol w:w="109"/>
        <w:gridCol w:w="211"/>
        <w:gridCol w:w="511"/>
        <w:gridCol w:w="109"/>
        <w:gridCol w:w="109"/>
        <w:gridCol w:w="109"/>
        <w:gridCol w:w="109"/>
        <w:gridCol w:w="290"/>
        <w:gridCol w:w="290"/>
        <w:gridCol w:w="291"/>
        <w:gridCol w:w="109"/>
        <w:gridCol w:w="109"/>
        <w:gridCol w:w="109"/>
        <w:gridCol w:w="211"/>
        <w:gridCol w:w="511"/>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revenues increased slightly during the three months ended June 30, 2026, compared to the same period last year, due to a combination of individually insignificant factors.</w:t>
      </w:r>
    </w:p>
    <w:p>
      <w:pPr>
        <w:pStyle w:val="TextBody"/>
        <w:bidi w:val="0"/>
        <w:spacing w:lineRule="auto" w:line="288" w:before="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revenues increased slightly during the six months ended June 30, 2026, compared to the same period last year, due to a combination of individually insignificant factors, partially offset by a decrease in depreciation expenses. Although purchases of property and equipment increased in the six months ended 2026, depreciation expenses decreased by $3.6 million due to a decrease in capital expenditures in recent prior periods.</w:t>
      </w:r>
    </w:p>
    <w:p>
      <w:pPr>
        <w:pStyle w:val="TextBody"/>
        <w:bidi w:val="0"/>
        <w:spacing w:lineRule="auto" w:line="288" w:before="180" w:after="120"/>
        <w:ind w:left="0" w:right="0" w:firstLine="27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primarily of costs related to research and development personnel, including salaries and other personnel-related expenses, consulting fees, facilities costs, computer and communications equipment, support services used in our service and technology development, and allocations of indirect costs such as corporate overhead.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comparison of research and development expenses is presented below:</w:t>
      </w:r>
    </w:p>
    <w:tbl>
      <w:tblPr>
        <w:tblW w:w="9055" w:type="dxa"/>
        <w:jc w:val="left"/>
        <w:tblInd w:w="0" w:type="dxa"/>
        <w:tblLayout w:type="fixed"/>
        <w:tblCellMar>
          <w:top w:w="28" w:type="dxa"/>
          <w:left w:w="28" w:type="dxa"/>
          <w:bottom w:w="28" w:type="dxa"/>
          <w:right w:w="28" w:type="dxa"/>
        </w:tblCellMar>
      </w:tblPr>
      <w:tblGrid>
        <w:gridCol w:w="837"/>
        <w:gridCol w:w="734"/>
        <w:gridCol w:w="738"/>
        <w:gridCol w:w="211"/>
        <w:gridCol w:w="511"/>
        <w:gridCol w:w="109"/>
        <w:gridCol w:w="109"/>
        <w:gridCol w:w="109"/>
        <w:gridCol w:w="109"/>
        <w:gridCol w:w="290"/>
        <w:gridCol w:w="290"/>
        <w:gridCol w:w="291"/>
        <w:gridCol w:w="109"/>
        <w:gridCol w:w="109"/>
        <w:gridCol w:w="109"/>
        <w:gridCol w:w="211"/>
        <w:gridCol w:w="511"/>
        <w:gridCol w:w="109"/>
        <w:gridCol w:w="109"/>
        <w:gridCol w:w="109"/>
        <w:gridCol w:w="109"/>
        <w:gridCol w:w="211"/>
        <w:gridCol w:w="511"/>
        <w:gridCol w:w="109"/>
        <w:gridCol w:w="109"/>
        <w:gridCol w:w="109"/>
        <w:gridCol w:w="109"/>
        <w:gridCol w:w="290"/>
        <w:gridCol w:w="290"/>
        <w:gridCol w:w="291"/>
        <w:gridCol w:w="109"/>
        <w:gridCol w:w="109"/>
        <w:gridCol w:w="109"/>
        <w:gridCol w:w="211"/>
        <w:gridCol w:w="51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during the three and six months ended June 30, 2026, compared to the same periods last year, due to a combination of individually insignificant factors.</w:t>
      </w:r>
    </w:p>
    <w:p>
      <w:pPr>
        <w:pStyle w:val="TextBody"/>
        <w:bidi w:val="0"/>
        <w:spacing w:lineRule="auto" w:line="288" w:before="18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0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salaries and other personnel-related expenses for our executive, administrative, legal, finance, information technology, human resources, sales, and marketing personnel, travel and related expenses, trade shows, costs of computer and communications equipment and support services, consulting and professional service fees, costs of marketing programs, costs of facilities, management information systems, support services, and certain tax and license fees, offset by allocations of indirect costs such as facilities and shared services expenses to other cost types.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comparison of selling, general and administrative expenses is presented below:</w:t>
      </w:r>
    </w:p>
    <w:tbl>
      <w:tblPr>
        <w:tblW w:w="9911" w:type="dxa"/>
        <w:jc w:val="left"/>
        <w:tblInd w:w="0" w:type="dxa"/>
        <w:tblLayout w:type="fixed"/>
        <w:tblCellMar>
          <w:top w:w="28" w:type="dxa"/>
          <w:left w:w="28" w:type="dxa"/>
          <w:bottom w:w="28" w:type="dxa"/>
          <w:right w:w="28" w:type="dxa"/>
        </w:tblCellMar>
      </w:tblPr>
      <w:tblGrid>
        <w:gridCol w:w="1071"/>
        <w:gridCol w:w="941"/>
        <w:gridCol w:w="943"/>
        <w:gridCol w:w="211"/>
        <w:gridCol w:w="511"/>
        <w:gridCol w:w="109"/>
        <w:gridCol w:w="109"/>
        <w:gridCol w:w="109"/>
        <w:gridCol w:w="109"/>
        <w:gridCol w:w="290"/>
        <w:gridCol w:w="290"/>
        <w:gridCol w:w="291"/>
        <w:gridCol w:w="109"/>
        <w:gridCol w:w="109"/>
        <w:gridCol w:w="109"/>
        <w:gridCol w:w="211"/>
        <w:gridCol w:w="511"/>
        <w:gridCol w:w="109"/>
        <w:gridCol w:w="109"/>
        <w:gridCol w:w="109"/>
        <w:gridCol w:w="109"/>
        <w:gridCol w:w="211"/>
        <w:gridCol w:w="616"/>
        <w:gridCol w:w="109"/>
        <w:gridCol w:w="109"/>
        <w:gridCol w:w="109"/>
        <w:gridCol w:w="109"/>
        <w:gridCol w:w="290"/>
        <w:gridCol w:w="290"/>
        <w:gridCol w:w="291"/>
        <w:gridCol w:w="109"/>
        <w:gridCol w:w="109"/>
        <w:gridCol w:w="109"/>
        <w:gridCol w:w="211"/>
        <w:gridCol w:w="61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5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during the three months ended June 30, 2026, compared to the same period last year, primarily due to an increase in stock-based compensation expenses and a combination of several other individually insignificant factors. Stock-based compensation expense increased by $3.1 million primarily due to an increase in the total projected achievement levels on certain performance-based RSU grants.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during the six months ended June 30, 2026, compared to the same period last year, primarily due to increases in stock-based compensation expenses, compensation and benefit expenses, and equipment and software expenses, partially offset by an increase in overhead expenses allocated to other cost types. Stock-based compensation expense increased by $4.3 million primarily due to an increase in the total projected achievement levels on certain performance-based RSU grants. Compensation and benefits expenses increased by $3.6 million, primarily due to higher expenses for certain employee health-insurance related benefits and annual salary increases. Equipment and software expenses increased by $3.6 million primarily due to increases in expenses related to network security and other software services. Overhead expenses allocated to other cost types increased by $3.2 million due to an increase in total allocable expenses.</w:t>
      </w:r>
    </w:p>
    <w:p>
      <w:pPr>
        <w:pStyle w:val="TextBody"/>
        <w:bidi w:val="0"/>
        <w:spacing w:lineRule="auto" w:line="288" w:before="180" w:after="120"/>
        <w:ind w:left="0" w:right="0" w:firstLine="27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slightly during the six months ended June 30, 2026, compared to the same period last year, primarily due to the period of overlap in 2025 between the issuance of $500.0 million of 5.25% senior unsecured notes issued in 2025 (“2025 Notes”) and repayment of $500.0 million of outstanding 5.25% senior unsecured notes issued in 2015 (“2015 Notes”).</w:t>
      </w:r>
    </w:p>
    <w:p>
      <w:pPr>
        <w:pStyle w:val="TextBody"/>
        <w:bidi w:val="0"/>
        <w:spacing w:lineRule="auto" w:line="288" w:before="18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Non-operating income, net</w:t>
      </w:r>
    </w:p>
    <w:p>
      <w:pPr>
        <w:pStyle w:val="TextBody"/>
        <w:bidi w:val="0"/>
        <w:spacing w:lineRule="auto" w:line="288" w:before="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Non-operating income decreased during the three and six months ended June 30, 2026, compared to the same periods last year, primarily due to a decrease in interest income as a result of lower amounts invested in debt securities in the current period and a decrease in interest rates on the Company’s investments in debt securities.</w:t>
      </w:r>
    </w:p>
    <w:p>
      <w:pPr>
        <w:pStyle w:val="TextBody"/>
        <w:bidi w:val="0"/>
        <w:spacing w:lineRule="auto" w:line="288" w:before="180" w:after="120"/>
        <w:ind w:left="0" w:right="0" w:firstLine="27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0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income tax expense and the effective tax rate:</w:t>
      </w:r>
    </w:p>
    <w:tbl>
      <w:tblPr>
        <w:tblW w:w="6933" w:type="dxa"/>
        <w:jc w:val="left"/>
        <w:tblInd w:w="0" w:type="dxa"/>
        <w:tblLayout w:type="fixed"/>
        <w:tblCellMar>
          <w:top w:w="28" w:type="dxa"/>
          <w:left w:w="28" w:type="dxa"/>
          <w:bottom w:w="28" w:type="dxa"/>
          <w:right w:w="28" w:type="dxa"/>
        </w:tblCellMar>
      </w:tblPr>
      <w:tblGrid>
        <w:gridCol w:w="625"/>
        <w:gridCol w:w="548"/>
        <w:gridCol w:w="552"/>
        <w:gridCol w:w="211"/>
        <w:gridCol w:w="511"/>
        <w:gridCol w:w="271"/>
        <w:gridCol w:w="109"/>
        <w:gridCol w:w="109"/>
        <w:gridCol w:w="109"/>
        <w:gridCol w:w="211"/>
        <w:gridCol w:w="511"/>
        <w:gridCol w:w="271"/>
        <w:gridCol w:w="109"/>
        <w:gridCol w:w="109"/>
        <w:gridCol w:w="109"/>
        <w:gridCol w:w="211"/>
        <w:gridCol w:w="616"/>
        <w:gridCol w:w="271"/>
        <w:gridCol w:w="109"/>
        <w:gridCol w:w="109"/>
        <w:gridCol w:w="109"/>
        <w:gridCol w:w="211"/>
        <w:gridCol w:w="616"/>
        <w:gridCol w:w="316"/>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each of the periods in the table above differed from the statutory federal rate of 21%, due to state income taxes and U.S. taxes on foreign earnings, net of foreign tax credits, partially offset by a lower foreign effective tax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principal sources of liquidity:</w:t>
      </w:r>
    </w:p>
    <w:tbl>
      <w:tblPr>
        <w:tblW w:w="4817" w:type="dxa"/>
        <w:jc w:val="left"/>
        <w:tblInd w:w="0" w:type="dxa"/>
        <w:tblLayout w:type="fixed"/>
        <w:tblCellMar>
          <w:top w:w="28" w:type="dxa"/>
          <w:left w:w="28" w:type="dxa"/>
          <w:bottom w:w="28" w:type="dxa"/>
          <w:right w:w="28" w:type="dxa"/>
        </w:tblCellMar>
      </w:tblPr>
      <w:tblGrid>
        <w:gridCol w:w="820"/>
        <w:gridCol w:w="720"/>
        <w:gridCol w:w="724"/>
        <w:gridCol w:w="211"/>
        <w:gridCol w:w="766"/>
        <w:gridCol w:w="109"/>
        <w:gridCol w:w="109"/>
        <w:gridCol w:w="109"/>
        <w:gridCol w:w="109"/>
        <w:gridCol w:w="245"/>
        <w:gridCol w:w="716"/>
        <w:gridCol w:w="17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marketable securities primarily consist of debt securities issued by the U.S. Treasury meeting the criteria of our investment policy, which is focused on the preservation of our capital through investment in investment grade securities. The cash equivalents consist of amounts invested in money market funds, time deposits and U.S. Treasury bills purchased with original maturities of three months or less. As of June 30, 2026, all of our debt securities have contractual maturities of less than one year. Our cash and cash equivalents are readily accessible. For additional information on our investment portfolio, see Note 2, “Financial Instruments,” of our Notes to Condensed Consolidated Financial Statements in Part I, Item I of this Quarterly Report on Form 10-Q. </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repurchased 0.7 million shares of common stock for an aggregate cost of $196.8 million. As of June 30, 2026, there was $666.0 million remaining available for future share repurchases under the Company’s share repurchase program. Effective July 23, 2026, the Board of Directors authorized the repurchase of common stock in the amount of $884.2 million, in addition to the $615.8 million that remained available for repurchases under the prior share repurchase authorization, for a total repurchase authorization of up to $1.50 billion under the program.</w:t>
      </w:r>
    </w:p>
    <w:p>
      <w:pPr>
        <w:pStyle w:val="TextBody"/>
        <w:bidi w:val="0"/>
        <w:spacing w:lineRule="auto" w:line="288" w:before="14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the six months ended June 30, 2026, we paid dividends of $147.8 million. On July 20, 2026, the Board of Directors declared a cash dividend of $0.81 per share of the Company’s outstanding common stock to stockholders of record as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140" w:after="120"/>
        <w:jc w:val="left"/>
        <w:rPr>
          <w:rFonts w:ascii="Times New Roman;serif" w:hAnsi="Times New Roman;serif"/>
          <w:b w:val="false"/>
          <w:color w:val="000000"/>
          <w:sz w:val="20"/>
        </w:rPr>
      </w:pPr>
      <w:r>
        <w:rPr>
          <w:rFonts w:ascii="Times New Roman;serif" w:hAnsi="Times New Roman;serif"/>
          <w:b w:val="false"/>
          <w:color w:val="000000"/>
          <w:sz w:val="20"/>
        </w:rPr>
        <w:t>close of business on August 19, 2026, payable on August 27, 2026. We intend to continue to pay a cash dividend on a quarterly basis, subject to market conditions and approval by the Board of Directors.</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26, 2026, we issued $550.0 million of the 2026 Notes. As of June 30, 2026, we also had $550.0 million principal amount outstanding of the 2017 Notes, $750.0 million aggregate principal amount of outstanding 2.70% senior unsecured notes issued in 2021, and $500.0 million principal amount outstanding of the 2025 Notes. On July 20, 2026, we used the net proceeds from the 2026 Notes and cash on hand to redeem all of our $550.0 million aggregate principal amount outstanding of the 2017 Notes. As of June 30, 2026, we had no outstanding borrowings and $200.0 million in borrowing capacity under our credit facility, which matures in 2028.</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existing cash, cash equivalents and marketable securities, and funds generated from operations, together with our ability to arrange for additional financing should be sufficient to meet our working capital, capital expenditure requirements, fund our quarterly dividend, and to service our debt for the next 12 months and beyond. We regularly assess our cash management approach and activities in view of our current and potential future needs. Our cash requirements have not changed materially since the 2025 Form 10-K.</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summary, our cash flows for the six months ended June 30, 2026 and 2025 were as follows:</w:t>
      </w:r>
    </w:p>
    <w:tbl>
      <w:tblPr>
        <w:tblW w:w="8619" w:type="dxa"/>
        <w:jc w:val="left"/>
        <w:tblInd w:w="0" w:type="dxa"/>
        <w:tblLayout w:type="fixed"/>
        <w:tblCellMar>
          <w:top w:w="28" w:type="dxa"/>
          <w:left w:w="28" w:type="dxa"/>
          <w:bottom w:w="28" w:type="dxa"/>
          <w:right w:w="28" w:type="dxa"/>
        </w:tblCellMar>
      </w:tblPr>
      <w:tblGrid>
        <w:gridCol w:w="2307"/>
        <w:gridCol w:w="2031"/>
        <w:gridCol w:w="2037"/>
        <w:gridCol w:w="211"/>
        <w:gridCol w:w="616"/>
        <w:gridCol w:w="109"/>
        <w:gridCol w:w="109"/>
        <w:gridCol w:w="109"/>
        <w:gridCol w:w="109"/>
        <w:gridCol w:w="211"/>
        <w:gridCol w:w="616"/>
        <w:gridCol w:w="154"/>
      </w:tblGrid>
      <w:tr>
        <w:trPr/>
        <w:tc>
          <w:tcPr>
            <w:tcW w:w="2307"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2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largest source of operating cash flows is cash collections from our customers. Our primary uses of cash from operating activities are for personnel-related expenditures and other general operating expenses, as well as payments related to taxes, interest and facilities.</w:t>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Net cash provided by operating activities increased during the six months ended June 30, 2026, compared to the same period last year, primarily due to decreases in cash paid for income taxes and cash paid for interest and an increase in cash received from customers, partially offset by an increase in cash paid to employees and vendors. Cash paid for income taxes decreased primarily due to the final installment payment for the transition tax on accumulated foreign earnings resulting from the 2017 Tax Cuts and Jobs Act in 2025. Cash paid for interest decreased primarily as a result of the final payment of interest on our 2015 Notes in 2025. Cash received from customers increased primarily due to the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 xml:space="preserve">price increases and higher </w:t>
      </w:r>
      <w:r>
        <w:rPr>
          <w:rFonts w:ascii="Times New Roman;serif" w:hAnsi="Times New Roman;serif"/>
          <w:b w:val="false"/>
          <w:i/>
          <w:color w:val="000000"/>
          <w:sz w:val="20"/>
        </w:rPr>
        <w:t>.com</w:t>
      </w:r>
      <w:r>
        <w:rPr>
          <w:color w:val="000000"/>
        </w:rPr>
        <w:t xml:space="preserve"> </w:t>
      </w:r>
      <w:r>
        <w:rPr>
          <w:rFonts w:ascii="Times New Roman;serif" w:hAnsi="Times New Roman;serif"/>
          <w:b w:val="false"/>
          <w:color w:val="000000"/>
          <w:sz w:val="20"/>
        </w:rPr>
        <w:t>domain name registrations and renewals. Cash paid to employees and vendors increased primarily due to an increase in operating expenses and the timing of payments.</w:t>
      </w:r>
    </w:p>
    <w:p>
      <w:pPr>
        <w:pStyle w:val="TextBody"/>
        <w:bidi w:val="0"/>
        <w:spacing w:lineRule="auto" w:line="288" w:before="1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12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changes in cash flows from investing activities primarily relate to purchases, maturities and sales of marketable securities, and purchases of property and equipment.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decreased during the six months ended June 30, 2026, compared to the same period last year, primarily due to a decrease in proceeds from maturities and sales of marketable securities, net of purchases of marketable securities, and an increase in purchases of property and equipment.</w:t>
      </w:r>
    </w:p>
    <w:p>
      <w:pPr>
        <w:pStyle w:val="TextBody"/>
        <w:bidi w:val="0"/>
        <w:spacing w:lineRule="auto" w:line="288" w:before="1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12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changes in cash flows from financing activities primarily relate to proceeds from and repayment of borrowings, share repurchases, dividend payments, payment of excise tax on share repurchases, and proceeds from our employee stock purchase plan.</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decreased during the six months ended June 30, 2026, compared to the same period last year, primarily due to the proceeds from the issuance of our 2026 Notes, the net impact of the redemption of our 2015 Notes and the issuance of our 2025 Notes in 2025, and a decrease in the payment of excise tax on share repurchases, partially offset by increases in dividend payments to stockholders and increases in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significant changes in our market risk exposures since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(our principal executive officer) and our Chief Financial Officer (our principal financial officer), evaluated the effectiveness of our disclosure controls and procedures. Based on this evaluation, as of June 30, 2026, our principal executive officer and principal financial officer have concluded that our disclosure controls and procedures (as defined in Rules 13a-15(e) and 15d-15(e) under the Exchange Act) are effective to ensure that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such term is defined in Rules 13a-15(f) and 15d-15(f) under the Exchange Act) during the three months ended June 30, 2026 that has materially affected, or is reasonably likely to materially affect, the Company’s internal control over financial reporting.</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Inherent Limitations of Disclosure Controls and Internal Control over Financial Reporting</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68" w:before="0" w:after="0"/>
        <w:ind w:left="0" w:right="0" w:firstLine="450"/>
        <w:jc w:val="left"/>
        <w:rPr/>
      </w:pPr>
      <w:r>
        <w:rPr>
          <w:rFonts w:ascii="Times New Roman;serif" w:hAnsi="Times New Roman;serif"/>
          <w:b w:val="false"/>
          <w:color w:val="000000"/>
          <w:sz w:val="20"/>
        </w:rPr>
        <w:t>Disputes related to the award and delegation of the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TLD to Verisign, including the Independent Review Process against ICANN, have been resolved. The terms of the resolution are confidential and not material to our financial statements. As a result of the resolution, the .</w:t>
      </w:r>
      <w:r>
        <w:rPr>
          <w:rFonts w:ascii="Times New Roman;serif" w:hAnsi="Times New Roman;serif"/>
          <w:b w:val="false"/>
          <w:i/>
          <w:color w:val="000000"/>
          <w:sz w:val="20"/>
        </w:rPr>
        <w:t>web</w:t>
      </w:r>
      <w:r>
        <w:rPr>
          <w:color w:val="000000"/>
        </w:rPr>
        <w:t xml:space="preserve"> </w:t>
      </w:r>
      <w:r>
        <w:rPr>
          <w:rFonts w:ascii="Times New Roman;serif" w:hAnsi="Times New Roman;serif"/>
          <w:b w:val="false"/>
          <w:color w:val="000000"/>
          <w:sz w:val="20"/>
        </w:rPr>
        <w:t xml:space="preserve">TLD has been awarded and delegated to Verisign. </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also involved in various investigations, claims and lawsuits arising in the normal conduct of our business, none of which, in our opinion, will have a material adverse effect on our financial condition, results of operations, or cash flows. We cannot assure you that we will prevail in any litigation. Regardless of the outcome, any litigation may require us to incur significant litigation expense and may result in significant diversion of management attention.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1A.</w:t>
      </w:r>
      <w:r>
        <w:rPr>
          <w:color w:val="000000"/>
        </w:rPr>
        <w:t>    </w:t>
      </w:r>
      <w:r>
        <w:rPr>
          <w:rFonts w:ascii="Times New Roman;serif" w:hAnsi="Times New Roman;serif"/>
          <w:b/>
          <w:color w:val="000000"/>
          <w:sz w:val="20"/>
        </w:rPr>
        <w:t xml:space="preserve">RISK FACTORS </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Our business, operating results, financial condition, reputation, cash flows or prospects can be materially adversely affected by a number of factors, including but not limited to those described in Part I, Item 1A of the 2025 Form 10-K under the heading “Risk Factors.” In such case, the trading price of our common stock could decline and you could lose part or all of your investment. Additional risks and uncertainties not currently known to us or that we currently deem immaterial may also materially adversely affect our business, operating results, financial condition, reputation, cash flows and prospects. Actual results could differ materially from those projected in the forward-looking statements contained in this Form 10-Q as a result of the risk factors described in Part I, Item 1A of the 2025 Form 10-K and in other filings we make with the SEC. There have been no material changes to the Company’s risk factors since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0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share repurchase activity during the three months ended June 30, 2026: </w:t>
      </w:r>
    </w:p>
    <w:tbl>
      <w:tblPr>
        <w:tblW w:w="7680" w:type="dxa"/>
        <w:jc w:val="left"/>
        <w:tblInd w:w="0" w:type="dxa"/>
        <w:tblLayout w:type="fixed"/>
        <w:tblCellMar>
          <w:top w:w="28" w:type="dxa"/>
          <w:left w:w="28" w:type="dxa"/>
          <w:bottom w:w="28" w:type="dxa"/>
          <w:right w:w="28" w:type="dxa"/>
        </w:tblCellMar>
      </w:tblPr>
      <w:tblGrid>
        <w:gridCol w:w="565"/>
        <w:gridCol w:w="496"/>
        <w:gridCol w:w="499"/>
        <w:gridCol w:w="375"/>
        <w:gridCol w:w="375"/>
        <w:gridCol w:w="376"/>
        <w:gridCol w:w="109"/>
        <w:gridCol w:w="109"/>
        <w:gridCol w:w="109"/>
        <w:gridCol w:w="211"/>
        <w:gridCol w:w="721"/>
        <w:gridCol w:w="109"/>
        <w:gridCol w:w="109"/>
        <w:gridCol w:w="109"/>
        <w:gridCol w:w="109"/>
        <w:gridCol w:w="444"/>
        <w:gridCol w:w="444"/>
        <w:gridCol w:w="446"/>
        <w:gridCol w:w="109"/>
        <w:gridCol w:w="109"/>
        <w:gridCol w:w="109"/>
        <w:gridCol w:w="211"/>
        <w:gridCol w:w="616"/>
        <w:gridCol w:w="811"/>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 as</w:t>
              <w:br/>
              <w:t>Part of Publicly</w:t>
              <w:br/>
              <w:t>Announced</w:t>
              <w:br/>
              <w:t>Plans or</w:t>
              <w:br/>
              <w:t>Programs (1)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Approximate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Dollar Value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That May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Yet Be Purchased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Under the Plans or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Programs (1) (2)</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in thousands)</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1 - 30, 2026</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803.5 </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million</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1 - 31, 2026</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747.1 </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million</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1 - 30, 2026</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666.0 </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million</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Effective July 24, 2025, the Board of Directors authorized the repurchase of common stock in the amount of $913.1 million, in addition to the $586.9 million that remained available for repurchases under the prior share repurchase authorization, for a total repurchase authorization of up to $1.50 billion under the program. The share repurchase program has no expiration date. Purchases made under the program can be effected through open market transactions, block purchases, accelerated share repurchase agreements or other negotiated transactions. Effective July 23, 2026, the Company’s Board of Directors authorized the repurchase of its common stock in the amount of $884.2 million, in addition to the $615.8 million that remained available for repurchases under the prior share repurchase authorization, for a total repurchase authorization of up to $1.50 billion under the program.</w:t>
      </w:r>
    </w:p>
    <w:p>
      <w:pPr>
        <w:pStyle w:val="TextBody"/>
        <w:bidi w:val="0"/>
        <w:spacing w:lineRule="auto" w:line="288" w:before="140" w:after="18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 Amounts presented are exclusive of the excise tax on share repurchases.</w:t>
      </w:r>
    </w:p>
    <w:p>
      <w:pPr>
        <w:pStyle w:val="TextBody"/>
        <w:bidi w:val="0"/>
        <w:spacing w:lineRule="auto" w:line="288" w:before="140" w:after="18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    Amounts in the table above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directors and executive officers may from time to time enter into plans or other arrangements for the purchase or sale of our shares that are intended to satisfy the affirmative defense conditions of Rule 10b5-1(c) or may represent a non-Rule 10b5-1 trading arrangement under the Exchange Act.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directors or executive officers that adopted, terminated or modified plans or other arrangements during the quarter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required under Item 6—Exhibits, the exhibits filed as part of this report are provided in this separate section. The exhibits included in this section are as follows: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940"/>
        <w:gridCol w:w="1637"/>
        <w:gridCol w:w="1618"/>
        <w:gridCol w:w="175"/>
        <w:gridCol w:w="175"/>
        <w:gridCol w:w="176"/>
        <w:gridCol w:w="119"/>
        <w:gridCol w:w="119"/>
        <w:gridCol w:w="119"/>
        <w:gridCol w:w="187"/>
        <w:gridCol w:w="187"/>
        <w:gridCol w:w="188"/>
        <w:gridCol w:w="119"/>
        <w:gridCol w:w="119"/>
        <w:gridCol w:w="119"/>
        <w:gridCol w:w="250"/>
        <w:gridCol w:w="250"/>
        <w:gridCol w:w="251"/>
        <w:gridCol w:w="109"/>
        <w:gridCol w:w="109"/>
        <w:gridCol w:w="109"/>
        <w:gridCol w:w="300"/>
        <w:gridCol w:w="300"/>
        <w:gridCol w:w="437"/>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Description</w:t>
            </w:r>
          </w:p>
        </w:tc>
        <w:tc>
          <w:tcPr>
            <w:tcW w:w="25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Third Supplemental Indenture, dated as of June 26, 2026, between VeriSign, Inc. and U.S. Bank Trust Company, National Association, as trustee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6/26/26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20"/>
                  <w:u w:val="single"/>
                </w:rPr>
                <w:t>A</w:t>
              </w:r>
            </w:hyperlink>
            <w:hyperlink r:id="rId4">
              <w:r>
                <w:rPr>
                  <w:rStyle w:val="InternetLink"/>
                  <w:rFonts w:ascii="Times New Roman;serif" w:hAnsi="Times New Roman;serif"/>
                  <w:b w:val="false"/>
                  <w:color w:val="000080"/>
                  <w:sz w:val="20"/>
                  <w:u w:val="single"/>
                </w:rPr>
                <w:t>mended and Restated Veri</w:t>
              </w:r>
            </w:hyperlink>
            <w:hyperlink r:id="rId5">
              <w:r>
                <w:rPr>
                  <w:rStyle w:val="InternetLink"/>
                  <w:rFonts w:ascii="Times New Roman;serif" w:hAnsi="Times New Roman;serif"/>
                  <w:b w:val="false"/>
                  <w:color w:val="000080"/>
                  <w:sz w:val="20"/>
                  <w:u w:val="single"/>
                </w:rPr>
                <w:t>S</w:t>
              </w:r>
            </w:hyperlink>
            <w:hyperlink r:id="rId6">
              <w:r>
                <w:rPr>
                  <w:rStyle w:val="InternetLink"/>
                  <w:rFonts w:ascii="Times New Roman;serif" w:hAnsi="Times New Roman;serif"/>
                  <w:b w:val="false"/>
                  <w:color w:val="000080"/>
                  <w:sz w:val="20"/>
                  <w:u w:val="single"/>
                </w:rPr>
                <w:t>ign, Inc. 200</w:t>
              </w:r>
            </w:hyperlink>
            <w:hyperlink r:id="rId7">
              <w:r>
                <w:rPr>
                  <w:rStyle w:val="InternetLink"/>
                  <w:rFonts w:ascii="Times New Roman;serif" w:hAnsi="Times New Roman;serif"/>
                  <w:b w:val="false"/>
                  <w:color w:val="000080"/>
                  <w:sz w:val="20"/>
                  <w:u w:val="single"/>
                </w:rPr>
                <w:t xml:space="preserve">6 Equity Incentive </w:t>
              </w:r>
            </w:hyperlink>
            <w:hyperlink r:id="rId8">
              <w:r>
                <w:rPr>
                  <w:rStyle w:val="InternetLink"/>
                  <w:rFonts w:ascii="Times New Roman;serif" w:hAnsi="Times New Roman;serif"/>
                  <w:b w:val="false"/>
                  <w:color w:val="000080"/>
                  <w:sz w:val="20"/>
                  <w:u w:val="single"/>
                </w:rPr>
                <w:t>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5/21/26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sn-2026630x10qxex3101.htm">
              <w:r>
                <w:rPr>
                  <w:rStyle w:val="InternetLink"/>
                  <w:rFonts w:ascii="Times New Roman;serif" w:hAnsi="Times New Roman;serif"/>
                  <w:b w:val="false"/>
                  <w:color w:val="0000FF"/>
                  <w:sz w:val="20"/>
                  <w:u w:val="single"/>
                </w:rPr>
                <w:t>Certification of Principal Executive Officer pursuant to Exchange Act Rule 13a-14(a).</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sn-2026630x10qxex3102.htm">
              <w:r>
                <w:rPr>
                  <w:rStyle w:val="InternetLink"/>
                  <w:rFonts w:ascii="Times New Roman;serif" w:hAnsi="Times New Roman;serif"/>
                  <w:b w:val="false"/>
                  <w:color w:val="0000FF"/>
                  <w:sz w:val="20"/>
                  <w:u w:val="single"/>
                </w:rPr>
                <w:t>Certification of Principal Financial Officer pursuant to Exchange Act Rule 13a-14(a).</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sn-2026630x10qxex3201.htm">
              <w:r>
                <w:rPr>
                  <w:rStyle w:val="InternetLink"/>
                  <w:rFonts w:ascii="Times New Roman;serif" w:hAnsi="Times New Roman;serif"/>
                  <w:b w:val="false"/>
                  <w:color w:val="0000FF"/>
                  <w:sz w:val="20"/>
                  <w:u w:val="single"/>
                </w:rPr>
                <w:t>Certification of Principal Executive Officer pursuant to Exchange Act Rule 13a-14(b) and Section 1350 of Chapter 63 of Title 18 of the U.S. Code (18 U.S.C. 1350). *</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rsn-2026630x10qxex3202.htm">
              <w:r>
                <w:rPr>
                  <w:rStyle w:val="InternetLink"/>
                  <w:rFonts w:ascii="Times New Roman;serif" w:hAnsi="Times New Roman;serif"/>
                  <w:b w:val="false"/>
                  <w:color w:val="0000FF"/>
                  <w:sz w:val="20"/>
                  <w:u w:val="single"/>
                </w:rPr>
                <w:t>Certification of Principal Financial Officer pursuant to Exchange Act Rule 13a-14(b) and Section 1350 of Chapter 63 of Title 18 of the U.S. Code (18 U.S.C. 1350). *</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Interactive Data File. The instance document does not appear in the Interactive Data File because its XBRL tags are embedded within the Inline XBRL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contemplated by SEC Release No. 33-8212, these exhibits are furnished with this Quarterly Report on Form 10-Q and are not deemed filed with the SEC and are not incorporated by reference in any filing of VeriSign, Inc. under the Securities Act of 1933 or the Securities Exchange Act of 1934, whether made before or after the date hereof and irrespective of any general incorporation language in such filings.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78ed96297cd40b09fc505adb3b2e2fe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382"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955"/>
        <w:gridCol w:w="955"/>
        <w:gridCol w:w="135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VERISIGN,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D. J</w:t>
            </w:r>
            <w:r>
              <w:rPr>
                <w:rFonts w:ascii="Times New Roman;serif" w:hAnsi="Times New Roman;serif"/>
                <w:b w:val="false"/>
                <w:color w:val="000000"/>
                <w:sz w:val="16"/>
              </w:rPr>
              <w:t>AMES</w:t>
            </w:r>
            <w:r>
              <w:rPr>
                <w:color w:val="000000"/>
              </w:rPr>
              <w:t xml:space="preserve"> </w:t>
            </w:r>
            <w:r>
              <w:rPr>
                <w:rFonts w:ascii="Times New Roman;serif" w:hAnsi="Times New Roman;serif"/>
                <w:b w:val="false"/>
                <w:color w:val="000000"/>
                <w:sz w:val="20"/>
              </w:rPr>
              <w:t>B</w:t>
            </w:r>
            <w:r>
              <w:rPr>
                <w:rFonts w:ascii="Times New Roman;serif" w:hAnsi="Times New Roman;serif"/>
                <w:b w:val="false"/>
                <w:color w:val="000000"/>
                <w:sz w:val="16"/>
              </w:rPr>
              <w:t>IDZOS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 James Bidzos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President and 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(Principal Executive Officer)</w:t>
            </w:r>
          </w:p>
        </w:tc>
      </w:tr>
    </w:tbl>
    <w:p>
      <w:pPr>
        <w:pStyle w:val="TextBody"/>
        <w:bidi w:val="0"/>
        <w:spacing w:lineRule="auto" w:line="288" w:before="0" w:after="0"/>
        <w:jc w:val="left"/>
        <w:rPr>
          <w:color w:val="000000"/>
        </w:rPr>
      </w:pPr>
      <w:r>
        <w:rPr>
          <w:color w:val="000000"/>
        </w:rPr>
        <w:t> </w:t>
      </w:r>
    </w:p>
    <w:tbl>
      <w:tblPr>
        <w:tblW w:w="7452"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1561"/>
        <w:gridCol w:w="1561"/>
        <w:gridCol w:w="221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JOHN D. CALYS</w:t>
            </w: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John D. Calys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Executive Vice President and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100" w:after="100"/>
        <w:jc w:val="lef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31.01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EXCHANGE ACT RULE 13a-14(a)/15d-14(a)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D. James Bidzos, certify that: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VeriSign, Inc.;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100" w:after="100"/>
        <w:jc w:val="left"/>
        <w:rPr/>
      </w:pPr>
      <w:r>
        <w:rPr/>
      </w:r>
    </w:p>
    <w:tbl>
      <w:tblPr>
        <w:tblW w:w="5382" w:type="dxa"/>
        <w:jc w:val="center"/>
        <w:tblInd w:w="0" w:type="dxa"/>
        <w:tblLayout w:type="fixed"/>
        <w:tblCellMar>
          <w:top w:w="28" w:type="dxa"/>
          <w:left w:w="28" w:type="dxa"/>
          <w:bottom w:w="28" w:type="dxa"/>
          <w:right w:w="28" w:type="dxa"/>
        </w:tblCellMar>
      </w:tblPr>
      <w:tblGrid>
        <w:gridCol w:w="618"/>
        <w:gridCol w:w="544"/>
        <w:gridCol w:w="547"/>
        <w:gridCol w:w="134"/>
        <w:gridCol w:w="134"/>
        <w:gridCol w:w="136"/>
        <w:gridCol w:w="954"/>
        <w:gridCol w:w="954"/>
        <w:gridCol w:w="136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D. J</w:t>
            </w:r>
            <w:r>
              <w:rPr>
                <w:rFonts w:ascii="Times New Roman;serif" w:hAnsi="Times New Roman;serif"/>
                <w:b w:val="false"/>
                <w:color w:val="000000"/>
                <w:sz w:val="16"/>
              </w:rPr>
              <w:t>AMES</w:t>
            </w:r>
            <w:r>
              <w:rPr>
                <w:color w:val="000000"/>
              </w:rPr>
              <w:t xml:space="preserve"> </w:t>
            </w:r>
            <w:r>
              <w:rPr>
                <w:rFonts w:ascii="Times New Roman;serif" w:hAnsi="Times New Roman;serif"/>
                <w:b w:val="false"/>
                <w:color w:val="000000"/>
                <w:sz w:val="20"/>
              </w:rPr>
              <w:t>B</w:t>
            </w:r>
            <w:r>
              <w:rPr>
                <w:rFonts w:ascii="Times New Roman;serif" w:hAnsi="Times New Roman;serif"/>
                <w:b w:val="false"/>
                <w:color w:val="000000"/>
                <w:sz w:val="16"/>
              </w:rPr>
              <w:t>IDZOS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 James Bidzos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President and 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(Principal Executive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00" w:after="100"/>
        <w:jc w:val="lef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31.02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EXCHANGE ACT RULE 13a-14(a)/15d-14(a)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John D. Calys, certify that: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VeriSign, Inc.;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100" w:after="100"/>
        <w:jc w:val="left"/>
        <w:rPr/>
      </w:pPr>
      <w:r>
        <w:rPr/>
      </w:r>
    </w:p>
    <w:p>
      <w:pPr>
        <w:pStyle w:val="TextBody"/>
        <w:bidi w:val="0"/>
        <w:spacing w:before="100" w:after="100"/>
        <w:jc w:val="left"/>
        <w:rPr/>
      </w:pPr>
      <w:r>
        <w:rPr/>
      </w:r>
    </w:p>
    <w:tbl>
      <w:tblPr>
        <w:tblW w:w="7452" w:type="dxa"/>
        <w:jc w:val="center"/>
        <w:tblInd w:w="0" w:type="dxa"/>
        <w:tblLayout w:type="fixed"/>
        <w:tblCellMar>
          <w:top w:w="28" w:type="dxa"/>
          <w:left w:w="28" w:type="dxa"/>
          <w:bottom w:w="28" w:type="dxa"/>
          <w:right w:w="28" w:type="dxa"/>
        </w:tblCellMar>
      </w:tblPr>
      <w:tblGrid>
        <w:gridCol w:w="618"/>
        <w:gridCol w:w="544"/>
        <w:gridCol w:w="547"/>
        <w:gridCol w:w="134"/>
        <w:gridCol w:w="134"/>
        <w:gridCol w:w="136"/>
        <w:gridCol w:w="1558"/>
        <w:gridCol w:w="1558"/>
        <w:gridCol w:w="222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D. CALYS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John D. Calys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Executive Vice President and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(Principal Financial Officer and Principal Accounting Officer)</w:t>
            </w:r>
          </w:p>
        </w:tc>
      </w:tr>
    </w:tbl>
    <w:p>
      <w:pPr>
        <w:pStyle w:val="TextBody"/>
        <w:bidi w:val="0"/>
        <w:spacing w:before="0" w:after="1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00" w:after="100"/>
        <w:jc w:val="lef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32.01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center"/>
        <w:rPr/>
      </w:pPr>
      <w:r>
        <w:rPr/>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 D. James Bidzos, Chief Executive Officer of VeriSign, Inc. (the “Company”), do hereby certify, pursuant to 18 U.S.C. Section 1350, as adopted pursuant to Section 906 of the Sarbanes-Oxley Act of 2002, that, to my knowledge: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the Quarterly Report on Form 10-Q of the Company for the fiscal quarter ended June 30, 2026, as filed with the Securities and Exchange Commission (the “Report”), fully complies with the requirements of Section 13(a) or 15(d) of the Securities Exchange Act of 1934; and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tbl>
      <w:tblPr>
        <w:tblW w:w="4978" w:type="dxa"/>
        <w:jc w:val="center"/>
        <w:tblInd w:w="0" w:type="dxa"/>
        <w:tblLayout w:type="fixed"/>
        <w:tblCellMar>
          <w:top w:w="28" w:type="dxa"/>
          <w:left w:w="28" w:type="dxa"/>
          <w:bottom w:w="28" w:type="dxa"/>
          <w:right w:w="28" w:type="dxa"/>
        </w:tblCellMar>
      </w:tblPr>
      <w:tblGrid>
        <w:gridCol w:w="618"/>
        <w:gridCol w:w="544"/>
        <w:gridCol w:w="547"/>
        <w:gridCol w:w="954"/>
        <w:gridCol w:w="954"/>
        <w:gridCol w:w="136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D. J</w:t>
            </w:r>
            <w:r>
              <w:rPr>
                <w:rFonts w:ascii="Times New Roman;serif" w:hAnsi="Times New Roman;serif"/>
                <w:b w:val="false"/>
                <w:color w:val="000000"/>
                <w:sz w:val="16"/>
              </w:rPr>
              <w:t>AMES</w:t>
            </w:r>
            <w:r>
              <w:rPr>
                <w:color w:val="000000"/>
              </w:rPr>
              <w:t xml:space="preserve"> </w:t>
            </w:r>
            <w:r>
              <w:rPr>
                <w:rFonts w:ascii="Times New Roman;serif" w:hAnsi="Times New Roman;serif"/>
                <w:b w:val="false"/>
                <w:color w:val="000000"/>
                <w:sz w:val="20"/>
              </w:rPr>
              <w:t>B</w:t>
            </w:r>
            <w:r>
              <w:rPr>
                <w:rFonts w:ascii="Times New Roman;serif" w:hAnsi="Times New Roman;serif"/>
                <w:b w:val="false"/>
                <w:color w:val="000000"/>
                <w:sz w:val="16"/>
              </w:rPr>
              <w:t>IDZOS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 James Bidzos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President and 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(Principal Executive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00" w:after="100"/>
        <w:jc w:val="lef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32.02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before="0" w:after="0"/>
        <w:jc w:val="center"/>
        <w:rPr/>
      </w:pPr>
      <w:r>
        <w:rPr/>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 John D. Calys, Chief Financial Officer of VeriSign, Inc. (the “Company”), do hereby certify, pursuant to 18 U.S.C. Section 1350, as adopted pursuant to Section 906 of the Sarbanes-Oxley Act of 2002, that, to my knowledge: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the Quarterly Report on Form 10-Q of the Company for the fiscal quarter ended June 30, 2026, as filed with the Securities and Exchange Commission (the “Report”), fully complies with the requirements of Section 13(a) or 15(d) of the Securities Exchange Act of 1934; and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tbl>
      <w:tblPr>
        <w:tblW w:w="7048" w:type="dxa"/>
        <w:jc w:val="center"/>
        <w:tblInd w:w="0" w:type="dxa"/>
        <w:tblLayout w:type="fixed"/>
        <w:tblCellMar>
          <w:top w:w="28" w:type="dxa"/>
          <w:left w:w="28" w:type="dxa"/>
          <w:bottom w:w="28" w:type="dxa"/>
          <w:right w:w="28" w:type="dxa"/>
        </w:tblCellMar>
      </w:tblPr>
      <w:tblGrid>
        <w:gridCol w:w="618"/>
        <w:gridCol w:w="544"/>
        <w:gridCol w:w="547"/>
        <w:gridCol w:w="1558"/>
        <w:gridCol w:w="1558"/>
        <w:gridCol w:w="222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D. CALYS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John D. Calys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Executive Vice President and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(Principal Financial Officer and Principal Accounting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4473/000114036126026514/ef20076829_ex4-1.htm" TargetMode="External"/><Relationship Id="rId3" Type="http://schemas.openxmlformats.org/officeDocument/2006/relationships/hyperlink" Target="https://www.sec.gov/Archives/edgar/data/1014473/000101447326000023/amendedandrestatedverisign.htm" TargetMode="External"/><Relationship Id="rId4" Type="http://schemas.openxmlformats.org/officeDocument/2006/relationships/hyperlink" Target="https://www.sec.gov/Archives/edgar/data/1014473/000101447326000023/amendedandrestatedverisign.htm" TargetMode="External"/><Relationship Id="rId5" Type="http://schemas.openxmlformats.org/officeDocument/2006/relationships/hyperlink" Target="https://www.sec.gov/Archives/edgar/data/1014473/000101447326000023/amendedandrestatedverisign.htm" TargetMode="External"/><Relationship Id="rId6" Type="http://schemas.openxmlformats.org/officeDocument/2006/relationships/hyperlink" Target="https://www.sec.gov/Archives/edgar/data/1014473/000101447326000023/amendedandrestatedverisign.htm" TargetMode="External"/><Relationship Id="rId7" Type="http://schemas.openxmlformats.org/officeDocument/2006/relationships/hyperlink" Target="https://www.sec.gov/Archives/edgar/data/1014473/000101447326000023/amendedandrestatedverisign.htm" TargetMode="External"/><Relationship Id="rId8" Type="http://schemas.openxmlformats.org/officeDocument/2006/relationships/hyperlink" Target="https://www.sec.gov/Archives/edgar/data/1014473/000101447326000023/amendedandrestatedverisign.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10942</Words>
  <Characters>59068</Characters>
  <CharactersWithSpaces>69148</CharactersWithSpaces>
  <Paragraphs>1649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