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40" w:before="0" w:after="0"/>
        <w:jc w:val="center"/>
        <w:rPr>
          <w:color w:val="000000"/>
        </w:rPr>
      </w:pPr>
      <w:r>
        <w:rPr>
          <w:color w:val="000000"/>
        </w:rPr>
        <w:t>————————</w:t>
      </w:r>
    </w:p>
    <w:p>
      <w:pPr>
        <w:pStyle w:val="TextBody"/>
        <w:bidi w:val="0"/>
        <w:spacing w:lineRule="auto" w:line="288" w:before="0" w:after="0"/>
        <w:jc w:val="center"/>
        <w:rPr/>
      </w:pPr>
      <w:r>
        <w:rPr>
          <w:rFonts w:ascii="Times New Roman;serif" w:hAnsi="Times New Roman;serif"/>
          <w:b/>
          <w:color w:val="000000"/>
          <w:sz w:val="22"/>
        </w:rPr>
        <w:t>FORM 10-K</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60" w:after="283"/>
        <w:jc w:val="center"/>
        <w:rPr>
          <w:rFonts w:ascii="Times New Roman;serif" w:hAnsi="Times New Roman;serif"/>
          <w:b/>
          <w:color w:val="000000"/>
          <w:sz w:val="14"/>
        </w:rPr>
      </w:pPr>
      <w:r>
        <w:rPr>
          <w:rFonts w:ascii="Times New Roman;serif" w:hAnsi="Times New Roman;serif"/>
          <w:b/>
          <w:color w:val="000000"/>
          <w:sz w:val="1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 xml:space="preserve">For the transition period from </w:t>
      </w:r>
      <w:r>
        <w:rPr>
          <w:color w:val="000000"/>
          <w:u w:val="single"/>
        </w:rPr>
        <w:t>                </w:t>
      </w:r>
      <w:r>
        <w:rPr>
          <w:color w:val="000000"/>
        </w:rPr>
        <w:t xml:space="preserve"> </w:t>
      </w:r>
      <w:r>
        <w:rPr>
          <w:rFonts w:ascii="Times New Roman;serif" w:hAnsi="Times New Roman;serif"/>
          <w:b/>
          <w:color w:val="000000"/>
          <w:sz w:val="16"/>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000-23593 </w:t>
      </w:r>
    </w:p>
    <w:p>
      <w:pPr>
        <w:pStyle w:val="TextBody"/>
        <w:bidi w:val="0"/>
        <w:spacing w:lineRule="auto" w:line="240"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VERISIGN,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733" w:type="dxa"/>
        <w:jc w:val="center"/>
        <w:tblInd w:w="0" w:type="dxa"/>
        <w:tblLayout w:type="fixed"/>
        <w:tblCellMar>
          <w:top w:w="28" w:type="dxa"/>
          <w:left w:w="28" w:type="dxa"/>
          <w:bottom w:w="28" w:type="dxa"/>
          <w:right w:w="28" w:type="dxa"/>
        </w:tblCellMar>
      </w:tblPr>
      <w:tblGrid>
        <w:gridCol w:w="537"/>
        <w:gridCol w:w="475"/>
        <w:gridCol w:w="475"/>
        <w:gridCol w:w="475"/>
        <w:gridCol w:w="475"/>
        <w:gridCol w:w="485"/>
        <w:gridCol w:w="109"/>
        <w:gridCol w:w="109"/>
        <w:gridCol w:w="109"/>
        <w:gridCol w:w="432"/>
        <w:gridCol w:w="432"/>
        <w:gridCol w:w="620"/>
      </w:tblGrid>
      <w:tr>
        <w:trPr/>
        <w:tc>
          <w:tcPr>
            <w:tcW w:w="5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94-3221585</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12061 Bluemont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Reston,</w:t>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20190</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948-3200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Securities registered pursuant to Section 12(b) of the Act: </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center"/>
        <w:rPr/>
      </w:pPr>
      <w:r>
        <w:rPr>
          <w:color w:val="000000"/>
        </w:rPr>
        <w:t> </w:t>
      </w:r>
      <w:r>
        <w:rPr>
          <w:rFonts w:ascii="Times New Roman;serif" w:hAnsi="Times New Roman;serif"/>
          <w:b/>
          <w:color w:val="000000"/>
          <w:sz w:val="14"/>
        </w:rPr>
        <w:t>Securities registered pursuant to Section 12(g) of the Act: None</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00"/>
        <w:ind w:left="0" w:right="0" w:firstLine="18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r>
        <w:rPr>
          <w:color w:val="000000"/>
        </w:rPr>
        <w:t>☐</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1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40"/>
        <w:ind w:left="0" w:right="0" w:firstLine="18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40"/>
        <w:ind w:left="0" w:right="0" w:firstLine="18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color w:val="000000"/>
        </w:rPr>
        <w:t> </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40"/>
        <w:ind w:left="0" w:right="0" w:firstLine="18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4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equity stock held by non-affiliates of the Registrant as of June 30, 2025, was $16.4 billion based upon the last sale price reported for such date on the Nasdaq Global Select Market. For purposes of this disclosure, shares of Common Stock held by persons known to the Registrant (based on information provided by such persons and/or the most recent Schedule 13Gs filed by such persons) to beneficially own more than 5% of the Registrant’s Common Stock and shares held by officers and directors of the Registrant have been excluded because such persons may be deemed to be affiliates. This determination is not necessarily a conclusive determination for other purposes.</w:t>
      </w:r>
    </w:p>
    <w:p>
      <w:pPr>
        <w:pStyle w:val="TextBody"/>
        <w:bidi w:val="0"/>
        <w:spacing w:lineRule="auto" w:line="288" w:before="0" w:after="4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 xml:space="preserve">Number of shares of Common Stock, $0.001 par value, outstanding as of the close of business on January 30, 2026: 91.7 million shares.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DOCUMENTS INCORPORATED BY REFERENCE </w:t>
      </w:r>
    </w:p>
    <w:p>
      <w:pPr>
        <w:pStyle w:val="TextBody"/>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to be delivered to stockholders in connection with the 2026 Annual Meeting of Stockholders are incorporated by reference into Part III of this Annual Report on Form 10-K where indicated.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302" w:type="dxa"/>
        <w:jc w:val="left"/>
        <w:tblInd w:w="0" w:type="dxa"/>
        <w:tblLayout w:type="fixed"/>
        <w:tblCellMar>
          <w:top w:w="28" w:type="dxa"/>
          <w:left w:w="28" w:type="dxa"/>
          <w:bottom w:w="28" w:type="dxa"/>
          <w:right w:w="28" w:type="dxa"/>
        </w:tblCellMar>
      </w:tblPr>
      <w:tblGrid>
        <w:gridCol w:w="272"/>
        <w:gridCol w:w="238"/>
        <w:gridCol w:w="241"/>
        <w:gridCol w:w="2666"/>
        <w:gridCol w:w="2666"/>
        <w:gridCol w:w="2708"/>
        <w:gridCol w:w="149"/>
        <w:gridCol w:w="149"/>
        <w:gridCol w:w="21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0824a78cd40128656bda5d24bc479_10">
              <w:r>
                <w:rPr>
                  <w:rStyle w:val="InternetLink"/>
                  <w:rFonts w:ascii="Times New Roman;serif" w:hAnsi="Times New Roman;serif"/>
                  <w:b/>
                  <w:strike w:val="false"/>
                  <w:dstrike w:val="false"/>
                  <w:color w:val="0000FF"/>
                  <w:sz w:val="20"/>
                  <w:u w:val="none"/>
                  <w:effect w:val="none"/>
                </w:rPr>
                <w:t>PART I</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
              <w:r>
                <w:rPr>
                  <w:rStyle w:val="InternetLink"/>
                  <w:rFonts w:ascii="Times New Roman;serif" w:hAnsi="Times New Roman;serif"/>
                  <w:b w:val="false"/>
                  <w:color w:val="0000FF"/>
                  <w:sz w:val="18"/>
                  <w:u w:val="single"/>
                </w:rPr>
                <w:t>Item 1.</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
              <w:r>
                <w:rPr>
                  <w:rStyle w:val="InternetLink"/>
                  <w:rFonts w:ascii="Times New Roman;serif" w:hAnsi="Times New Roman;serif"/>
                  <w:b w:val="false"/>
                  <w:color w:val="0000FF"/>
                  <w:sz w:val="18"/>
                  <w:u w:val="singl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3">
              <w:r>
                <w:rPr>
                  <w:rStyle w:val="InternetLink"/>
                  <w:rFonts w:ascii="Times New Roman;serif" w:hAnsi="Times New Roman;serif"/>
                  <w:b w:val="false"/>
                  <w:color w:val="0000FF"/>
                  <w:sz w:val="20"/>
                  <w:u w:val="single"/>
                </w:rPr>
                <w:t>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9">
              <w:r>
                <w:rPr>
                  <w:rStyle w:val="InternetLink"/>
                  <w:rFonts w:ascii="Times New Roman;serif" w:hAnsi="Times New Roman;serif"/>
                  <w:b w:val="false"/>
                  <w:color w:val="0000FF"/>
                  <w:sz w:val="18"/>
                  <w:u w:val="single"/>
                </w:rPr>
                <w:t>Item 1A.</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9">
              <w:r>
                <w:rPr>
                  <w:rStyle w:val="InternetLink"/>
                  <w:rFonts w:ascii="Times New Roman;serif" w:hAnsi="Times New Roman;serif"/>
                  <w:b w:val="false"/>
                  <w:color w:val="0000FF"/>
                  <w:sz w:val="18"/>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9">
              <w:r>
                <w:rPr>
                  <w:rStyle w:val="InternetLink"/>
                  <w:rFonts w:ascii="Times New Roman;serif" w:hAnsi="Times New Roman;serif"/>
                  <w:b w:val="false"/>
                  <w:color w:val="0000FF"/>
                  <w:sz w:val="20"/>
                  <w:u w:val="single"/>
                </w:rPr>
                <w:t>10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2">
              <w:r>
                <w:rPr>
                  <w:rStyle w:val="InternetLink"/>
                  <w:rFonts w:ascii="Times New Roman;serif" w:hAnsi="Times New Roman;serif"/>
                  <w:b w:val="false"/>
                  <w:color w:val="0000FF"/>
                  <w:sz w:val="18"/>
                  <w:u w:val="single"/>
                </w:rPr>
                <w:t>Item 1B.</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2">
              <w:r>
                <w:rPr>
                  <w:rStyle w:val="InternetLink"/>
                  <w:rFonts w:ascii="Times New Roman;serif" w:hAnsi="Times New Roman;serif"/>
                  <w:b w:val="false"/>
                  <w:color w:val="0000FF"/>
                  <w:sz w:val="18"/>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22">
              <w:r>
                <w:rPr>
                  <w:rStyle w:val="InternetLink"/>
                  <w:rFonts w:ascii="Times New Roman;serif" w:hAnsi="Times New Roman;serif"/>
                  <w:b w:val="false"/>
                  <w:color w:val="0000FF"/>
                  <w:sz w:val="20"/>
                  <w:u w:val="single"/>
                </w:rPr>
                <w:t>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5">
              <w:r>
                <w:rPr>
                  <w:rStyle w:val="InternetLink"/>
                  <w:rFonts w:ascii="Times New Roman;serif" w:hAnsi="Times New Roman;serif"/>
                  <w:b w:val="false"/>
                  <w:color w:val="000080"/>
                  <w:sz w:val="18"/>
                  <w:u w:val="single"/>
                </w:rPr>
                <w:t>Item 1C</w:t>
              </w:r>
            </w:hyperlink>
            <w:r>
              <w:rPr>
                <w:rFonts w:ascii="Times New Roman;serif" w:hAnsi="Times New Roman;serif"/>
                <w:b w:val="false"/>
                <w:color w:val="0000FF"/>
                <w:sz w:val="18"/>
                <w:u w:val="single"/>
              </w:rPr>
              <w:t>.</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5">
              <w:r>
                <w:rPr>
                  <w:rStyle w:val="InternetLink"/>
                  <w:rFonts w:ascii="Times New Roman;serif" w:hAnsi="Times New Roman;serif"/>
                  <w:b w:val="false"/>
                  <w:color w:val="0000FF"/>
                  <w:sz w:val="18"/>
                  <w:u w:val="singl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25">
              <w:r>
                <w:rPr>
                  <w:rStyle w:val="InternetLink"/>
                  <w:rFonts w:ascii="Times New Roman;serif" w:hAnsi="Times New Roman;serif"/>
                  <w:b w:val="false"/>
                  <w:color w:val="0000FF"/>
                  <w:sz w:val="20"/>
                  <w:u w:val="single"/>
                </w:rPr>
                <w:t>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8">
              <w:r>
                <w:rPr>
                  <w:rStyle w:val="InternetLink"/>
                  <w:rFonts w:ascii="Times New Roman;serif" w:hAnsi="Times New Roman;serif"/>
                  <w:b w:val="false"/>
                  <w:color w:val="0000FF"/>
                  <w:sz w:val="18"/>
                  <w:u w:val="single"/>
                </w:rPr>
                <w:t>Item 2.</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28">
              <w:r>
                <w:rPr>
                  <w:rStyle w:val="InternetLink"/>
                  <w:rFonts w:ascii="Times New Roman;serif" w:hAnsi="Times New Roman;serif"/>
                  <w:b w:val="false"/>
                  <w:color w:val="0000FF"/>
                  <w:sz w:val="18"/>
                  <w:u w:val="single"/>
                </w:rPr>
                <w:t>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28">
              <w:r>
                <w:rPr>
                  <w:rStyle w:val="InternetLink"/>
                  <w:rFonts w:ascii="Times New Roman;serif" w:hAnsi="Times New Roman;serif"/>
                  <w:b w:val="false"/>
                  <w:color w:val="0000FF"/>
                  <w:sz w:val="20"/>
                  <w:u w:val="single"/>
                </w:rPr>
                <w:t>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31">
              <w:r>
                <w:rPr>
                  <w:rStyle w:val="InternetLink"/>
                  <w:rFonts w:ascii="Times New Roman;serif" w:hAnsi="Times New Roman;serif"/>
                  <w:b w:val="false"/>
                  <w:color w:val="0000FF"/>
                  <w:sz w:val="18"/>
                  <w:u w:val="single"/>
                </w:rPr>
                <w:t>Item 3.</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31">
              <w:r>
                <w:rPr>
                  <w:rStyle w:val="InternetLink"/>
                  <w:rFonts w:ascii="Times New Roman;serif" w:hAnsi="Times New Roman;serif"/>
                  <w:b w:val="false"/>
                  <w:color w:val="0000FF"/>
                  <w:sz w:val="18"/>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31">
              <w:r>
                <w:rPr>
                  <w:rStyle w:val="InternetLink"/>
                  <w:rFonts w:ascii="Times New Roman;serif" w:hAnsi="Times New Roman;serif"/>
                  <w:b w:val="false"/>
                  <w:color w:val="0000FF"/>
                  <w:sz w:val="20"/>
                  <w:u w:val="single"/>
                </w:rPr>
                <w:t>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34">
              <w:r>
                <w:rPr>
                  <w:rStyle w:val="InternetLink"/>
                  <w:rFonts w:ascii="Times New Roman;serif" w:hAnsi="Times New Roman;serif"/>
                  <w:b w:val="false"/>
                  <w:color w:val="0000FF"/>
                  <w:sz w:val="18"/>
                  <w:u w:val="single"/>
                </w:rPr>
                <w:t>Item 4.</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34">
              <w:r>
                <w:rPr>
                  <w:rStyle w:val="InternetLink"/>
                  <w:rFonts w:ascii="Times New Roman;serif" w:hAnsi="Times New Roman;serif"/>
                  <w:b w:val="false"/>
                  <w:color w:val="0000FF"/>
                  <w:sz w:val="18"/>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34">
              <w:r>
                <w:rPr>
                  <w:rStyle w:val="InternetLink"/>
                  <w:rFonts w:ascii="Times New Roman;serif" w:hAnsi="Times New Roman;serif"/>
                  <w:b w:val="false"/>
                  <w:color w:val="0000FF"/>
                  <w:sz w:val="20"/>
                  <w:u w:val="single"/>
                </w:rPr>
                <w:t>22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0824a78cd40128656bda5d24bc479_37">
              <w:r>
                <w:rPr>
                  <w:rStyle w:val="InternetLink"/>
                  <w:rFonts w:ascii="Times New Roman;serif" w:hAnsi="Times New Roman;serif"/>
                  <w:b/>
                  <w:color w:val="0000FF"/>
                  <w:sz w:val="20"/>
                  <w:u w:val="single"/>
                </w:rPr>
                <w:t>PART II</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0">
              <w:r>
                <w:rPr>
                  <w:rStyle w:val="InternetLink"/>
                  <w:rFonts w:ascii="Times New Roman;serif" w:hAnsi="Times New Roman;serif"/>
                  <w:b w:val="false"/>
                  <w:color w:val="0000FF"/>
                  <w:sz w:val="18"/>
                  <w:u w:val="single"/>
                </w:rPr>
                <w:t>Item 5.</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0">
              <w:r>
                <w:rPr>
                  <w:rStyle w:val="InternetLink"/>
                  <w:rFonts w:ascii="Times New Roman;serif" w:hAnsi="Times New Roman;serif"/>
                  <w:b w:val="false"/>
                  <w:color w:val="0000FF"/>
                  <w:sz w:val="18"/>
                  <w:u w:val="single"/>
                </w:rPr>
                <w:t>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40">
              <w:r>
                <w:rPr>
                  <w:rStyle w:val="InternetLink"/>
                  <w:rFonts w:ascii="Times New Roman;serif" w:hAnsi="Times New Roman;serif"/>
                  <w:b w:val="false"/>
                  <w:color w:val="0000FF"/>
                  <w:sz w:val="20"/>
                  <w:u w:val="single"/>
                </w:rPr>
                <w:t>23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3">
              <w:r>
                <w:rPr>
                  <w:rStyle w:val="InternetLink"/>
                  <w:rFonts w:ascii="Times New Roman;serif" w:hAnsi="Times New Roman;serif"/>
                  <w:b w:val="false"/>
                  <w:color w:val="0000FF"/>
                  <w:sz w:val="18"/>
                  <w:u w:val="single"/>
                </w:rPr>
                <w:t>Item 6.</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3">
              <w:r>
                <w:rPr>
                  <w:rStyle w:val="InternetLink"/>
                  <w:rFonts w:ascii="Times New Roman;serif" w:hAnsi="Times New Roman;serif"/>
                  <w:b w:val="false"/>
                  <w:color w:val="0000FF"/>
                  <w:sz w:val="18"/>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43">
              <w:r>
                <w:rPr>
                  <w:rStyle w:val="InternetLink"/>
                  <w:rFonts w:ascii="Times New Roman;serif" w:hAnsi="Times New Roman;serif"/>
                  <w:b w:val="false"/>
                  <w:color w:val="0000FF"/>
                  <w:sz w:val="20"/>
                  <w:u w:val="single"/>
                </w:rPr>
                <w:t>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6">
              <w:r>
                <w:rPr>
                  <w:rStyle w:val="InternetLink"/>
                  <w:rFonts w:ascii="Times New Roman;serif" w:hAnsi="Times New Roman;serif"/>
                  <w:b w:val="false"/>
                  <w:color w:val="0000FF"/>
                  <w:sz w:val="18"/>
                  <w:u w:val="single"/>
                </w:rPr>
                <w:t>Item 7.</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4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46">
              <w:r>
                <w:rPr>
                  <w:rStyle w:val="InternetLink"/>
                  <w:rFonts w:ascii="Times New Roman;serif" w:hAnsi="Times New Roman;serif"/>
                  <w:b w:val="false"/>
                  <w:color w:val="0000FF"/>
                  <w:sz w:val="20"/>
                  <w:u w:val="single"/>
                </w:rPr>
                <w:t>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58">
              <w:r>
                <w:rPr>
                  <w:rStyle w:val="InternetLink"/>
                  <w:rFonts w:ascii="Times New Roman;serif" w:hAnsi="Times New Roman;serif"/>
                  <w:b w:val="false"/>
                  <w:color w:val="0000FF"/>
                  <w:sz w:val="18"/>
                  <w:u w:val="single"/>
                </w:rPr>
                <w:t>Item 7A.</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58">
              <w:r>
                <w:rPr>
                  <w:rStyle w:val="InternetLink"/>
                  <w:rFonts w:ascii="Times New Roman;serif" w:hAnsi="Times New Roman;serif"/>
                  <w:b w:val="false"/>
                  <w:color w:val="0000FF"/>
                  <w:sz w:val="18"/>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58">
              <w:r>
                <w:rPr>
                  <w:rStyle w:val="InternetLink"/>
                  <w:rFonts w:ascii="Times New Roman;serif" w:hAnsi="Times New Roman;serif"/>
                  <w:b w:val="false"/>
                  <w:color w:val="0000FF"/>
                  <w:sz w:val="20"/>
                  <w:u w:val="single"/>
                </w:rPr>
                <w:t>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1">
              <w:r>
                <w:rPr>
                  <w:rStyle w:val="InternetLink"/>
                  <w:rFonts w:ascii="Times New Roman;serif" w:hAnsi="Times New Roman;serif"/>
                  <w:b w:val="false"/>
                  <w:color w:val="0000FF"/>
                  <w:sz w:val="18"/>
                  <w:u w:val="single"/>
                </w:rPr>
                <w:t>Item 8.</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1">
              <w:r>
                <w:rPr>
                  <w:rStyle w:val="InternetLink"/>
                  <w:rFonts w:ascii="Times New Roman;serif" w:hAnsi="Times New Roman;serif"/>
                  <w:b w:val="false"/>
                  <w:color w:val="0000FF"/>
                  <w:sz w:val="18"/>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61">
              <w:r>
                <w:rPr>
                  <w:rStyle w:val="InternetLink"/>
                  <w:rFonts w:ascii="Times New Roman;serif" w:hAnsi="Times New Roman;serif"/>
                  <w:b w:val="false"/>
                  <w:color w:val="0000FF"/>
                  <w:sz w:val="20"/>
                  <w:u w:val="single"/>
                </w:rPr>
                <w:t>33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24">
              <w:r>
                <w:rPr>
                  <w:rStyle w:val="InternetLink"/>
                  <w:rFonts w:ascii="Times New Roman;serif" w:hAnsi="Times New Roman;serif"/>
                  <w:b w:val="false"/>
                  <w:color w:val="0000FF"/>
                  <w:sz w:val="18"/>
                  <w:u w:val="single"/>
                </w:rPr>
                <w:t>Item 9.</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24">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24">
              <w:r>
                <w:rPr>
                  <w:rStyle w:val="InternetLink"/>
                  <w:rFonts w:ascii="Times New Roman;serif" w:hAnsi="Times New Roman;serif"/>
                  <w:b w:val="false"/>
                  <w:color w:val="0000FF"/>
                  <w:sz w:val="20"/>
                  <w:u w:val="single"/>
                </w:rPr>
                <w:t>57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27">
              <w:r>
                <w:rPr>
                  <w:rStyle w:val="InternetLink"/>
                  <w:rFonts w:ascii="Times New Roman;serif" w:hAnsi="Times New Roman;serif"/>
                  <w:b w:val="false"/>
                  <w:color w:val="0000FF"/>
                  <w:sz w:val="18"/>
                  <w:u w:val="single"/>
                </w:rPr>
                <w:t>Item 9A.</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27">
              <w:r>
                <w:rPr>
                  <w:rStyle w:val="InternetLink"/>
                  <w:rFonts w:ascii="Times New Roman;serif" w:hAnsi="Times New Roman;serif"/>
                  <w:b w:val="false"/>
                  <w:color w:val="0000FF"/>
                  <w:sz w:val="18"/>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27">
              <w:r>
                <w:rPr>
                  <w:rStyle w:val="InternetLink"/>
                  <w:rFonts w:ascii="Times New Roman;serif" w:hAnsi="Times New Roman;serif"/>
                  <w:b w:val="false"/>
                  <w:color w:val="0000FF"/>
                  <w:sz w:val="20"/>
                  <w:u w:val="single"/>
                </w:rPr>
                <w:t>57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0">
              <w:r>
                <w:rPr>
                  <w:rStyle w:val="InternetLink"/>
                  <w:rFonts w:ascii="Times New Roman;serif" w:hAnsi="Times New Roman;serif"/>
                  <w:b w:val="false"/>
                  <w:color w:val="0000FF"/>
                  <w:sz w:val="18"/>
                  <w:u w:val="single"/>
                </w:rPr>
                <w:t>Item 9B.</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0">
              <w:r>
                <w:rPr>
                  <w:rStyle w:val="InternetLink"/>
                  <w:rFonts w:ascii="Times New Roman;serif" w:hAnsi="Times New Roman;serif"/>
                  <w:b w:val="false"/>
                  <w:color w:val="0000FF"/>
                  <w:sz w:val="18"/>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30">
              <w:r>
                <w:rPr>
                  <w:rStyle w:val="InternetLink"/>
                  <w:rFonts w:ascii="Times New Roman;serif" w:hAnsi="Times New Roman;serif"/>
                  <w:b w:val="false"/>
                  <w:color w:val="0000FF"/>
                  <w:sz w:val="20"/>
                  <w:u w:val="single"/>
                </w:rPr>
                <w:t>58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3">
              <w:r>
                <w:rPr>
                  <w:rStyle w:val="InternetLink"/>
                  <w:rFonts w:ascii="Times New Roman;serif" w:hAnsi="Times New Roman;serif"/>
                  <w:b w:val="false"/>
                  <w:color w:val="0000FF"/>
                  <w:sz w:val="18"/>
                  <w:u w:val="single"/>
                </w:rPr>
                <w:t>Item 9C</w:t>
              </w:r>
            </w:hyperlink>
            <w:r>
              <w:rPr>
                <w:rFonts w:ascii="Times New Roman;serif" w:hAnsi="Times New Roman;serif"/>
                <w:b w:val="false"/>
                <w:color w:val="000000"/>
                <w:sz w:val="18"/>
              </w:rPr>
              <w:t>.</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3">
              <w:r>
                <w:rPr>
                  <w:rStyle w:val="InternetLink"/>
                  <w:rFonts w:ascii="Times New Roman;serif" w:hAnsi="Times New Roman;serif"/>
                  <w:b w:val="false"/>
                  <w:color w:val="0000FF"/>
                  <w:sz w:val="18"/>
                  <w:u w:val="singl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33">
              <w:r>
                <w:rPr>
                  <w:rStyle w:val="InternetLink"/>
                  <w:rFonts w:ascii="Times New Roman;serif" w:hAnsi="Times New Roman;serif"/>
                  <w:b w:val="false"/>
                  <w:color w:val="0000FF"/>
                  <w:sz w:val="20"/>
                  <w:u w:val="single"/>
                </w:rPr>
                <w:t>58</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0824a78cd40128656bda5d24bc479_136">
              <w:r>
                <w:rPr>
                  <w:rStyle w:val="InternetLink"/>
                  <w:rFonts w:ascii="Times New Roman;serif" w:hAnsi="Times New Roman;serif"/>
                  <w:b/>
                  <w:color w:val="0000FF"/>
                  <w:sz w:val="20"/>
                  <w:u w:val="single"/>
                </w:rPr>
                <w:t>PART III</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9">
              <w:r>
                <w:rPr>
                  <w:rStyle w:val="InternetLink"/>
                  <w:rFonts w:ascii="Times New Roman;serif" w:hAnsi="Times New Roman;serif"/>
                  <w:b w:val="false"/>
                  <w:color w:val="0000FF"/>
                  <w:sz w:val="18"/>
                  <w:u w:val="single"/>
                </w:rPr>
                <w:t>Item 10.</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39">
              <w:r>
                <w:rPr>
                  <w:rStyle w:val="InternetLink"/>
                  <w:rFonts w:ascii="Times New Roman;serif" w:hAnsi="Times New Roman;serif"/>
                  <w:b w:val="false"/>
                  <w:color w:val="0000FF"/>
                  <w:sz w:val="18"/>
                  <w:u w:val="singl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39">
              <w:r>
                <w:rPr>
                  <w:rStyle w:val="InternetLink"/>
                  <w:rFonts w:ascii="Times New Roman;serif" w:hAnsi="Times New Roman;serif"/>
                  <w:b w:val="false"/>
                  <w:color w:val="0000FF"/>
                  <w:sz w:val="20"/>
                  <w:u w:val="single"/>
                </w:rPr>
                <w:t>59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2">
              <w:r>
                <w:rPr>
                  <w:rStyle w:val="InternetLink"/>
                  <w:rFonts w:ascii="Times New Roman;serif" w:hAnsi="Times New Roman;serif"/>
                  <w:b w:val="false"/>
                  <w:color w:val="0000FF"/>
                  <w:sz w:val="18"/>
                  <w:u w:val="single"/>
                </w:rPr>
                <w:t>Item 11.</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2">
              <w:r>
                <w:rPr>
                  <w:rStyle w:val="InternetLink"/>
                  <w:rFonts w:ascii="Times New Roman;serif" w:hAnsi="Times New Roman;serif"/>
                  <w:b w:val="false"/>
                  <w:color w:val="0000FF"/>
                  <w:sz w:val="18"/>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42">
              <w:r>
                <w:rPr>
                  <w:rStyle w:val="InternetLink"/>
                  <w:rFonts w:ascii="Times New Roman;serif" w:hAnsi="Times New Roman;serif"/>
                  <w:b w:val="false"/>
                  <w:color w:val="0000FF"/>
                  <w:sz w:val="20"/>
                  <w:u w:val="single"/>
                </w:rPr>
                <w:t>59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5">
              <w:r>
                <w:rPr>
                  <w:rStyle w:val="InternetLink"/>
                  <w:rFonts w:ascii="Times New Roman;serif" w:hAnsi="Times New Roman;serif"/>
                  <w:b w:val="false"/>
                  <w:color w:val="0000FF"/>
                  <w:sz w:val="18"/>
                  <w:u w:val="single"/>
                </w:rPr>
                <w:t>Item 12.</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5">
              <w:r>
                <w:rPr>
                  <w:rStyle w:val="InternetLink"/>
                  <w:rFonts w:ascii="Times New Roman;serif" w:hAnsi="Times New Roman;serif"/>
                  <w:b w:val="false"/>
                  <w:color w:val="000080"/>
                  <w:sz w:val="18"/>
                  <w:u w:val="single"/>
                </w:rPr>
                <w:t>Security Ownership of Certain Beneficial Owners and Management and Related Stockholder</w:t>
              </w:r>
            </w:hyperlink>
            <w:r>
              <w:rPr>
                <w:rFonts w:ascii="Times New Roman;serif" w:hAnsi="Times New Roman;serif"/>
                <w:b w:val="false"/>
                <w:color w:val="0000FF"/>
                <w:sz w:val="18"/>
                <w:u w:val="single"/>
              </w:rPr>
              <w:t xml:space="preserve">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45">
              <w:r>
                <w:rPr>
                  <w:rStyle w:val="InternetLink"/>
                  <w:rFonts w:ascii="Times New Roman;serif" w:hAnsi="Times New Roman;serif"/>
                  <w:b w:val="false"/>
                  <w:color w:val="0000FF"/>
                  <w:sz w:val="20"/>
                  <w:u w:val="single"/>
                </w:rPr>
                <w:t>59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8">
              <w:r>
                <w:rPr>
                  <w:rStyle w:val="InternetLink"/>
                  <w:rFonts w:ascii="Times New Roman;serif" w:hAnsi="Times New Roman;serif"/>
                  <w:b w:val="false"/>
                  <w:color w:val="0000FF"/>
                  <w:sz w:val="18"/>
                  <w:u w:val="single"/>
                </w:rPr>
                <w:t>Item 13.</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48">
              <w:r>
                <w:rPr>
                  <w:rStyle w:val="InternetLink"/>
                  <w:rFonts w:ascii="Times New Roman;serif" w:hAnsi="Times New Roman;serif"/>
                  <w:b w:val="false"/>
                  <w:color w:val="0000FF"/>
                  <w:sz w:val="18"/>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48">
              <w:r>
                <w:rPr>
                  <w:rStyle w:val="InternetLink"/>
                  <w:rFonts w:ascii="Times New Roman;serif" w:hAnsi="Times New Roman;serif"/>
                  <w:b w:val="false"/>
                  <w:color w:val="0000FF"/>
                  <w:sz w:val="20"/>
                  <w:u w:val="single"/>
                </w:rPr>
                <w:t>59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51">
              <w:r>
                <w:rPr>
                  <w:rStyle w:val="InternetLink"/>
                  <w:rFonts w:ascii="Times New Roman;serif" w:hAnsi="Times New Roman;serif"/>
                  <w:b w:val="false"/>
                  <w:color w:val="0000FF"/>
                  <w:sz w:val="18"/>
                  <w:u w:val="single"/>
                </w:rPr>
                <w:t>Item 14.</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51">
              <w:r>
                <w:rPr>
                  <w:rStyle w:val="InternetLink"/>
                  <w:rFonts w:ascii="Times New Roman;serif" w:hAnsi="Times New Roman;serif"/>
                  <w:b w:val="false"/>
                  <w:color w:val="0000FF"/>
                  <w:sz w:val="18"/>
                  <w:u w:val="single"/>
                </w:rPr>
                <w:t>Principal Accountant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51">
              <w:r>
                <w:rPr>
                  <w:rStyle w:val="InternetLink"/>
                  <w:rFonts w:ascii="Times New Roman;serif" w:hAnsi="Times New Roman;serif"/>
                  <w:b w:val="false"/>
                  <w:color w:val="0000FF"/>
                  <w:sz w:val="20"/>
                  <w:u w:val="single"/>
                </w:rPr>
                <w:t>59</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f0824a78cd40128656bda5d24bc479_154">
              <w:r>
                <w:rPr>
                  <w:rStyle w:val="InternetLink"/>
                  <w:rFonts w:ascii="Times New Roman;serif" w:hAnsi="Times New Roman;serif"/>
                  <w:b/>
                  <w:color w:val="0000FF"/>
                  <w:sz w:val="18"/>
                  <w:u w:val="single"/>
                </w:rPr>
                <w:t>PART IV</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57">
              <w:r>
                <w:rPr>
                  <w:rStyle w:val="InternetLink"/>
                  <w:rFonts w:ascii="Times New Roman;serif" w:hAnsi="Times New Roman;serif"/>
                  <w:b w:val="false"/>
                  <w:color w:val="0000FF"/>
                  <w:sz w:val="18"/>
                  <w:u w:val="single"/>
                </w:rPr>
                <w:t>Item 15.</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57">
              <w:r>
                <w:rPr>
                  <w:rStyle w:val="InternetLink"/>
                  <w:rFonts w:ascii="Times New Roman;serif" w:hAnsi="Times New Roman;serif"/>
                  <w:b w:val="false"/>
                  <w:color w:val="0000FF"/>
                  <w:sz w:val="18"/>
                  <w:u w:val="single"/>
                </w:rPr>
                <w:t>Exhibits,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57">
              <w:r>
                <w:rPr>
                  <w:rStyle w:val="InternetLink"/>
                  <w:rFonts w:ascii="Times New Roman;serif" w:hAnsi="Times New Roman;serif"/>
                  <w:b w:val="false"/>
                  <w:color w:val="0000FF"/>
                  <w:sz w:val="20"/>
                  <w:u w:val="single"/>
                </w:rPr>
                <w:t>60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60">
              <w:r>
                <w:rPr>
                  <w:rStyle w:val="InternetLink"/>
                  <w:rFonts w:ascii="Times New Roman;serif" w:hAnsi="Times New Roman;serif"/>
                  <w:b w:val="false"/>
                  <w:color w:val="0000FF"/>
                  <w:sz w:val="18"/>
                  <w:u w:val="single"/>
                </w:rPr>
                <w:t>Item 16.</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60">
              <w:r>
                <w:rPr>
                  <w:rStyle w:val="InternetLink"/>
                  <w:rFonts w:ascii="Times New Roman;serif" w:hAnsi="Times New Roman;serif"/>
                  <w:b w:val="false"/>
                  <w:color w:val="0000FF"/>
                  <w:sz w:val="18"/>
                  <w:u w:val="single"/>
                </w:rPr>
                <w:t>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60">
              <w:r>
                <w:rPr>
                  <w:rStyle w:val="InternetLink"/>
                  <w:rFonts w:ascii="Times New Roman;serif" w:hAnsi="Times New Roman;serif"/>
                  <w:b w:val="false"/>
                  <w:color w:val="0000FF"/>
                  <w:sz w:val="20"/>
                  <w:u w:val="single"/>
                </w:rPr>
                <w:t>62</w:t>
              </w:r>
            </w:hyperlink>
          </w:p>
        </w:tc>
      </w:tr>
      <w:tr>
        <w:trPr/>
        <w:tc>
          <w:tcPr>
            <w:tcW w:w="87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63">
              <w:r>
                <w:rPr>
                  <w:rStyle w:val="InternetLink"/>
                  <w:rFonts w:ascii="Times New Roman;serif" w:hAnsi="Times New Roman;serif"/>
                  <w:b w:val="false"/>
                  <w:color w:val="0000FF"/>
                  <w:sz w:val="18"/>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163">
              <w:r>
                <w:rPr>
                  <w:rStyle w:val="InternetLink"/>
                  <w:rFonts w:ascii="Times New Roman;serif" w:hAnsi="Times New Roman;serif"/>
                  <w:b w:val="false"/>
                  <w:color w:val="0000FF"/>
                  <w:sz w:val="20"/>
                  <w:u w:val="singl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 purposes of this Annual Report on Form 10-K (this “Form 10-K”), the terms “Verisign”, “the Company”, “we”, “us”, and “our” refer to VeriSign, Inc. and its consolidated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 xml:space="preserve">BUSINESS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We are a global provider of critical internet infrastructure and domain name registry services, enabling internet navigation for many of the world’s most recognized domain names. We help enable the security, stability, and resiliency of the Domain Name System (“DNS”) and the internet by providing Root Zone Maintainer services, operating two of the thirteen global internet root servers, and providing registration services and authoritative resolution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top-level domains (“TLDs”), which support the majority of global e-commerce.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were incorporated in Delaware on April 12, 1995. Our principal executive offices are located at 12061 Bluemont Way, Reston, Virginia 20190. Our telephone number at that address is (703) 948-3200. Our common stock is traded on the Nasdaq Global Select Market under the ticker symbol VRSN. VERISIGN, the VERISIGN logo, and certain other product or service names are registered or unregistered trademarks in the U.S. and other countries. Other names used in this Form 10-K may be trademarks of their respective owners. Our primary website is </w:t>
      </w:r>
      <w:r>
        <w:rPr>
          <w:rFonts w:ascii="Times New Roman;serif" w:hAnsi="Times New Roman;serif"/>
          <w:b w:val="false"/>
          <w:color w:val="000000"/>
          <w:sz w:val="20"/>
          <w:u w:val="single"/>
        </w:rPr>
        <w:t>https://www.verisign.com</w:t>
      </w:r>
      <w:r>
        <w:rPr>
          <w:rFonts w:ascii="Times New Roman;serif" w:hAnsi="Times New Roman;serif"/>
          <w:b w:val="false"/>
          <w:color w:val="000000"/>
          <w:sz w:val="20"/>
        </w:rPr>
        <w:t>. The information available on, or accessible through, this website is not incorporated in this Form 10-K by reference.</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Our Annual Reports on Form 10-K, Quarterly Reports on Form 10-Q, Current Reports on Form 8-K, and amendments to those reports filed or furnished pursuant to Section 13(a) or 15(d) of the Securities Exchange Act of 1934, as amended (the “Exchange Act”), are available, free of charge, on the Investor Relations section of our website as soon as is reasonably practicable after filing such reports with the Securities and Exchange Commission (the “SEC”). The SEC maintains an internet site that contains reports, proxy and information statements, and other information regarding issuers that file electronically with the SEC at </w:t>
      </w:r>
      <w:r>
        <w:rPr>
          <w:rFonts w:ascii="Times New Roman;serif" w:hAnsi="Times New Roman;serif"/>
          <w:b w:val="false"/>
          <w:color w:val="000000"/>
          <w:sz w:val="20"/>
          <w:u w:val="single"/>
        </w:rPr>
        <w:t>https://www.sec.gov</w:t>
      </w:r>
      <w:r>
        <w:rPr>
          <w:rFonts w:ascii="Times New Roman;serif" w:hAnsi="Times New Roman;serif"/>
          <w:b w:val="false"/>
          <w:color w:val="000000"/>
          <w:sz w:val="20"/>
        </w:rPr>
        <w:t>.</w:t>
      </w:r>
    </w:p>
    <w:p>
      <w:pPr>
        <w:pStyle w:val="TextBody"/>
        <w:bidi w:val="0"/>
        <w:spacing w:lineRule="auto" w:line="288" w:before="120" w:after="283"/>
        <w:ind w:left="0" w:right="0" w:firstLine="450"/>
        <w:jc w:val="left"/>
        <w:rPr/>
      </w:pPr>
      <w:r>
        <w:rPr>
          <w:rFonts w:ascii="Times New Roman;serif" w:hAnsi="Times New Roman;serif"/>
          <w:b w:val="false"/>
          <w:color w:val="000000"/>
          <w:sz w:val="20"/>
        </w:rPr>
        <w:t>Pursuant to our agreements with the Internet Corporation for Assigned Names and Numbers (“ICANN”), we make available files containing all active domain names registered in the .</w:t>
      </w:r>
      <w:r>
        <w:rPr>
          <w:rFonts w:ascii="Times New Roman;serif" w:hAnsi="Times New Roman;serif"/>
          <w:b w:val="false"/>
          <w:i/>
          <w:color w:val="000000"/>
          <w:sz w:val="20"/>
        </w:rPr>
        <w:t xml:space="preserve">com </w:t>
      </w:r>
      <w:r>
        <w:rPr>
          <w:rFonts w:ascii="Times New Roman;serif" w:hAnsi="Times New Roman;serif"/>
          <w:b w:val="false"/>
          <w:color w:val="000000"/>
          <w:sz w:val="20"/>
        </w:rPr>
        <w:t>and .</w:t>
      </w:r>
      <w:r>
        <w:rPr>
          <w:rFonts w:ascii="Times New Roman;serif" w:hAnsi="Times New Roman;serif"/>
          <w:b w:val="false"/>
          <w:i/>
          <w:color w:val="000000"/>
          <w:sz w:val="20"/>
        </w:rPr>
        <w:t xml:space="preserve">net </w:t>
      </w:r>
      <w:r>
        <w:rPr>
          <w:rFonts w:ascii="Times New Roman;serif" w:hAnsi="Times New Roman;serif"/>
          <w:b w:val="false"/>
          <w:color w:val="000000"/>
          <w:sz w:val="20"/>
        </w:rPr>
        <w:t>registries. Further, we also make available a summary of the active zone count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and the number of </w:t>
      </w:r>
      <w:r>
        <w:rPr>
          <w:rFonts w:ascii="Times New Roman;serif" w:hAnsi="Times New Roman;serif"/>
          <w:b w:val="false"/>
          <w:i/>
          <w:color w:val="000000"/>
          <w:sz w:val="20"/>
        </w:rPr>
        <w:t>.com</w:t>
      </w:r>
      <w:r>
        <w:rPr>
          <w:color w:val="000000"/>
        </w:rPr>
        <w:t>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w:t>
      </w:r>
      <w:r>
        <w:rPr>
          <w:rFonts w:ascii="Times New Roman;serif" w:hAnsi="Times New Roman;serif"/>
          <w:b w:val="false"/>
          <w:color w:val="000000"/>
          <w:sz w:val="20"/>
        </w:rPr>
        <w:t xml:space="preserve">domain name registrations in the domain name base. The zone counts and information on how to obtain access to the zone files can be found at </w:t>
      </w:r>
      <w:r>
        <w:rPr>
          <w:rFonts w:ascii="Times New Roman;serif" w:hAnsi="Times New Roman;serif"/>
          <w:b w:val="false"/>
          <w:color w:val="000000"/>
          <w:sz w:val="20"/>
          <w:u w:val="single"/>
        </w:rPr>
        <w:t>https://www.verisign.com/resources/zone-file/</w:t>
      </w:r>
      <w:r>
        <w:rPr>
          <w:rFonts w:ascii="Times New Roman;serif" w:hAnsi="Times New Roman;serif"/>
          <w:b w:val="false"/>
          <w:color w:val="000000"/>
          <w:sz w:val="20"/>
        </w:rPr>
        <w:t xml:space="preserv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keep in or remove from the active zone an immaterial number of domain names. These files and the related summary data are updated at least once per day. The update times may vary each day. The number of domain names provided in this Form 10-K are as of midnight of the date reported.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We announce material financial information to our investors using our investor relations website </w:t>
      </w:r>
      <w:r>
        <w:rPr>
          <w:rFonts w:ascii="Times New Roman;serif" w:hAnsi="Times New Roman;serif"/>
          <w:b w:val="false"/>
          <w:color w:val="000000"/>
          <w:sz w:val="20"/>
          <w:u w:val="single"/>
        </w:rPr>
        <w:t>https://investor.verisign.com</w:t>
      </w:r>
      <w:r>
        <w:rPr>
          <w:rFonts w:ascii="Times New Roman;serif" w:hAnsi="Times New Roman;serif"/>
          <w:b w:val="false"/>
          <w:color w:val="000000"/>
          <w:sz w:val="20"/>
        </w:rPr>
        <w:t>, SEC filings, investor events, news and earnings releases, public conference calls and webcasts. We use these channels as well as social media to communicate with our investors and the public about our company, our products and services, and other issues. It is possible that the information we post on social media could be deemed to be material information. Therefore, we encourage investors, the media, and others interested in our company to review the information we post on the social media channels and websites listed below. This list may be updated from time to time on our investor relations website.</w:t>
      </w:r>
    </w:p>
    <w:p>
      <w:pPr>
        <w:pStyle w:val="TextBody"/>
        <w:bidi w:val="0"/>
        <w:spacing w:lineRule="auto" w:line="288" w:before="120" w:after="283"/>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https://verisign.com</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https://blog.verisign.com</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https://facebook.com/verisign</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https://x.com/verisign</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https://linkedin.com/company/verisign</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https://youtube.com/user/verisign</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https://dnib.com</w:t>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https://x.com/dnibrief</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contents of these websites are not intended to be incorporated by reference into this Form 10-K or in any other report or document we file.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Services </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We operate the authoritative directory, for all </w:t>
      </w:r>
      <w:r>
        <w:rPr>
          <w:rFonts w:ascii="Times New Roman;serif" w:hAnsi="Times New Roman;serif"/>
          <w:b w:val="false"/>
          <w:i/>
          <w:color w:val="000000"/>
          <w:sz w:val="20"/>
        </w:rPr>
        <w:t xml:space="preserve">.com, .net,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.name</w:t>
      </w:r>
      <w:r>
        <w:rPr>
          <w:color w:val="000000"/>
        </w:rPr>
        <w:t xml:space="preserve"> </w:t>
      </w:r>
      <w:r>
        <w:rPr>
          <w:rFonts w:ascii="Times New Roman;serif" w:hAnsi="Times New Roman;serif"/>
          <w:b w:val="false"/>
          <w:color w:val="000000"/>
          <w:sz w:val="20"/>
        </w:rPr>
        <w:t>domain names (generic top-level domains, “gTLDs”), as well as for certain transliterations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in a number of different native languages and scripts (internationalized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generic top-level domains, “IDN gTLDs”). We also operate the authoritative directory for all .</w:t>
      </w:r>
      <w:r>
        <w:rPr>
          <w:rFonts w:ascii="Times New Roman;serif" w:hAnsi="Times New Roman;serif"/>
          <w:b w:val="false"/>
          <w:i/>
          <w:color w:val="000000"/>
          <w:sz w:val="20"/>
        </w:rPr>
        <w:t>cc</w:t>
      </w:r>
      <w:r>
        <w:rPr>
          <w:color w:val="000000"/>
        </w:rPr>
        <w:t xml:space="preserve"> </w:t>
      </w:r>
      <w:r>
        <w:rPr>
          <w:rFonts w:ascii="Times New Roman;serif" w:hAnsi="Times New Roman;serif"/>
          <w:b w:val="false"/>
          <w:color w:val="000000"/>
          <w:sz w:val="20"/>
        </w:rPr>
        <w:t>domain names (country code top-level domain, or “ccTLD”) and operate the technical or back-end systems for the .</w:t>
      </w:r>
      <w:r>
        <w:rPr>
          <w:rFonts w:ascii="Times New Roman;serif" w:hAnsi="Times New Roman;serif"/>
          <w:b w:val="false"/>
          <w:i/>
          <w:color w:val="000000"/>
          <w:sz w:val="20"/>
        </w:rPr>
        <w:t>edu</w:t>
      </w:r>
      <w:r>
        <w:rPr>
          <w:color w:val="000000"/>
        </w:rPr>
        <w:t xml:space="preserve"> </w:t>
      </w:r>
      <w:r>
        <w:rPr>
          <w:rFonts w:ascii="Times New Roman;serif" w:hAnsi="Times New Roman;serif"/>
          <w:b w:val="false"/>
          <w:color w:val="000000"/>
          <w:sz w:val="20"/>
        </w:rPr>
        <w:t xml:space="preserve">top-level domain. As the registry or service provider for these top-level domains, our services allow individuals and organizations to establish their online identities, while providing the secure, always-on access they need to communicate and transact reliably with online audiences.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We operate the </w:t>
      </w:r>
      <w:r>
        <w:rPr>
          <w:rFonts w:ascii="Times New Roman;serif" w:hAnsi="Times New Roman;serif"/>
          <w:b w:val="false"/>
          <w:i/>
          <w:color w:val="000000"/>
          <w:sz w:val="20"/>
        </w:rPr>
        <w:t>.com,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.name </w:t>
      </w:r>
      <w:r>
        <w:rPr>
          <w:rFonts w:ascii="Times New Roman;serif" w:hAnsi="Times New Roman;serif"/>
          <w:b w:val="false"/>
          <w:color w:val="000000"/>
          <w:sz w:val="20"/>
        </w:rPr>
        <w:t xml:space="preserve">gTLDs and the IDN gTLDs under registry agreements with ICANN and also, with respect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a Cooperative Agreement with the U.S. Department of Commerce (“DOC”). We operate the .</w:t>
      </w:r>
      <w:r>
        <w:rPr>
          <w:rFonts w:ascii="Times New Roman;serif" w:hAnsi="Times New Roman;serif"/>
          <w:b w:val="false"/>
          <w:i/>
          <w:color w:val="000000"/>
          <w:sz w:val="20"/>
        </w:rPr>
        <w:t>cc</w:t>
      </w:r>
      <w:r>
        <w:rPr>
          <w:color w:val="000000"/>
        </w:rPr>
        <w:t xml:space="preserve"> </w:t>
      </w:r>
      <w:r>
        <w:rPr>
          <w:rFonts w:ascii="Times New Roman;serif" w:hAnsi="Times New Roman;serif"/>
          <w:b w:val="false"/>
          <w:color w:val="000000"/>
          <w:sz w:val="20"/>
        </w:rPr>
        <w:t>ccTLD under an agreement with Cocos (Keeling) Islands. Under a separate agreement, we provide back-end services for the .</w:t>
      </w:r>
      <w:r>
        <w:rPr>
          <w:rFonts w:ascii="Times New Roman;serif" w:hAnsi="Times New Roman;serif"/>
          <w:b w:val="false"/>
          <w:i/>
          <w:color w:val="000000"/>
          <w:sz w:val="20"/>
        </w:rPr>
        <w:t>edu</w:t>
      </w:r>
      <w:r>
        <w:rPr>
          <w:color w:val="000000"/>
        </w:rPr>
        <w:t xml:space="preserve"> </w:t>
      </w:r>
      <w:r>
        <w:rPr>
          <w:rFonts w:ascii="Times New Roman;serif" w:hAnsi="Times New Roman;serif"/>
          <w:b w:val="false"/>
          <w:color w:val="000000"/>
          <w:sz w:val="20"/>
        </w:rPr>
        <w:t>top-level domain.</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also perform the Root Zone Maintainer function under an agreement with ICANN for the core of the internet’s DNS and operate two of the thirteen root zone servers that contain authoritative data for the top of the DNS hierarchy.</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global constellation of DNS servers provides internet protocol (“IP”) address information in response to queries, enabling the use of browsers, email systems, and other systems on the internet. In addition, we own and maintain our shared registration system that allows registrars to enter new second-level domain names into Verisign-operated central directories and to submit modifications, transfers, re-registrations, and deletions for existing second-level domain names (“Shared Registration System”).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Domain names in the registries we operate can be registered for between one and 10 years. Unlike other gTLDs, the prices we charge for </w:t>
      </w:r>
      <w:r>
        <w:rPr>
          <w:rFonts w:ascii="Times New Roman;serif" w:hAnsi="Times New Roman;serif"/>
          <w:b w:val="false"/>
          <w:i/>
          <w:color w:val="000000"/>
          <w:sz w:val="20"/>
        </w:rPr>
        <w:t>.com</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.net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.name </w:t>
      </w:r>
      <w:r>
        <w:rPr>
          <w:rFonts w:ascii="Times New Roman;serif" w:hAnsi="Times New Roman;serif"/>
          <w:b w:val="false"/>
          <w:color w:val="000000"/>
          <w:sz w:val="20"/>
        </w:rPr>
        <w:t>domain name registrations</w:t>
      </w:r>
      <w:r>
        <w:rPr>
          <w:color w:val="000000"/>
        </w:rPr>
        <w:t xml:space="preserve"> </w:t>
      </w:r>
      <w:r>
        <w:rPr>
          <w:rFonts w:ascii="Times New Roman;serif" w:hAnsi="Times New Roman;serif"/>
          <w:b w:val="false"/>
          <w:color w:val="000000"/>
          <w:sz w:val="20"/>
        </w:rPr>
        <w:t xml:space="preserve">are subject to restrictions in our agreements with ICANN and our prices may be increased only according to those restrictions. Retail pricing for these domain name registrations is established by registrars.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we pay ICANN on a quarterly basis $0.2575 for each annual domain name registration. For </w:t>
      </w:r>
      <w:r>
        <w:rPr>
          <w:rFonts w:ascii="Times New Roman;serif" w:hAnsi="Times New Roman;serif"/>
          <w:b w:val="false"/>
          <w:i/>
          <w:color w:val="000000"/>
          <w:sz w:val="20"/>
        </w:rPr>
        <w:t xml:space="preserve">.name </w:t>
      </w:r>
      <w:r>
        <w:rPr>
          <w:rFonts w:ascii="Times New Roman;serif" w:hAnsi="Times New Roman;serif"/>
          <w:b w:val="false"/>
          <w:color w:val="000000"/>
          <w:sz w:val="20"/>
        </w:rPr>
        <w:t xml:space="preserve">domain name registrations, we pay ICANN on a quarterly basis $0.25 for each annual domain name registration. For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domain name registrations, we remit to ICANN a $0.75 fee per annual domain name registration that is collected from registrars.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Revenues for </w:t>
      </w:r>
      <w:r>
        <w:rPr>
          <w:rFonts w:ascii="Times New Roman;serif" w:hAnsi="Times New Roman;serif"/>
          <w:b w:val="false"/>
          <w:i/>
          <w:color w:val="000000"/>
          <w:sz w:val="20"/>
        </w:rPr>
        <w:t>.cc</w:t>
      </w:r>
      <w:r>
        <w:rPr>
          <w:color w:val="000000"/>
        </w:rPr>
        <w:t xml:space="preserve"> </w:t>
      </w:r>
      <w:r>
        <w:rPr>
          <w:rFonts w:ascii="Times New Roman;serif" w:hAnsi="Times New Roman;serif"/>
          <w:b w:val="false"/>
          <w:color w:val="000000"/>
          <w:sz w:val="20"/>
        </w:rPr>
        <w:t>domain names and our IDN gTLDs are based on prices that are not subject to the same pricing restrictions as those for the .</w:t>
      </w:r>
      <w:r>
        <w:rPr>
          <w:rFonts w:ascii="Times New Roman;serif" w:hAnsi="Times New Roman;serif"/>
          <w:b w:val="false"/>
          <w:i/>
          <w:color w:val="000000"/>
          <w:sz w:val="20"/>
        </w:rPr>
        <w:t>com</w:t>
      </w:r>
      <w:r>
        <w:rPr>
          <w:rFonts w:ascii="Times New Roman;serif" w:hAnsi="Times New Roman;serif"/>
          <w:b w:val="false"/>
          <w:color w:val="000000"/>
          <w:sz w:val="20"/>
        </w:rPr>
        <w:t>,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 xml:space="preserve">name </w:t>
      </w:r>
      <w:r>
        <w:rPr>
          <w:rFonts w:ascii="Times New Roman;serif" w:hAnsi="Times New Roman;serif"/>
          <w:b w:val="false"/>
          <w:color w:val="000000"/>
          <w:sz w:val="20"/>
        </w:rPr>
        <w:t xml:space="preserve">gTLDs. The fee for our performance of back-end services for the </w:t>
      </w:r>
      <w:r>
        <w:rPr>
          <w:rFonts w:ascii="Times New Roman;serif" w:hAnsi="Times New Roman;serif"/>
          <w:b w:val="false"/>
          <w:i/>
          <w:color w:val="000000"/>
          <w:sz w:val="20"/>
        </w:rPr>
        <w:t>.edu</w:t>
      </w:r>
      <w:r>
        <w:rPr>
          <w:color w:val="000000"/>
        </w:rPr>
        <w:t xml:space="preserve"> </w:t>
      </w:r>
      <w:r>
        <w:rPr>
          <w:rFonts w:ascii="Times New Roman;serif" w:hAnsi="Times New Roman;serif"/>
          <w:b w:val="false"/>
          <w:color w:val="000000"/>
          <w:sz w:val="20"/>
        </w:rPr>
        <w:t>top-level domain is based on the terms of our agreement</w:t>
      </w:r>
      <w:r>
        <w:rPr>
          <w:rFonts w:ascii="Times New Roman;serif" w:hAnsi="Times New Roman;serif"/>
          <w:b w:val="false"/>
          <w:i/>
          <w:color w:val="000000"/>
          <w:sz w:val="2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Operations Infrastructure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Our main operations infrastructure consists of secure data centers in Dulles, Virginia; Ashburn, Virginia; and New Castle, Delaware; as well as more than 200 other points of presence around the world. Our domain name servers refer requestors to the associated authoritative name servers for second level domains in the registries we operate or support, thus enabling DNS resolution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names and for domain names in the other registries that we operate, or for which we provide technical or back-end services. Our servers process hundreds of billions of transactions daily. Our operations infrastructure operates continuously, supporting the security, integrity and availability of our services, which are critical for our business and internet users. The performance and availability of our infrastructure are critical for our business. Key features of our operations infrastructure include: </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hanging="225"/>
        <w:jc w:val="left"/>
        <w:rPr/>
      </w:pPr>
      <w:r>
        <w:rPr>
          <w:color w:val="000000"/>
        </w:rPr>
        <w:t>•</w:t>
      </w:r>
      <w:r>
        <w:rPr>
          <w:rFonts w:ascii="Times New Roman;serif" w:hAnsi="Times New Roman;serif"/>
          <w:b w:val="false"/>
          <w:i/>
          <w:color w:val="000000"/>
          <w:sz w:val="20"/>
        </w:rPr>
        <w:t>Distributed Servers:  </w:t>
      </w:r>
      <w:r>
        <w:rPr>
          <w:rFonts w:ascii="Times New Roman;serif" w:hAnsi="Times New Roman;serif"/>
          <w:b w:val="false"/>
          <w:color w:val="000000"/>
          <w:sz w:val="20"/>
        </w:rPr>
        <w:t xml:space="preserve">We operate a large number of high-speed servers globally to support localized transaction processing and performance demands. In conjunction with our proprietary software, processes and procedures, this purpose-built global constellation of servers offers rapid failover, global and local load balancing, and threshold monitoring on critical servers.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225"/>
        <w:jc w:val="left"/>
        <w:rPr/>
      </w:pPr>
      <w:r>
        <w:rPr>
          <w:color w:val="000000"/>
        </w:rPr>
        <w:t>•</w:t>
      </w:r>
      <w:r>
        <w:rPr>
          <w:rFonts w:ascii="Times New Roman;serif" w:hAnsi="Times New Roman;serif"/>
          <w:b w:val="false"/>
          <w:i/>
          <w:color w:val="000000"/>
          <w:sz w:val="20"/>
        </w:rPr>
        <w:t>Networking:  </w:t>
      </w:r>
      <w:r>
        <w:rPr>
          <w:rFonts w:ascii="Times New Roman;serif" w:hAnsi="Times New Roman;serif"/>
          <w:b w:val="false"/>
          <w:color w:val="000000"/>
          <w:sz w:val="20"/>
        </w:rPr>
        <w:t xml:space="preserve">We deploy and maintain a redundant and diverse global network, maintain high-speed, redundant connections to numerous internet service providers, and maintain hundreds of network interconnection relationships globally to ensure that our critical services are readily accessible to end users.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hanging="225"/>
        <w:jc w:val="left"/>
        <w:rPr/>
      </w:pPr>
      <w:r>
        <w:rPr>
          <w:color w:val="000000"/>
        </w:rPr>
        <w:t>•</w:t>
      </w:r>
      <w:r>
        <w:rPr>
          <w:rFonts w:ascii="Times New Roman;serif" w:hAnsi="Times New Roman;serif"/>
          <w:b w:val="false"/>
          <w:i/>
          <w:color w:val="000000"/>
          <w:sz w:val="20"/>
        </w:rPr>
        <w:t>Security and Availability:  </w:t>
      </w:r>
      <w:r>
        <w:rPr>
          <w:rFonts w:ascii="Times New Roman;serif" w:hAnsi="Times New Roman;serif"/>
          <w:b w:val="false"/>
          <w:color w:val="000000"/>
          <w:sz w:val="20"/>
        </w:rPr>
        <w:t>We incorporate architectural concepts such as protected domains, restricted nodes, and distributed access control in our system architecture. In addition, we employ firewalls and intrusion detection software, endpoint and network detection and response systems as well as proprietary security mechanisms at many points across our infrastructure. We perform continuous internal vulnerability testing and periodic controls, audits, and also contract with third-party security organizations to perform periodic penetration tests and security risk assessments on our systems. Software undergoes application security testing prior to deployment and our responsible disclosure program provides an opportunity for external security researchers to be compensated for submitting vulnerabilities to our Information Security team. We have engineered resiliency and diversity across our set of interconnected sites to reduce the risk of unknown vendor defects and zero-day security vulnerabilities. For our critical services, our change management and core rollout processes include testing and validation in multiple test environments, along with a careful phased rollout to the production environment.</w:t>
      </w:r>
    </w:p>
    <w:p>
      <w:pPr>
        <w:pStyle w:val="TextBody"/>
        <w:bidi w:val="0"/>
        <w:spacing w:before="0" w:after="0"/>
        <w:ind w:left="0" w:right="0" w:firstLine="13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225"/>
        <w:jc w:val="left"/>
        <w:rPr/>
      </w:pPr>
      <w:r>
        <w:rPr>
          <w:color w:val="000000"/>
        </w:rPr>
        <w:t>•</w:t>
      </w:r>
      <w:r>
        <w:rPr>
          <w:rFonts w:ascii="Times New Roman;serif" w:hAnsi="Times New Roman;serif"/>
          <w:b w:val="false"/>
          <w:i/>
          <w:color w:val="000000"/>
          <w:sz w:val="20"/>
        </w:rPr>
        <w:t xml:space="preserve">Data Integrity: </w:t>
      </w:r>
      <w:r>
        <w:rPr>
          <w:rFonts w:ascii="Times New Roman;serif" w:hAnsi="Times New Roman;serif"/>
          <w:b w:val="false"/>
          <w:color w:val="000000"/>
          <w:sz w:val="20"/>
        </w:rPr>
        <w:t xml:space="preserve">We use several proprietary systemic integrity checks and validations to ensure data correctness when updating and publishing the DNS records for the registries we operate. These steps include multiple stages of DNSSEC validation to ensure correctness, all of which exist to ensure that the zone can be validated cryptographically so that any changes would be rejected in the event of an error or corruption. </w:t>
      </w:r>
    </w:p>
    <w:p>
      <w:pPr>
        <w:pStyle w:val="TextBody"/>
        <w:bidi w:val="0"/>
        <w:spacing w:lineRule="auto" w:line="288" w:before="0" w:after="0"/>
        <w:ind w:left="0" w:right="0" w:hanging="225"/>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continuously seek to enhance our infrastructure and capabilities to support both normal and peak system load plus attack volumes based on historical experience, as well as to address reported and projected internet attack trends.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i/>
          <w:color w:val="000000"/>
          <w:sz w:val="20"/>
        </w:rPr>
        <w:t>Call Centers and Service Desk:  </w:t>
      </w:r>
      <w:r>
        <w:rPr>
          <w:rFonts w:ascii="Times New Roman;serif" w:hAnsi="Times New Roman;serif"/>
          <w:b w:val="false"/>
          <w:color w:val="000000"/>
          <w:sz w:val="20"/>
        </w:rPr>
        <w:t xml:space="preserve">We provide customer support services over the phone, by email, by chat, and through web-based self-help systems. Our support teams are staffed with trained technical customer support personnel. Support is available for customers 24 hours a day.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495"/>
        <w:jc w:val="left"/>
        <w:rPr/>
      </w:pPr>
      <w:r>
        <w:rPr>
          <w:rFonts w:ascii="Times New Roman;serif" w:hAnsi="Times New Roman;serif"/>
          <w:b w:val="false"/>
          <w:i/>
          <w:color w:val="000000"/>
          <w:sz w:val="20"/>
        </w:rPr>
        <w:t>Operations Support and Monitoring:  </w:t>
      </w:r>
      <w:r>
        <w:rPr>
          <w:rFonts w:ascii="Times New Roman;serif" w:hAnsi="Times New Roman;serif"/>
          <w:b w:val="false"/>
          <w:color w:val="000000"/>
          <w:sz w:val="20"/>
        </w:rPr>
        <w:t>Through our network operations center, we have an extensive monitoring capability that enables us to track the status and performance of our critical systems, network and services. Our network operations center monitors our systems continuously. We subscribe to an industry leading Managed Detection and Response (MDR) service providing increased security monitoring 24/7/365, in addition to our own internal Verisign Incident Response Team.</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495"/>
        <w:jc w:val="left"/>
        <w:rPr/>
      </w:pPr>
      <w:r>
        <w:rPr>
          <w:rFonts w:ascii="Times New Roman;serif" w:hAnsi="Times New Roman;serif"/>
          <w:b w:val="false"/>
          <w:i/>
          <w:color w:val="000000"/>
          <w:sz w:val="20"/>
        </w:rPr>
        <w:t>Disaster Recovery Plans:  </w:t>
      </w:r>
      <w:r>
        <w:rPr>
          <w:rFonts w:ascii="Times New Roman;serif" w:hAnsi="Times New Roman;serif"/>
          <w:b w:val="false"/>
          <w:color w:val="000000"/>
          <w:sz w:val="20"/>
        </w:rPr>
        <w:t xml:space="preserve">We have disaster recovery and business continuity capabilities that are designed to deal with the loss of entire data centers and other facilities. We maintain data centers with mirrored services that allow failover with no data loss and no loss of function or capacity. Our critical data services (including domain name registration) use advanced storage systems and techniques such as synchronous mirroring and remote replication to our global resolution sites to provide data protection. We periodically operate services at alternate data centers during maintenance windows to ensure the availability of our data centers for disaster recovery. Air-gapped backup solutions are regularly maintained along with local and remote disk backups. We also conduct multiple simulations/exercises a year around disaster recovery, large-scale DDoS events, systems failure, ransomware attacks, and many more to broaden and deepen our learnings beyond the normal events we encounter on a day-to-day basis. </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Marketing and Distribution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seek to expand our business through focused marketing campaigns and programs that target growth in </w:t>
      </w:r>
      <w:r>
        <w:rPr>
          <w:rFonts w:ascii="Times New Roman;serif" w:hAnsi="Times New Roman;serif"/>
          <w:b w:val="false"/>
          <w:i/>
          <w:color w:val="000000"/>
          <w:sz w:val="20"/>
        </w:rPr>
        <w:t>.com</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.cc </w:t>
      </w:r>
      <w:r>
        <w:rPr>
          <w:rFonts w:ascii="Times New Roman;serif" w:hAnsi="Times New Roman;serif"/>
          <w:b w:val="false"/>
          <w:color w:val="000000"/>
          <w:sz w:val="20"/>
        </w:rPr>
        <w:t>domain names, both domestically and internationally through our registrars. We provide tools to be used by both registrars and end users to enable them to find relevant domain names. We have marketing and account management employees in several countries around the world.</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timely development of new and enhanced capabilities for our DNS registration and resolution infrastructure and of new and enhanced ways to ensure the security, stability, and resiliency of our services, are vital to protect our business in an ever-increasing cyberthreat environment, to adapt to evolving internet protocols and standards, and to remain competitive in the marketplace. We also invest in R&amp;D that benefits the DNS and internet community in which we operate more broadly.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will depend, in large part, on our ability to continue to maintain and enhance our current technologies and services and to develop new ones. We actively investigate and incubate new concepts and evaluate new business ideas through our innovation pipeline. We expect that most of the future enhancements to our existing services and our new services will be the result of internal development efforts in collaboration with suppliers, other vendors, customers, and the technology community. Under certain circumstances, we may also acquire or license technology from third parties.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We face competition in the domain name registry space from other gTLD and ccTLD registries that are competing for the business of entities and individuals that are seeking to obtain a domain name registration. In addition to the registries we operate or for which we provide technical or back-end services, there are numerous other operational gTLD registries, ASCII ccTLD registries, IDN ccTLD registries, and IDN gTLD registries. Under our agreements with ICANN, we are subject to certain restrictions in the operation of </w:t>
      </w:r>
      <w:r>
        <w:rPr>
          <w:rFonts w:ascii="Times New Roman;serif" w:hAnsi="Times New Roman;serif"/>
          <w:b w:val="false"/>
          <w:i/>
          <w:color w:val="000000"/>
          <w:sz w:val="20"/>
        </w:rPr>
        <w:t>.com</w:t>
      </w:r>
      <w:r>
        <w:rPr>
          <w:rFonts w:ascii="Times New Roman;serif" w:hAnsi="Times New Roman;serif"/>
          <w:b w:val="false"/>
          <w:color w:val="000000"/>
          <w:sz w:val="2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.name</w:t>
      </w:r>
      <w:r>
        <w:rPr>
          <w:color w:val="000000"/>
        </w:rPr>
        <w:t xml:space="preserve"> </w:t>
      </w:r>
      <w:r>
        <w:rPr>
          <w:rFonts w:ascii="Times New Roman;serif" w:hAnsi="Times New Roman;serif"/>
          <w:b w:val="false"/>
          <w:color w:val="000000"/>
          <w:sz w:val="20"/>
        </w:rPr>
        <w:t>on pricing, bundling, marketing, methods of distribution, introduction of new registry services, and use of registrars, that do not apply to ccTLDs and other gTLDs and therefore may create a competitive disadvantage. Among our competitors operating gTLD and ccTLD registries are CentralNic, China Internet Network, DENIC eG, GoDaddy, Google, Identity Digital, Information Center (CNNIC), Nominet, Public Interest Registry (PIR),</w:t>
      </w:r>
      <w:r>
        <w:rPr>
          <w:color w:val="000000"/>
        </w:rPr>
        <w:t xml:space="preserve"> </w:t>
      </w:r>
      <w:r>
        <w:rPr>
          <w:rFonts w:ascii="Times New Roman;serif" w:hAnsi="Times New Roman;serif"/>
          <w:b w:val="false"/>
          <w:color w:val="000000"/>
          <w:sz w:val="20"/>
        </w:rPr>
        <w:t xml:space="preserve">Radix, and .xyz.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domain names could be negatively impacted to the extent end-users establish their online identities using social media (such as Facebook, Instagram or TikTok) or transact business on e-commerce platforms (such as Amazon, Etsy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Taobao) instead of registering domain names. Furthermore, demand for domain names could also be negatively impacted by the activities of providers of web and mobile applications that allow end-users to locate and access content.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Alternative namespaces, new technologies and the expansion of existing technologies, including Artificial Intelligence (“AI”), may increase competitive pressure. Our industry is characterized by collaborative relationships involving our competitors. In the past, certain of our competitors have consolidated or vertically integrated. Our ability to participate and benefit from such collaborative arrangements or consolidations may be limited and such collaborative arrangements and consolidations could harm our competitive position and adversely impact our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Industry Regulation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DNS is governed under a multi-stakeholder model comprised of civil society, the private sector, including for-profit and not-for-profit organizations such as ICANN, governments, including the U.S. government, academia, non-governmental organizations, and international organizations. ICANN plays a central coordination role in this bottom-up multi-stakeholder system. ICANN is mandated through its bylaws to uphold a private sector-led multi-stakeholder approach to internet governance for the public benefit. ICANN’s multi-stakeholder policy development processes have created, and will continue to create, policies, programs, and standards that directly or indirectly impact our business. Certain policies can be adopted as Consensus or Temporary Policies, which we are obligated to follow under our agreements with ICANN.</w:t>
      </w:r>
    </w:p>
    <w:p>
      <w:pPr>
        <w:pStyle w:val="TextBody"/>
        <w:bidi w:val="0"/>
        <w:spacing w:lineRule="auto" w:line="288" w:before="120" w:after="283"/>
        <w:ind w:left="0" w:right="0" w:firstLine="450"/>
        <w:jc w:val="left"/>
        <w:rPr/>
      </w:pPr>
      <w:r>
        <w:rPr>
          <w:rFonts w:ascii="Times New Roman;serif" w:hAnsi="Times New Roman;serif"/>
          <w:b w:val="false"/>
          <w:color w:val="000000"/>
          <w:sz w:val="20"/>
        </w:rPr>
        <w:t>We are also subject to country-level laws and regulations in the United States and in international locations. In China, we are required to maintain licenses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and </w:t>
      </w:r>
      <w:r>
        <w:rPr>
          <w:rFonts w:ascii="Times New Roman;serif" w:hAnsi="Times New Roman;serif"/>
          <w:b w:val="false"/>
          <w:i/>
          <w:color w:val="000000"/>
          <w:sz w:val="20"/>
        </w:rPr>
        <w:t>.cc</w:t>
      </w:r>
      <w:r>
        <w:rPr>
          <w:color w:val="000000"/>
        </w:rPr>
        <w:t xml:space="preserve"> </w:t>
      </w:r>
      <w:r>
        <w:rPr>
          <w:rFonts w:ascii="Times New Roman;serif" w:hAnsi="Times New Roman;serif"/>
          <w:b w:val="false"/>
          <w:color w:val="000000"/>
          <w:sz w:val="20"/>
        </w:rPr>
        <w:t>under regulations issued by the Ministry of Industry and Information Technology. Additionally, in many jurisdictions in which we operate, including California, the European Union, the United Kingdom, China and elsewhere, strict data security and data privacy regulations have been, or are being, adopted. Because we do not possess extensive personal registrant information, we have not yet experienced significant impacts from these regulations. However, compliance costs and other business impacts could become significant if we begin to receive personal registrant information in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Other regulations, or changes to regulations, including those related to cybersecurity, may also significantly impact our business operations.</w:t>
      </w:r>
    </w:p>
    <w:p>
      <w:pPr>
        <w:pStyle w:val="TextBody"/>
        <w:bidi w:val="0"/>
        <w:spacing w:lineRule="auto" w:line="288" w:before="120" w:after="283"/>
        <w:jc w:val="left"/>
        <w:rPr/>
      </w:pPr>
      <w:r>
        <w:rPr>
          <w:rFonts w:ascii="Times New Roman;serif" w:hAnsi="Times New Roman;serif"/>
          <w:b w:val="false"/>
          <w:i/>
          <w:color w:val="000000"/>
          <w:sz w:val="20"/>
        </w:rPr>
        <w:t>.com Generic</w:t>
      </w:r>
      <w:r>
        <w:rPr>
          <w:color w:val="000000"/>
        </w:rPr>
        <w:t xml:space="preserve"> </w:t>
      </w:r>
      <w:r>
        <w:rPr>
          <w:rFonts w:ascii="Times New Roman;serif" w:hAnsi="Times New Roman;serif"/>
          <w:b w:val="false"/>
          <w:i/>
          <w:color w:val="000000"/>
          <w:sz w:val="20"/>
        </w:rPr>
        <w:t>Top-Level Domain</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Our operation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is subject to the terms of a registry agreement with ICANN (as amended,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The current term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is six years and must be renewed or extended by November 30, 2030. Although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contains a “presumptive” right of renewal, ICANN could terminate or refuse to renew the Registry Agreement in certain prescribed circumstances. See “Risk Factors - Any loss or modification of our right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gTLDs could have a material adverse impact on our business and result in loss of revenues.” in Part I, Item 1A of this Form 10-K for further information.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Other significant terms within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include performance specifications and service level agreements, including for example, for the availability of our DNS resolution services, our Shared Registration System, and our Registration Data Directory services, which include our Whois and Registration Data Access Protocol services.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contains marketing limitations, including limitations on our ability to bundle products and the manner in which we provide marketing support to ICANN-accredited registrars. We are also required under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to provide ICANN-accredited registrars with nondiscriminatory access to our systems to register or take other actions related to domain names. In order to introduce new Registry Services or make material changes to existing Registry Services, we must follow prescribed procedures which permit ICANN to review and approve such services.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permits an increase to the Maximum Price (as defined in the</w:t>
      </w:r>
      <w:r>
        <w:rPr>
          <w:color w:val="000000"/>
        </w:rPr>
        <w:t xml:space="preserv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by up to 7% over the previous year in each of the final four years of each six-year period. The current such six-year period began on October 26, 2024. The restrictions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relating to vertical integration apply solely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gTLD.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Our operation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is also subject to the terms of a Cooperative Agreement with the DOC. The Cooperative Agreement has undergone various amendments with the most recent, Amendment 35, on October 26, 2018. On November 30, 2024, the Cooperative Agreement was automatically renewed on the same terms for a successive six-year term and will automatically renew on November 30, 2030, unless the DOC provides written notice of non-renewal within 120 days prior to the end of the then-current term. The Cooperative Agreement requires the mutual consent of the DOC and the Company to change its terms. In addition, under Amendment 35, we have agreed to continue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in a content-neutral manner and to work within ICANN processes to promote the development of content-neutral policies for the operation of the DNS.</w:t>
      </w:r>
    </w:p>
    <w:p>
      <w:pPr>
        <w:pStyle w:val="TextBody"/>
        <w:bidi w:val="0"/>
        <w:spacing w:lineRule="auto" w:line="288" w:before="120" w:after="283"/>
        <w:ind w:left="0" w:right="0" w:firstLine="446"/>
        <w:jc w:val="left"/>
        <w:rPr/>
      </w:pPr>
      <w:r>
        <w:rPr>
          <w:rFonts w:ascii="Times New Roman;serif" w:hAnsi="Times New Roman;serif"/>
          <w:b w:val="false"/>
          <w:color w:val="000000"/>
          <w:sz w:val="20"/>
        </w:rPr>
        <w:t xml:space="preserve">The Cooperative Agreement further provides that we shall be entitled at any time during the term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to seek to remove the pricing restrictions contained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if we demonstrate to the DOC that market conditions no longer warrant pricing restrictions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as determined by the DOC.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pPr>
      <w:r>
        <w:rPr>
          <w:rFonts w:ascii="Times New Roman;serif" w:hAnsi="Times New Roman;serif"/>
          <w:b w:val="false"/>
          <w:color w:val="000000"/>
          <w:sz w:val="20"/>
        </w:rPr>
        <w:t>DOC approval of changes to or the renewal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was limited by Amendment 35 to only the following circumstances: (1) changes to the pricing provisions (other than as approved in Amendment 35, which are described above), (2) changes to the vertical integration provisions, (3) changes to the security, stability and resiliency posture as reflected in the functional or performance specifications (including the service level agreements), (4) changes to the conditions for renewal or termination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or (5) changes to the Whois service (except as mandated by ICANN through Temporary or Consensus Policies). As was the case with prior amendments, Amendment 35 is not intended to confer federal antitrust immunity on the Company with respect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Generic Top-Level Domain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Our operation of the .</w:t>
      </w:r>
      <w:r>
        <w:rPr>
          <w:rFonts w:ascii="Times New Roman;serif" w:hAnsi="Times New Roman;serif"/>
          <w:b w:val="false"/>
          <w:i/>
          <w:color w:val="000000"/>
          <w:sz w:val="20"/>
        </w:rPr>
        <w:t>net g</w:t>
      </w:r>
      <w:r>
        <w:rPr>
          <w:rFonts w:ascii="Times New Roman;serif" w:hAnsi="Times New Roman;serif"/>
          <w:b w:val="false"/>
          <w:color w:val="000000"/>
          <w:sz w:val="20"/>
        </w:rPr>
        <w:t>TLD is subject to the terms of a registry agreement with ICANN (as amended,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Registry Agreement”). The </w:t>
      </w:r>
      <w:r>
        <w:rPr>
          <w:rFonts w:ascii="Times New Roman;serif" w:hAnsi="Times New Roman;serif"/>
          <w:b w:val="false"/>
          <w:i/>
          <w:color w:val="000000"/>
          <w:sz w:val="20"/>
        </w:rPr>
        <w:t xml:space="preserve">.net </w:t>
      </w:r>
      <w:r>
        <w:rPr>
          <w:rFonts w:ascii="Times New Roman;serif" w:hAnsi="Times New Roman;serif"/>
          <w:b w:val="false"/>
          <w:color w:val="000000"/>
          <w:sz w:val="20"/>
        </w:rPr>
        <w:t>Registry Agreement was renewed on June 29, 2023. The current term of this agreement is six years and must be renewed or extended by July 1, 2029. The terms of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 are substantially similar to the terms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except as to ICANN fees as described earlier and that the annual price for new and renewal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registrations may be increased by 10% each year. Our operation of the .</w:t>
      </w:r>
      <w:r>
        <w:rPr>
          <w:rFonts w:ascii="Times New Roman;serif" w:hAnsi="Times New Roman;serif"/>
          <w:b w:val="false"/>
          <w:i/>
          <w:color w:val="000000"/>
          <w:sz w:val="20"/>
        </w:rPr>
        <w:t xml:space="preserve">net </w:t>
      </w:r>
      <w:r>
        <w:rPr>
          <w:rFonts w:ascii="Times New Roman;serif" w:hAnsi="Times New Roman;serif"/>
          <w:b w:val="false"/>
          <w:color w:val="000000"/>
          <w:sz w:val="20"/>
        </w:rPr>
        <w:t>gTLD is not subject to the terms of the Cooperative Agreement.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Root Operations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two of the world’s thirteen root servers. Along with the ICANN community, we are involved in discussions to establish criteria for operations of the root server system including the root servers that we operate. We also publish the root zone file, as the Root Zone Maintainer, under the Root Zone Maintainer Service Agreement (“RZMA”) with ICANN. The RZMA was renewed on October 20, 2024 and the current term of the RZMA ends on October 20, 2032. The RZMA is subject to an automatic eight-year renewal, unless earlier modified or terminated.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descriptions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the Cooperative Agreement, and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Registry Agreement are qualified in their entirety by reference to the text of the complete agreements that are incorporated by reference as exhibits in this Form 10-K.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employees are mission driven and values focused. Their dedication to these principles forms the backbone that enables Verisign to provide for the security, stability, and resiliency of the DNS and the internet. We recognize the importance of talent and culture in driving an environment that fosters high performance, collaboration, belonging, and integrity in all aspects of our work.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committed to attracting, developing, and retaining the best talent, and we routinely monitor and present our progress in these areas to executive management and the Compensation Committee of our Board of Directors. As of December 31, 2025, we had 928 employees, of which 926 were full-time. 859 employees (representing approximately 93% of our total workforce) were based in the U.S., and 69 employees (representing approximately 7% of our total workforce) were based outside the U.S. As of December 31, 2025, approximately 30% of our global workforce was female, and approximately 46% of our U.S. employees were ethnically and racially diverse. No U.S.-based employees are represented under collective bargaining agreements. Based on periodic monitoring, we believe that our employee turnover is relatively low compared to competitive benchmarks and historical trends. We attribute our strong retention rates to our employees’ passion for and focus on the Company’s mission and values, our continual development of talent, and our delivery of competitive and equitable reward programs. We regularly review our workforce policies, procedures, and training programs, as well as our overall workforce demographics, in an effort to create a high performing, ethical, respectful, and collaborative work environment where employees can thrive.</w:t>
      </w:r>
    </w:p>
    <w:p>
      <w:pPr>
        <w:pStyle w:val="TextBody"/>
        <w:bidi w:val="0"/>
        <w:spacing w:lineRule="auto" w:line="288" w:before="0" w:after="120"/>
        <w:jc w:val="left"/>
        <w:rPr/>
      </w:pPr>
      <w:r>
        <w:rPr>
          <w:rFonts w:ascii="Times New Roman;serif" w:hAnsi="Times New Roman;serif"/>
          <w:b w:val="false"/>
          <w:i/>
          <w:color w:val="000000"/>
          <w:sz w:val="20"/>
        </w:rPr>
        <w:t xml:space="preserve">Employee Engagement: </w:t>
      </w:r>
      <w:r>
        <w:rPr>
          <w:rFonts w:ascii="Times New Roman;serif" w:hAnsi="Times New Roman;serif"/>
          <w:b w:val="false"/>
          <w:color w:val="000000"/>
          <w:sz w:val="20"/>
        </w:rPr>
        <w:t>In order to deliver on our mission, we believe it is important to have a highly engaged workforce that exhibits our values, which include: being stewards of the internet, being passionate about technology, respecting others, exhibiting integrity, taking responsibility, and holding ourselves to a higher standard. We strive to create an environment where employees feel a sense of belonging and feel empowered to bring their diverse set of skills, perspectives, and talents to bear. These principles are integrated into our operating model and are foundational to our ability to attract, retain, and develop top talent and allow us to drive stronger overall performance and decision making. To monitor engagement levels and well-being we routinely conduct employee surveys and review key workforce statistics. In our most recent survey conducted in November 2025, approximately 93% of our employee population participated. The survey results indicated that our employees remain highly engaged, have a strong commitment to our mission and values, and are proud to work at Verisign. These sentiments are reflected in our workforce statistics, especially our average employee tenure of approximately 11 years.</w:t>
      </w:r>
    </w:p>
    <w:p>
      <w:pPr>
        <w:pStyle w:val="TextBody"/>
        <w:bidi w:val="0"/>
        <w:spacing w:lineRule="auto" w:line="288" w:before="120" w:after="120"/>
        <w:jc w:val="left"/>
        <w:rPr/>
      </w:pPr>
      <w:r>
        <w:rPr>
          <w:rFonts w:ascii="Times New Roman;serif" w:hAnsi="Times New Roman;serif"/>
          <w:b w:val="false"/>
          <w:i/>
          <w:color w:val="000000"/>
          <w:sz w:val="20"/>
        </w:rPr>
        <w:t>Compensation, Pay Equity, and Employee Benefits:</w:t>
      </w:r>
      <w:r>
        <w:rPr>
          <w:color w:val="000000"/>
        </w:rPr>
        <w:t xml:space="preserve"> </w:t>
      </w:r>
      <w:r>
        <w:rPr>
          <w:rFonts w:ascii="Times New Roman;serif" w:hAnsi="Times New Roman;serif"/>
          <w:b w:val="false"/>
          <w:color w:val="000000"/>
          <w:sz w:val="20"/>
        </w:rPr>
        <w:t xml:space="preserve">To align with our philosophy of providing impactful total rewards, we have practices in place to deliver fair and equitable compensation for employees based on their contribution and performance. We benchmark and regularly review our compensation and benefits against the market to confirm they remain competitive.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offer a broad and comprehensive set of benefits to meet the diverse needs of our workforce. In addition, we regularly perform analyses on base pay, annual incentives, and long-term incentives to help calibrate compensation and ensure pay equity.</w:t>
      </w:r>
    </w:p>
    <w:p>
      <w:pPr>
        <w:pStyle w:val="TextBody"/>
        <w:bidi w:val="0"/>
        <w:spacing w:lineRule="auto" w:line="288" w:before="0" w:after="120"/>
        <w:jc w:val="left"/>
        <w:rPr/>
      </w:pPr>
      <w:r>
        <w:rPr>
          <w:rFonts w:ascii="Times New Roman;serif" w:hAnsi="Times New Roman;serif"/>
          <w:b w:val="false"/>
          <w:i/>
          <w:color w:val="000000"/>
          <w:sz w:val="20"/>
        </w:rPr>
        <w:t>Talent Development and Acquisition:</w:t>
      </w:r>
      <w:r>
        <w:rPr>
          <w:color w:val="000000"/>
        </w:rPr>
        <w:t xml:space="preserve"> </w:t>
      </w:r>
      <w:r>
        <w:rPr>
          <w:rFonts w:ascii="Times New Roman;serif" w:hAnsi="Times New Roman;serif"/>
          <w:b w:val="false"/>
          <w:color w:val="000000"/>
          <w:sz w:val="20"/>
        </w:rPr>
        <w:t>We are committed to the continued development of our people. Strategic talent reviews and succession planning occur on a regular basis where leadership is actively involved in identifying and developing top talent and potential successors for both emergency and long-term succession opportunities. We believe that employee development is anchored in acquiring skills and work experiences that meet the needs of the business and the individual. We focus on leadership capability development and provide opportunities that enhance technical and soft skills to equip our workforce for current and future growth. Our learning opportunities are a blend of on-the-job experiences, instructor-led training, and on-demand learning sessions that meet the unique development needs of our workforce. Additionally, all employees are required to complete annual ethics and compliance and monthly data security trainings. Our managers regularly hold conversations with employees about career management, coaching, and other development opportunities to help encourage and drive the growth of our talent.</w:t>
      </w:r>
      <w:r>
        <w:rPr>
          <w:color w:val="000000"/>
        </w:rPr>
        <w:t xml:space="preserve"> </w:t>
      </w:r>
      <w:r>
        <w:rPr>
          <w:rFonts w:ascii="Times New Roman;serif" w:hAnsi="Times New Roman;serif"/>
          <w:b w:val="false"/>
          <w:color w:val="000000"/>
          <w:sz w:val="20"/>
        </w:rPr>
        <w:t xml:space="preserve">We are focused on the competitive labor market, and we work diligently to ensure comprehensive sourcing strategies are in place which enable the attraction of the best talent. </w:t>
      </w:r>
    </w:p>
    <w:p>
      <w:pPr>
        <w:pStyle w:val="TextBody"/>
        <w:bidi w:val="0"/>
        <w:spacing w:lineRule="auto" w:line="288" w:before="120" w:after="120"/>
        <w:jc w:val="left"/>
        <w:rPr/>
      </w:pPr>
      <w:r>
        <w:rPr>
          <w:rFonts w:ascii="Times New Roman;serif" w:hAnsi="Times New Roman;serif"/>
          <w:b w:val="false"/>
          <w:i/>
          <w:color w:val="000000"/>
          <w:sz w:val="20"/>
        </w:rPr>
        <w:t>Employee Health, Safety and Well-being:</w:t>
      </w:r>
      <w:r>
        <w:rPr>
          <w:color w:val="000000"/>
        </w:rPr>
        <w:t xml:space="preserve"> </w:t>
      </w:r>
      <w:r>
        <w:rPr>
          <w:rFonts w:ascii="Times New Roman;serif" w:hAnsi="Times New Roman;serif"/>
          <w:b w:val="false"/>
          <w:color w:val="000000"/>
          <w:sz w:val="20"/>
        </w:rPr>
        <w:t>We are committed to maintaining a safe and healthy environment for our employees. We have a robust physical safety and security program, including a life safety program which trains employees on appropriate emergency responses. We also offer a holistic wellness experience for our employees through our Mindful Connections program that supports employees across three pillars: physical, emotional, and financial. We support a hybrid work posture where our employees operate under team agreements that set the foundation for operating norms. Most employees are in the office a minimum of two days per week which fosters collaboration while providing employees the flexibility to manage a healthy work-life balance. Our offices remain essential to enabling collaboration, networking, and strategic discussion.</w:t>
      </w:r>
    </w:p>
    <w:p>
      <w:pPr>
        <w:pStyle w:val="TextBody"/>
        <w:bidi w:val="0"/>
        <w:spacing w:lineRule="auto" w:line="276"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comparison of our consolidated employee headcount, by function: </w:t>
      </w:r>
    </w:p>
    <w:tbl>
      <w:tblPr>
        <w:tblW w:w="5625" w:type="dxa"/>
        <w:jc w:val="left"/>
        <w:tblInd w:w="0" w:type="dxa"/>
        <w:tblLayout w:type="fixed"/>
        <w:tblCellMar>
          <w:top w:w="28" w:type="dxa"/>
          <w:left w:w="28" w:type="dxa"/>
          <w:bottom w:w="28" w:type="dxa"/>
          <w:right w:w="28" w:type="dxa"/>
        </w:tblCellMar>
      </w:tblPr>
      <w:tblGrid>
        <w:gridCol w:w="1069"/>
        <w:gridCol w:w="941"/>
        <w:gridCol w:w="944"/>
        <w:gridCol w:w="233"/>
        <w:gridCol w:w="233"/>
        <w:gridCol w:w="176"/>
        <w:gridCol w:w="114"/>
        <w:gridCol w:w="114"/>
        <w:gridCol w:w="114"/>
        <w:gridCol w:w="233"/>
        <w:gridCol w:w="233"/>
        <w:gridCol w:w="176"/>
        <w:gridCol w:w="114"/>
        <w:gridCol w:w="114"/>
        <w:gridCol w:w="114"/>
        <w:gridCol w:w="233"/>
        <w:gridCol w:w="233"/>
        <w:gridCol w:w="237"/>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headcount by function:</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copyrighted software, trademarks, service marks, patents, trade secrets, know-how, restrictions on disclosure, and other methods to protect our proprietary assets. We also enter into confidentiality and/or intellectual property assignment agreements with our employees, consultants, customers and business partners. We also control access to and distribution of proprietary documentation and other confidential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been issued numerous patents in the U.S. and abroad, covering a wide range of our technologies. Additionally, we continue to file patent applications with respect to certain of our technologies in the U.S. Patent and Trademark Office and internationally. Patents may not be awarded with respect to these applications and even if such patents are awarded, they may not provide sufficient protection of our technologies. We continue to consider opportunities for strategic growth and use of our patent portfolio.</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obtained trademark registrations for the VERISIGN mark and VERISIGN logo in the U.S. and certain countries and have pending trademark applications for the VERISIGN logo in a number of other countries. We have common law rights in other proprietary names. We take steps to enforce and monitor potential infringement of Verisign’s trademarks. We rely on the strength of our Verisign brand to help differentiate ourselves in the marketing of our products and services.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intellectual property consists of, and our success is dependent upon, proprietary software used in our business and certain methodologies (many of which are patented or for which patent applications are pending) and technical expertise and proprietary know-how we use in both the design and implementation of our current and future registry services. We own our proprietary Shared Registration System through which registrars submit second-level domain name registrations for each of the registries we operate, as well as the ATLAS distributed lookup system which processes hundreds of billions of queries per day. Some of the software and protocols used in our business are in the public domain or are otherwise available to our competitors, and some are based on open standards set by organizations such as the Internet Engineering Task Force. To the extent any of our patents are considered “standard essential patents,” we may be required to license such patents to our competitors on fair, reasonable and non-discriminatory terms or otherwise be limited in our ability to assert such patents.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executive officers as of February 5, 2026:</w:t>
      </w:r>
    </w:p>
    <w:tbl>
      <w:tblPr>
        <w:tblW w:w="8494" w:type="dxa"/>
        <w:jc w:val="center"/>
        <w:tblInd w:w="0" w:type="dxa"/>
        <w:tblLayout w:type="fixed"/>
        <w:tblCellMar>
          <w:top w:w="28" w:type="dxa"/>
          <w:left w:w="28" w:type="dxa"/>
          <w:bottom w:w="28" w:type="dxa"/>
          <w:right w:w="28" w:type="dxa"/>
        </w:tblCellMar>
      </w:tblPr>
      <w:tblGrid>
        <w:gridCol w:w="695"/>
        <w:gridCol w:w="608"/>
        <w:gridCol w:w="616"/>
        <w:gridCol w:w="109"/>
        <w:gridCol w:w="109"/>
        <w:gridCol w:w="109"/>
        <w:gridCol w:w="180"/>
        <w:gridCol w:w="181"/>
        <w:gridCol w:w="131"/>
        <w:gridCol w:w="109"/>
        <w:gridCol w:w="109"/>
        <w:gridCol w:w="109"/>
        <w:gridCol w:w="1583"/>
        <w:gridCol w:w="1583"/>
        <w:gridCol w:w="2263"/>
      </w:tblGrid>
      <w:tr>
        <w:trPr/>
        <w:tc>
          <w:tcPr>
            <w:tcW w:w="69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Position</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James Bidzos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President, and Chief Executive Officer</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D. Calys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R. McPherson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Technology and Chief Security Officer</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C. Indelicarto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lineRule="auto" w:line="288" w:before="80" w:after="283"/>
        <w:ind w:left="0" w:right="0" w:firstLine="495"/>
        <w:jc w:val="left"/>
        <w:rPr/>
      </w:pPr>
      <w:r>
        <w:rPr>
          <w:rFonts w:ascii="Times New Roman;serif" w:hAnsi="Times New Roman;serif"/>
          <w:b/>
          <w:i/>
          <w:color w:val="000000"/>
          <w:sz w:val="20"/>
        </w:rPr>
        <w:t xml:space="preserve">D. James Bidzos </w:t>
      </w:r>
      <w:r>
        <w:rPr>
          <w:rFonts w:ascii="Times New Roman;serif" w:hAnsi="Times New Roman;serif"/>
          <w:b w:val="false"/>
          <w:color w:val="000000"/>
          <w:sz w:val="20"/>
        </w:rPr>
        <w:t xml:space="preserve">has served as Executive Chairman since August 2009 and Chief Executive Officer since August 2011 and President since April 2024. He also served as President from August 2011 to February 2020. He served as Executive Chairman and Chief Executive Officer on an interim basis from June 2008 to August 2009 and served as President from June 2008 to January 2009. He served as Chairman of the Board since August 2007 and from April 1995 to December 2001. He served as Vice Chairman of the Board from December 2001 to August 2007. Mr. Bidzos served as Vice Chairman of RSA Security Inc., an internet identity and access management solution provider, from March 1999 to May 2002, and Executive Vice President from July 1996 to February 1999. Prior thereto, he served as President and Chief Executive Officer of RSA Data Security, Inc. from 1986 to February 1999. </w:t>
      </w:r>
    </w:p>
    <w:p>
      <w:pPr>
        <w:pStyle w:val="TextBody"/>
        <w:bidi w:val="0"/>
        <w:spacing w:lineRule="auto" w:line="288" w:before="180" w:after="283"/>
        <w:ind w:left="0" w:right="0" w:firstLine="495"/>
        <w:jc w:val="left"/>
        <w:rPr/>
      </w:pPr>
      <w:r>
        <w:rPr>
          <w:rFonts w:ascii="Times New Roman;serif" w:hAnsi="Times New Roman;serif"/>
          <w:b/>
          <w:i/>
          <w:color w:val="000000"/>
          <w:sz w:val="20"/>
        </w:rPr>
        <w:t>John D. Caly</w:t>
      </w:r>
      <w:r>
        <w:rPr>
          <w:rFonts w:ascii="Times New Roman;serif" w:hAnsi="Times New Roman;serif"/>
          <w:b/>
          <w:color w:val="000000"/>
          <w:sz w:val="20"/>
        </w:rPr>
        <w:t xml:space="preserve">s </w:t>
      </w:r>
      <w:r>
        <w:rPr>
          <w:rFonts w:ascii="Times New Roman;serif" w:hAnsi="Times New Roman;serif"/>
          <w:b w:val="false"/>
          <w:color w:val="000000"/>
          <w:sz w:val="20"/>
        </w:rPr>
        <w:t>has served as Executive Vice President, Chief Financial Officer since May 2025. From 2020 to May 2025, Mr. Calys served as Senior Vice President and Global Controller and as Vice President and Global Controller from 2010 through 2020. He also served as its interim Chief Financial Officer in 2011 and 2012 and Chief Accounting Officer from April 2024 to May 2025. Prior to joining the company Mr. Calys served as Vice President and Controller for XO Communications, Inc., Vice President and Assistant Treasurer for Sprint Nextel Corporation, and Vice President and Assistant Controller for Nextel Communications, Inc. Mr. Calys graduated with a Master of Science, and Bachelor of Science in Accounting and Business Administration from the University of Kansas.</w:t>
      </w:r>
    </w:p>
    <w:p>
      <w:pPr>
        <w:pStyle w:val="TextBody"/>
        <w:bidi w:val="0"/>
        <w:spacing w:lineRule="auto" w:line="288" w:before="180" w:after="283"/>
        <w:ind w:left="0" w:right="0" w:firstLine="495"/>
        <w:jc w:val="left"/>
        <w:rPr/>
      </w:pPr>
      <w:r>
        <w:rPr>
          <w:rFonts w:ascii="Times New Roman;serif" w:hAnsi="Times New Roman;serif"/>
          <w:b/>
          <w:i/>
          <w:color w:val="000000"/>
          <w:sz w:val="20"/>
        </w:rPr>
        <w:t>Danny R. McPherson</w:t>
      </w:r>
      <w:r>
        <w:rPr>
          <w:color w:val="000000"/>
        </w:rPr>
        <w:t xml:space="preserve"> </w:t>
      </w:r>
      <w:r>
        <w:rPr>
          <w:rFonts w:ascii="Times New Roman;serif" w:hAnsi="Times New Roman;serif"/>
          <w:b w:val="false"/>
          <w:color w:val="000000"/>
          <w:sz w:val="20"/>
        </w:rPr>
        <w:t>has served as Executive Vice President, Technology and Chief Security Officer since April 2022. From May 2010 to April 2022, he served in various roles of increasing responsibility, including as Chief Security Officer. Prior to joining the Company, Mr. McPherson was Chief Security Officer with Arbor Networks, a cybersecurity solutions company, and prior to that held technical leadership positions in architecture, engineering and operations with Amber Networks, a network technology company; Qwest Communications, Inc., a telecommunications company; Genuity, Inc., a technology company; MCI Communications, Inc., a telecommunications company; and the U.S. Army Signal Corps.</w:t>
      </w:r>
    </w:p>
    <w:p>
      <w:pPr>
        <w:pStyle w:val="TextBody"/>
        <w:bidi w:val="0"/>
        <w:spacing w:lineRule="auto" w:line="288" w:before="180" w:after="283"/>
        <w:ind w:left="0" w:right="0" w:firstLine="495"/>
        <w:jc w:val="left"/>
        <w:rPr/>
      </w:pPr>
      <w:r>
        <w:rPr>
          <w:rFonts w:ascii="Times New Roman;serif" w:hAnsi="Times New Roman;serif"/>
          <w:b/>
          <w:i/>
          <w:color w:val="000000"/>
          <w:sz w:val="20"/>
        </w:rPr>
        <w:t>Thomas C. Indelicarto</w:t>
      </w:r>
      <w:r>
        <w:rPr>
          <w:color w:val="000000"/>
        </w:rPr>
        <w:t xml:space="preserve"> </w:t>
      </w:r>
      <w:r>
        <w:rPr>
          <w:rFonts w:ascii="Times New Roman;serif" w:hAnsi="Times New Roman;serif"/>
          <w:b w:val="false"/>
          <w:color w:val="000000"/>
          <w:sz w:val="20"/>
        </w:rPr>
        <w:t xml:space="preserve">has served as General Counsel and Secretary since November 2014. From September 2008 to November 2014, he served as Vice President and Associate General Counsel. From January 2006 to September 2008, he served as Litigation Counsel. Prior to joining the Company, Mr. Indelicarto was in private practice as an associate at Arnold &amp; Porter LLP and Buchanan Ingersoll (now, Buchanan Ingersoll &amp; Rooney, PC). Mr. Indelicarto also served as a U.S. Army officer for nine years. Mr. Indelicarto holds a J.D. degree from the University of Pittsburgh School of Law and a B.S. degree from Indiana University of Pennsylvania.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ITEM 1A.</w:t>
      </w:r>
      <w:r>
        <w:rPr>
          <w:color w:val="000000"/>
        </w:rPr>
        <w:t>    </w:t>
      </w:r>
      <w:r>
        <w:rPr>
          <w:rFonts w:ascii="Times New Roman;serif" w:hAnsi="Times New Roman;serif"/>
          <w:b/>
          <w:color w:val="000000"/>
          <w:sz w:val="20"/>
        </w:rPr>
        <w:t xml:space="preserve">RISK FACTORS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Please carefully consider the following discussion of significant factors, events and uncertainties that make an investment in our securities risky. In addition to other information in this Form 10-K, the following risk factors should be carefully considered in evaluating us and our business. When the factors, events and contingencies described below or elsewhere in this Form 10-K materialize, our business, operating results, financial condition, reputation, cash flows or prospects can be materially adversely affected. In such cases,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10-K as a result of the risk factors discussed below and elsewhere in this Form 10-K and in other filings we make with the SEC.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Cybersecurity and Technology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an operator of critical internet infrastructure, we experience a high rate of cyber-attacks and attempted security breaches targeting our systems and services, including the most sophisticated forms of attacks, such as advanced persistent threat attacks, exploitation of zero-day vulnerabilities, ransomware attacks, and social engineering attacks. The forms of these attacks are constantly evolving and may involve methods, tools, and strategies that may not have been previously identified and may not have been observed until the moment of launch, or until sometime after, making these attacks virtually impossible to anticipate and difficult to defend against. For example, recent advances in AI-based tools have made, and will continue to make, cyber-attacks more sophisticated, harder to defend, and easier and faster to launch. These tools allow for rapid exploitation of vulnerabilities, which hinders our ability to defend against such exploitation. In addition to external threats, our systems and services are subject to insider threat risks, including physical or electronic break-ins, sabotage, and risks from suppliers, such as consultants and advisors, SaaS providers, hardware, software, and network systems manufacturers, regional internet registries, and other vendors, or from current or former contractors or employees. These threats and any resulting security breaches can arise from intentional or unintentional actions. Our continued exposure to these threats and the potential that they could lead to material liability claims against us requires us to expend significant financial and other resources. We have developed policies, standards, and procedures to identify, protect, detect, respond, and recover from threats posed by cybersecurity risks, and failure to comply with these policies, standards, and procedures by our employees or suppliers could limit our ability to effectively manage threats from these cybersecurity risks. Furthermore, we must ensure that our employees stay focused on protecting the Company against cybersecurity threats especially in our hybrid work environment, or our ability to effectively manage cybersecurity risks could be impacted. Our failure to effectively manage these security risks, including external and insider threats, could result in material harm to our business, including loss of or delay in revenues, failure to meet service level agreements, material liability claims, failure to maintain market acceptance, injury to our reputation, and increased costs, and could call into question our ability to preserve the security and stability of the internet.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Security vulnerabilities in our systems and our vendors’ systems, including vulnerabilities in third party software and hardware, pose a material risk to our operations. We use externally-developed technology, systems, and services, including both hardware and software, for a variety of purposes, including compute, storage, encryption and authentication, back-office support, and other functions. We have developed policies, standards, and procedures to reduce the impact of security vulnerabilities in system components, as well as at any vendors where our data is stored or processed. However, such measures cannot provide absolute security. Vulnerabilities could be exploited before a vulnerability has been disclosed or before our remediation is effective and if so, could cause systems and service interruptions, data loss and other damages. Our failure to identify, remediate and mitigate security vulnerabilities, including any potential failure to timely replace and upgrade hardware, software, or other technology assets, could result in material harm to our business, including loss of or delay in revenues, failure to meet service level agreements, material liability claims, failure to maintain market acceptance, injury to our reputation, increased costs, and call into question our ability to preserve the security and stability of the internet.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networks have been, and likely will continue to be, subject to DDoS attacks. Recent industry experience has demonstrated that DDoS attacks continue to grow in size and sophistication, due in part to advances in AI-based tools, and have the ability to widely disrupt internet services. We have successfully mitigated DDoS attacks to date; however, there can be no assurance that we will be able to defend against every attack, especially as the attacks increase in size and sophistication. Any attack, even if only partially successful, could disrupt our networks, increase response time, negatively impact our ability to meet our service level agreements, and generally impede our ability to provide reliable service to our customers and the broader internet community. We have historically incurred, and will continue to incur, significant costs to enable our infrastructure to process levels of attack traffic that can be substantially larger than our normal transaction volume. We are employing new technologies and new and different services and capabilities to help mitigate DDoS attacks. If these new technologies,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capabilities are not effective, our infrastructure could be disrupted, our response times could increase, our ability to meet our service level agreements could be negatively impacted, and our ability to provide reliable service to our customers and the broader internet community could be impeded.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social engineering attacks including phishing, spear phishing, whaling, vishing, smishing, and domain spoofing, which are designed to entice people to divulge sensitive information or take actions that, if successful, could pose a material risk to our operations. The number of such attacks is increasing. Recent advances in AI have automated and increased the velocity and sophistication of these types of attacks as attackers are better able to rapidly create more personalized and targeted communications at scale using information derived from people’s relationships, online behavior and preferences. Social engineering attacks have occurred in concert with ransomware attacks. The various measures we take to mitigate cyber-attacks, including our deployment of advanced tools and implementation of redundant architecture and multiple recovery solutions, as well as conducting continuous security awareness training to address social engineering attacks and periodic exercises to mitigate the threat of ransomware cannot provide absolute security. We still may be subject to successful cyber-attacks despite our efforts. Our failure to prevent such attacks, including any successful social engineering attack, could result in our inability to meet our service level agreements and could otherwise materially harm our business, including from legal claims, governmental investigations and scrutiny, injury to our reputation, and increased costs.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maintain specific reserves for security breaches, cyber-attacks and DDoS attacks against our systems and the amount of insurance coverage we maintain may be inadequate to cover claims or liabilities relating to such attacks.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may introduce undetected or unknown defects into our systems or services, which could materially harm our business and harm our vendors or our customers.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Despite testing, services as complex as those we offer or develop could contain undetected defects or errors, which could result in service outages or disruptions, compromised customer data, including DNS data, diversion of development resources, injury to our reputation, legal claims, increased insurance costs or increased service costs. Performance of our services, whether or not defective, could have unforeseen or unknown adverse effects on the networks over which they are delivered, on internet users and consumers, and on third-party applications and services that use our services, any of which could result in legal claims against us. While we strive to prevent, detect and remediate defects or errors, they can and do occur and they could result in our inability to meet customer expectations in a timely manner, failure to meet our service level agreements, injury to our reputation, and increased costs.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infrastructure and services are subject to vulnerabilities in the global routing system for the internet, as well as risks arising from internet services providers’ increasing adoption of the Resource Public Key Infrastructure system.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Routing on the internet depends on the Border Gateway Protocol (“BGP”), which is a protocol that relies on networks within the internet infrastructure acting in a trustworthy manner when sharing information about destinations for connectivity and the routing of internet traffic. As a trust-based protocol, BGP has a number of vulnerabilities that may lead to outages or disrupt our services, including as a result of “route hijacks” that involve accidental or malicious rerouting of internet traffic, or “route leaks” that involve the malicious or unintentional propagation of routing information beyond the intended scope of the originator, receiver, and/or one of the networks along the route’s path. Both route hijacks and route leaks can result in partial or full rerouting of internet traffic for the impacted destinations. These types of events, which are generally beyond our control, could enable an array of attack conditions or service disruptions, and could result in adverse publicity and adversely affect the public’s perception of the security of commerce and communications over the internet, as well as of the security or reliability of our services.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address internet routing system vulnerabilities, regional internet registries (“RIRs”) have adopted internet reachability policies based on a system known as the Resource Public Key Infrastructure (“RPKI”). The RIRs allocate internet number resources, such as internet protocol addresses, to enterprises and network operators. We and other registries as well as internet service providers have also adopted or have begun to adopt RPKI. We have limited visibility into the maturity of and investment in the RIRs’ operational and security controls, which are outside of our control. When the availability, integrity, or confidentiality of any of the information in the RPKI system, or systems used to maintain and administer RPKI data and systems, are impacted or otherwise compromised in any of the RIRs, or any network operator that is a relying party of the RPKI system, or the operations or ingestion of data from the RPKI system are otherwise impacted by a known or unknown vulnerability, our services may be negatively impacted. Such impacts may include degraded or full loss of reachability of service addresses in the global internet routing system, resulting in degradation or complete loss of availability of our registration and resolution services. A compromise of the RPKI system and related services, or unintentional or unauthorized manipulation of data therein, may also result in other denial of service attack conditions for our infrastructure and services. The systemic dependencies introduced by the RPKI system and by the relying parties of the RPKI system, including internet service providers, are outside of our control, and systems that depend upon the RPKI may be only as secure as the weakest elements of the RPKI system. Contracting with RIRs for the provision of and access to RPKI services carries material operational risks, as described above, as well as material contractual risks, which may expose us to service disruptions and material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We could encounter system interruptions or system failures resulting from activities beyond our direct control that could materially harm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uninterrupted operation of our various systems, secure data centers, points of presence around the world and other computer and communication networks. Our systems and operations are vulnerable to damage or interruption from power loss, war, transmission cable cuts and other telecommunications failures, damage or interruption caused by fire, earthquake, and other natural disasters, intentional acts of vandalism, terrorist attacks, unintentional mistakes, or errors. Our systems and operations also face risks inherent in, or arising from, the terms and conditions of our agreements with service providers to operate our networks and data centers. We are also subject to the risk of state suppression of internet operations. Any of these scenarios could create potential liability and exposure, including from a failure to meet our service level agreements, and could decrease customer satisfaction, materially harming our business, or resulting in adverse publicity and damage to our reputation or call into question our ability to preserve the security and stability of the internet.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data centers, our data center systems, including the Shared Registration Systems located at our data centers, and our resolution systems are vulnerable to damage or interruption, which could impede our ability to provide our services, expose us to material liability, and materially harm our reputation.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Most of the computing infrastructure for our Shared Registration System is located at, and most of our customer information is stored in, data centers we own or lease. These data centers, which are concentrated in the same geographic region, are vulnerable to damage or interruption, including from natural disasters, such as fires, earthquakes, hurricanes, and floods, power loss, hardware or system failures, physical or electronic break-ins, human error or interference. We are also regularly updating and enhancing our network architecture in our data centers and globally distributed resolution systems. If our data center facilities or the updated network architectures, hardware or software upgrades, or security controls do not operate as expected, including the ability to quickly manage services across sites, we could experience service interruptions or outages. A failure in the operation of our Shared Registration System could result in the inability of one or more registrars to register or manage domain names for a period of time. If such a registrar has not implemented robust services in a manner that preserves transactions until processed by the registry, then the failure in the operation of our Shared Registration System could result in permanent loss of transactions at the registrar during that period. A failure in the operation of our Shared Registration System could also impact our ability to provide up-to-date information in our globally distributed resolution systems, which could result in our failure to meet our service level agreements pertaining to our resolution services and impact the resolution of domain names on the internet. We do not carry insurance or designated financial reserves for such interruptions.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services depend on the secure and efficient operation of the internet connections to and from customers to our Shared Registration System residing in our secure data centers as well as our globally distributed resolution systems. These connections depend upon the secure and efficient operation of internet service providers, internet exchange point operators, and internet backbone service providers. Such providers have encountered periodic operational problems or experienced outages in the past beyond our scope of control and may continue to encounter problems and outages or may choose to discontinue their service. If the providers that our connections depend upon do not protect, maintain, improve, and reinvest in their networks or present inconsistent, incorrect, or invalid data regarding routing information or DNS responses through their networks, our business could be harmed.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failure in the operation or update of the root zone servers that we operate, the root zone file, the Root Zone Management System, the TLD name servers, the TLD zone files that we operate, or other network functions, could result in, among other problems, (1) a DNS resolution or other service outage or degradation, (2) the deletion of one or more gTLDs or ccTLDs from the internet, (3) the deletion of one or more second-level domain names from the internet, or (4) a misdirection of one or more domain names to different servers. A failure in the operation or update of the supporting cryptographic and other operational infrastructure that we maintain could result in similar consequences. Any of these problems or outages could create potential material liability and exposure from litigation and investigations, could result in a failure to meet our service level agreements, and could decrease customer satisfaction, harming our business. These problems could also result in adverse publicity, decrease the public’s trust in the security of e-commerce and other forms of online presence, or call into question our ability to preserve the security and stability of the internet.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retain certain customer and employee information in our data centers and various domain name registration systems. Any physical or electronic break-in or other security breach or compromise of the information stored at our data centers or domain name registration systems may jeopardize the security of information we retain or that is retained in the computer systems and networks of our customers. In such an event, we could face material liability and exposure from litigation and investigations, fail to meet service level agreements, or be at risk of losing various security and standards-based compliance certifications needed for operation of our businesses, and customers could be reluctant to use our services. Any such outcomes could also adversely affect our reputation and harm our business or cause financial losses that are either not insured against or not fully covered through any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face risks from the operation of the root server system and our performance of the Root Zone Maintainer functions under the RZMA.</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Although the overall root server system is redundant and dispersed, an infrastructure or services failure or other disruption of one or more organizations involved in the operation of the root server system could impact the effectiveness of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authoritative servers and therefore negatively impact directory services necessary for the operation of the internet. We also have an important operational role in support of a key Internet Assigned Numbers Authority (“IANA”) function as the Root Zone Maintainer. In this role, we provision and publish the authoritative root zone data and make it available to all root server operators under the RZMA with ICANN. If we make errors in the publication of the root zone or experience operational issues that impact the timeliness of updates to the root zone data, we may be subject to material claims challenging the RZMA or our performance under it, including tort claims, and we may not have immunity from, or sufficient indemnification or insurance for, such claims.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Regulatory, Legal and Compliance Risk Factors</w:t>
      </w:r>
    </w:p>
    <w:p>
      <w:pPr>
        <w:pStyle w:val="TextBody"/>
        <w:bidi w:val="0"/>
        <w:spacing w:lineRule="auto" w:line="288" w:before="120" w:after="283"/>
        <w:jc w:val="left"/>
        <w:rPr/>
      </w:pPr>
      <w:r>
        <w:rPr>
          <w:rFonts w:ascii="Times New Roman;serif" w:hAnsi="Times New Roman;serif"/>
          <w:b/>
          <w:color w:val="000000"/>
          <w:sz w:val="20"/>
        </w:rPr>
        <w:t>Any loss or modification of our right to operate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and .</w:t>
      </w:r>
      <w:r>
        <w:rPr>
          <w:rFonts w:ascii="Times New Roman;serif" w:hAnsi="Times New Roman;serif"/>
          <w:b/>
          <w:i/>
          <w:color w:val="000000"/>
          <w:sz w:val="20"/>
        </w:rPr>
        <w:t>net</w:t>
      </w:r>
      <w:r>
        <w:rPr>
          <w:color w:val="000000"/>
        </w:rPr>
        <w:t xml:space="preserve"> </w:t>
      </w:r>
      <w:r>
        <w:rPr>
          <w:rFonts w:ascii="Times New Roman;serif" w:hAnsi="Times New Roman;serif"/>
          <w:b/>
          <w:color w:val="000000"/>
          <w:sz w:val="20"/>
        </w:rPr>
        <w:t>gTLDs could have a material adverse impact on our business and result in loss of revenues.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Substantially all of our revenues are derived from our operation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under our Cooperative Agreement with the DOC and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as well as our operation of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 under our</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 Any loss or modification of our right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could materially and adversely impact our ability to conduct our business and result in loss of revenues.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Agreements contain “presumptive” rights of renewal upon the expiration of their current terms on November 30, 2030 and June 30, 2029, respectively. ICANN could refuse to renew upon expiration or terminate our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or our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Registry Agreement if, upon proper notice, (1) we fail to cure a fundamental and material breach of certain specified obligations, and (2) we fail to timely comply with a final decision of an arbitrator or court. Additionally, each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Registry Agreements provide that if certain terms of these agreements are not similar to such terms generally in effect in the registry agreements of the five largest gTLDs, then a renewal of these agreements would be upon terms reasonably necessary to render such terms to be similar to the registry agreements for those other gTLDs. Any such terms, if they apply, could be unfavorable to us and have a material adverse impact on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Standard renewals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do not require further DOC approval, although the prior written approval of the DOC is required for the removal of, or any changes to the pricing section (other than as approved in Amendment 35 to the Cooperative Agreement), and for changes to certain other specified terms whether such removal or changes are made at a renewal or otherwise. We can provide no assurances that DOC approval would be provided upon our request for any of these changes.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In addition, under Amendment 35 to the Cooperative</w:t>
      </w:r>
      <w:r>
        <w:rPr>
          <w:color w:val="000000"/>
        </w:rPr>
        <w:t xml:space="preserve"> </w:t>
      </w:r>
      <w:r>
        <w:rPr>
          <w:rFonts w:ascii="Times New Roman;serif" w:hAnsi="Times New Roman;serif"/>
          <w:b w:val="false"/>
          <w:color w:val="000000"/>
          <w:sz w:val="20"/>
        </w:rPr>
        <w:t>Agreement, we have agreed to continue to operate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gTLD in a content-neutral manner and to work within ICANN processes to promote the development of content-neutral policies for the operation of the DNS. Such policies and processes could expose us to compliance costs and substantial liability and result in costly and time-consuming investigations or litigation.</w:t>
      </w:r>
    </w:p>
    <w:p>
      <w:pPr>
        <w:pStyle w:val="TextBody"/>
        <w:bidi w:val="0"/>
        <w:spacing w:lineRule="auto" w:line="288" w:before="120" w:after="283"/>
        <w:jc w:val="left"/>
        <w:rPr/>
      </w:pPr>
      <w:r>
        <w:rPr>
          <w:rFonts w:ascii="Times New Roman;serif" w:hAnsi="Times New Roman;serif"/>
          <w:b/>
          <w:color w:val="000000"/>
          <w:sz w:val="20"/>
        </w:rPr>
        <w:t xml:space="preserve">Changes or challenges to the pricing provisions in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Registry Agreement could have a material adverse impact on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Under the terms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we may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or renewal by up to 7% over the previous year in each of the final four years of each six-year period. We can provide no assurances that we will exercise such right to increase the annual fee. In addition to this contractual right, we are entitled to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or renewal by up to 7% due to the imposition of any new specifications or policies adopted by ICANN pursuant to the procedures set forth in its bylaws and due process (“Consensus Policies”) or to a documented extraordinary expense resulting from an attack or threat of attack on the security and stability of the DNS (an “Extraordinary Expense”). In addition, our ability to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due to a Consensus Policy or Extraordinary Expense may occur only in years in which we do not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as described above. It is uncertain whether circumstances would arise that would permit us to take a price increase due to a Consensus Policy or Extraordinary Expense, or if they do, whether we would seek to increase the price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for this reason. A failure to seek and obtain a price increase due to a Consensus Policy or Extraordinary Expense, when applicable, could negatively affect our operating results. We also have the right under the Cooperative Agreement to seek the removal of these pricing restrictions on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gTLD if we demonstrate to the DOC that market conditions no longer warrant these restrictions. However, we can provide no assurances whether we will seek the removal of these restrictions, or whether the DOC would approve the removal of these restrictions.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Our </w:t>
      </w:r>
      <w:r>
        <w:rPr>
          <w:rFonts w:ascii="Times New Roman;serif" w:hAnsi="Times New Roman;serif"/>
          <w:b w:val="false"/>
          <w:i/>
          <w:color w:val="000000"/>
          <w:sz w:val="20"/>
        </w:rPr>
        <w:t xml:space="preserve">.com </w:t>
      </w:r>
      <w:r>
        <w:rPr>
          <w:rFonts w:ascii="Times New Roman;serif" w:hAnsi="Times New Roman;serif"/>
          <w:b w:val="false"/>
          <w:color w:val="000000"/>
          <w:sz w:val="20"/>
        </w:rPr>
        <w:t xml:space="preserve">Registry Agreement, and the Cooperative Agreement, including their pricing provisions, have been challenged, and could face challenges in the future, through publicity campaigns, governmental scrutiny, media interest, legal challenges,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challenges under ICANN’s accountability mechanisms. Such challenges have arisen, and could in the future, arise from trade organizations, the media, registrars, registrants, and others, particularly when these agreements are being renewed. These challenges, if successful, and even when unmeritorious and/or unsuccessful, could have a material adverse effect on our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Government regulation and the application of new and existing laws in the U.S. and internationally may slow business growth, increase our costs of doing business, create potential material liability and could have a material adverse effect on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Application of new and existing laws and regulations in the U.S. or internationally to the internet, the domain name industry, or us have imposed and may in the future impose new costs and new restrictions on our business. In the U.S., new or modified Executive Orders or legislation involving the internet, cybersecurity, or in other areas could result in new obligations that could negatively impact our business. In addition, laws and regulations, including those designed to restrict who can register and who can distribute domain names or to require registrants to provide additional documentation to register domain names, have, and may in the future, impose significant additional costs on our business and subject us to additional liabilities or could prevent us from operating in certain jurisdictions. For example, the government of China has indicated that it will issue, and has issued, new regulations, and it has begun to enforce existing regulations differently, including by directing certain implementation models for registry services, that impose additional costs on, and risks to, our provision of registry services in China. These regulations are impacting the demand for domain name registrations in China. These regulations require registries, including us, and China-based registrars, to obtain a government-issued license for each gTLD or ccTLD operating in China. Any failure to obtain or renew the required licenses, or to comply with any license requirements or any updates thereto, or any failure to comply with these regulations or directives, by us or our China-based registrars, could result in significant harm to our business in China including the suspension of some or all of our registry services in China.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changing laws and regulations that impact whether, how, and under what circumstances we may transfer, process and/or receive certain data that is critical to our operations, including data shared between countries or regions in which we operate and data shared among our products and services. For example, the data transfer frameworks between the U.S. and E.U. have been subject to legal challenges, which has created uncertain legal obligations. </w:t>
      </w:r>
    </w:p>
    <w:p>
      <w:pPr>
        <w:pStyle w:val="TextBody"/>
        <w:bidi w:val="0"/>
        <w:spacing w:lineRule="auto" w:line="288" w:before="120" w:after="283"/>
        <w:jc w:val="left"/>
        <w:rPr/>
      </w:pPr>
      <w:r>
        <w:rPr>
          <w:rFonts w:ascii="Times New Roman;serif" w:hAnsi="Times New Roman;serif"/>
          <w:b/>
          <w:color w:val="000000"/>
          <w:sz w:val="20"/>
        </w:rPr>
        <w:t>New laws, regulations, directives or ICANN policies that require us to obtain and maintain personal information of registrants of domain names in the .</w:t>
      </w:r>
      <w:r>
        <w:rPr>
          <w:rFonts w:ascii="Times New Roman;serif" w:hAnsi="Times New Roman;serif"/>
          <w:b/>
          <w:i/>
          <w:color w:val="000000"/>
          <w:sz w:val="20"/>
        </w:rPr>
        <w:t>com</w:t>
      </w:r>
      <w:r>
        <w:rPr>
          <w:color w:val="000000"/>
        </w:rPr>
        <w:t xml:space="preserve"> </w:t>
      </w:r>
      <w:r>
        <w:rPr>
          <w:rFonts w:ascii="Times New Roman;serif" w:hAnsi="Times New Roman;serif"/>
          <w:b/>
          <w:color w:val="000000"/>
          <w:sz w:val="20"/>
        </w:rPr>
        <w:t>and .</w:t>
      </w:r>
      <w:r>
        <w:rPr>
          <w:rFonts w:ascii="Times New Roman;serif" w:hAnsi="Times New Roman;serif"/>
          <w:b/>
          <w:i/>
          <w:color w:val="000000"/>
          <w:sz w:val="20"/>
        </w:rPr>
        <w:t>net</w:t>
      </w:r>
      <w:r>
        <w:rPr>
          <w:color w:val="000000"/>
        </w:rPr>
        <w:t xml:space="preserve"> </w:t>
      </w:r>
      <w:r>
        <w:rPr>
          <w:rFonts w:ascii="Times New Roman;serif" w:hAnsi="Times New Roman;serif"/>
          <w:b/>
          <w:color w:val="000000"/>
          <w:sz w:val="20"/>
        </w:rPr>
        <w:t>gTLDs could impose material compliance costs and could create new, material legal and other risks to our business.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If we are required to, or choose to, obtain and maintain personal information of registrants of domain names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we could be required to incur significant compliance and legal costs as a result of GDPR and other similar regulations. For example, in 2023, the European Union adopted the Network and Information Security Directive (“NIS 2”) that addresses registrant data. Our current obligations do not require us to obtain and maintain personal information of registrants of domain names. Specific E.U. member state implementations of NIS 2 could create uncertainty about, or change, these obligations. Failure to properly protect such information, if obtained, or failure to comply with GDPR or NIS 2, could expose the Company to material costs and penalties. In addition, new obligations to obtain and maintain personal information of registrants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gTLDs could conflict with certain laws and regulations that may require such personal information be maintained solely within the jurisdiction of the data subject. Furthermore, any such new obligations could increase the cost and risks associated with complying with regulations that require verification of registrant personal information, including for purposes of complying with the economic and trade sanctions programs administered by the Office of Foreign Assets Control (“OFAC”), for example.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Such laws, regulations, directives or ICANN policies, could give rise to significant claims, inquiries, investigations or other actions against us, which could result in significant costs, damages, fines or penalties and could delay the development of new products, change our current business practices, result in negative publicity, or require significant management time and attention, all or any of which could materially harm our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international operations expose us and our business to additional economic, legal, regulatory and political risks that could have a material adverse impact on our revenues and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revenues is derived from customers outside the U.S. Our business operations in international locations have required, and will continue to require, significant management attention and resources. We may also need to tailor some of our services for a particular location and to enter into international distribution and operating relationships. We may fail to maintain our ability to conduct business, including potentially material business operations in some international locations, or we may not succeed in expanding our services into new international locations or expand our presence in existing locations. Failure to do so could materially harm our business. Moreover, local laws and customs in many countries differ significantly from those in the U.S. In many foreign countries, particularly in those with developing economies, it is common for others to engage in business practices that are prohibited by our internal policies and procedures or U.S. law or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applicable to us. Despite our internal controls, there can be no assurance that our employees, contractors and agents will not take actions in violation of such policies, procedures, laws and/or regulations. Violations of laws, regulations or internal policies and procedures by our employees, contractors or agents could result in financial reporting problems, investigations, fines, penalties, or prohibition on the importation or exportation of our products and services and could have a material adverse effect on our business. In addition, we face risks inherent in doing business internationally,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with companies in international locations or other domestic companies entering international locations in which we operate, as well as local governments actively promoting ccTLDs that we do not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political and economic tensions between governments and changes in international trade policies and/or the economic and trade sanctions programs administered by the United States including OFAC of the U.S. Department of the Treasury;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tariffs and other trade barriers and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staffing and managing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problems associated with adapting our services to technical conditions existing in different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vulnerability from terrorist groups targeting U.S. interests abroad;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potentially conflicting or adverse tax consequences;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concerns of international governments or customers and prospects regarding doing business with U.S. technology companies due to U.S. government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Political tensions between the United States and China, including tensions resulting from tariffs or proposed tariffs, in particular may pose additional risks to our business in China. The U.S. government has imposed restrictions on certain Chinese companies and on trading in certain technologies. The Chinese government has announced actions that, if implemented, could impose additional restrictions on the operations of non-Chinese companies in China. These and possible future government actions could impact our ability to operate in China and may cause our management’s attention to be diverted, our reputation to be damaged, or our business in China to be adversely affected.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or interpretations of, tax rules and regulations or our tax positions may materially and adversely affect our income taxes.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both the U.S.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continues to issue guidance that will provide a long-term, multilateral proposal on the taxation of the digital economy. Certain countries, including our major international tax jurisdictions, have enacted legislation based on the OECD’s guidance. To date the legislation has had a limited impact on us, but the impact of future legislation is uncertain. Similarly, some international tax jurisdictions, independent of the OECD, have enacted or may enact new tax regimes aimed at income resulting from digital services. Although we cannot predict the nature or outcome of such changes or the likelihood of such legislative proposals being adopted in the U.S. or throughout the world, any or all of these changes in tax laws, including but not limited to changes in scope of OECD’s Pillar One, as well as new guidance issued and enacted pertaining to OECD’s Pillar Two, could increase our taxes and adversely impact our financial condition and cash flow.</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business faces risks arising from ICANN’s consensus and temporary policies, technical standards and other processes.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Our Registry Agreements with ICANN require us to implement Consensus Policies and changes mandated by ICANN through temporary specifications or policies (“Temporary Policies”). ICANN could adopt Consensus Policies or Temporary Policies that (1) are unfavorable to us as the registry operator of </w:t>
      </w:r>
      <w:r>
        <w:rPr>
          <w:rFonts w:ascii="Times New Roman;serif" w:hAnsi="Times New Roman;serif"/>
          <w:b w:val="false"/>
          <w:i/>
          <w:color w:val="000000"/>
          <w:sz w:val="20"/>
        </w:rPr>
        <w:t>.com</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.net </w:t>
      </w:r>
      <w:r>
        <w:rPr>
          <w:rFonts w:ascii="Times New Roman;serif" w:hAnsi="Times New Roman;serif"/>
          <w:b w:val="false"/>
          <w:color w:val="000000"/>
          <w:sz w:val="20"/>
        </w:rPr>
        <w:t>and other</w:t>
      </w:r>
      <w:r>
        <w:rPr>
          <w:color w:val="000000"/>
        </w:rPr>
        <w:t xml:space="preserve"> </w:t>
      </w:r>
      <w:r>
        <w:rPr>
          <w:rFonts w:ascii="Times New Roman;serif" w:hAnsi="Times New Roman;serif"/>
          <w:b w:val="false"/>
          <w:color w:val="000000"/>
          <w:sz w:val="20"/>
        </w:rPr>
        <w:t xml:space="preserve">gTLDs we operate, (2) are inconsistent with our current or future plans, (3) impose substantial costs on our business, (4) subject the Company to additional legal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 (5) affect our competitive position. These Consensus Policies or Temporary Policies could have a material adverse effect on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Registry Agreements with ICANN require us to implement and comply with various technical standards and specifications published by the Internet Engineering Task Force (“IETF”). ICANN could impose requirements on us through changes to these IETF standards, or new standards, that are inconsistent with our current or future plans, that impose substantial costs on our business, that subject the Company to additional legal risks, or that affect our competitive position. Any such changes to the IETF standards, or new standards, could have a material adverse effect on our business. </w:t>
      </w:r>
    </w:p>
    <w:p>
      <w:pPr>
        <w:pStyle w:val="TextBody"/>
        <w:bidi w:val="0"/>
        <w:spacing w:lineRule="auto" w:line="288" w:before="120" w:after="283"/>
        <w:jc w:val="left"/>
        <w:rPr/>
      </w:pPr>
      <w:r>
        <w:rPr>
          <w:rFonts w:ascii="Times New Roman;serif" w:hAnsi="Times New Roman;serif"/>
          <w:b/>
          <w:color w:val="000000"/>
          <w:sz w:val="20"/>
        </w:rPr>
        <w:t>Weakening of, or changes to,</w:t>
      </w:r>
      <w:r>
        <w:rPr>
          <w:color w:val="0095FF"/>
        </w:rPr>
        <w:t xml:space="preserve"> </w:t>
      </w:r>
      <w:r>
        <w:rPr>
          <w:rFonts w:ascii="Times New Roman;serif" w:hAnsi="Times New Roman;serif"/>
          <w:b/>
          <w:color w:val="000000"/>
          <w:sz w:val="20"/>
        </w:rPr>
        <w:t>the multi-stakeholder form of internet governance could materially and adversely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internet is governed under a multi-stakeholder model comprising civil society, the private sector, including for-profit and not-for-profit organizations such as ICANN, governments, including the U.S. government, academia, non-governmental organizations, the technical community, and international organizations. Substantially weakening or replacing the multi-stakeholder form of internet governance could materially harm our business. For example, certain governments, governmental organizations, and private actors continue to express dissatisfaction with the multi-stakeholder form of internet governance and have proposed alternatives including oversight by the United Nations or by international treaties. Furthermore, national legislation has been proposed on topics such as information security and access to personal information that effectively supplants the multi-stakeholder process for policy development in the DNS.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2016 the U.S. government transferred key internet functions to ICANN, who adopted new and enhanced accountability mechanisms in its bylaws such as the creation of the Empowered Community. There can be no assurance that the removal of the U.S. government oversight of these key functions, or the changes to ICANN’s bylaws, will not negatively impact our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Claims, lawsuits, audits or investigations in which we are or could become involved may result in material adverse outcomes to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involved in claims, lawsuits, audits, and investigations, including intellectual property litigation and infringement claims. Litigation is inherently unpredictable, and unexpected judgments or excessive verdicts do occur. In addition, proceedings that we initially view as immaterial could prove to be material. Adverse outcomes in lawsuits, audits and investigations, could result in significant monetary damages, including indemnification payments, or injunctive relief that could adversely affect our ability to conduct our business, and may have a material adverse effect on our financial condition, results of operations and cash flows. For example, we are engaged in activities to help mitigate security threats and other forms of DNS abuse in the gTLDs and ccTLD we operate and we are involved in community efforts that have increased and expanded such activities to include contractual obligations. In addition, we receive reports of suspected threats and abuse and we notify registrars or others of domain names associated with suspected malicious or illegal activity. We may also disable one or more domain names in the gTLDs or ccTLD we operate including in response to reports of suspected threats and abuse, governmental directives and court orders in those jurisdictions in which we operate. Activities such as these have resulted in, and could in the future result in, significant litigation and could harm our reputation. Given the inherent uncertainties in litigation, even when we are able to reasonably estimate the amount of possible loss or range of loss and therefore record an aggregate litigation accrual for probable and reasonably estimable loss contingencies, the accrual may change in the future due to new developments or changes in approach. In addition, such claims, lawsuits, audits and investigations could involve significant expense and diversion of management’s attention and resources from other matters.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Economic and Competition Risk Factors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Challenging global economic conditions have in the past and may in the future negatively impact our business.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Factors such as inflation, interest rates, currency fluctuations, trade barriers, tariffs, war, civil unrest, and other political and economic developments and their impact on global economic conditions have in the past and may in the future negatively impact our business. These factors may have varying impacts on different geographic regions. For example, demand for our services substantially declined in China during 2023 and 2024 as a result of various factors including Chinese regulatory mandates that made it more difficult to register a domain name or establish an online presence using a domain name. Additionally, the rapid increase in demand for compute and network hardware, including servers, chips, memory and other technology, caused by new demand from AI companies, is increasing our costs for some of these goods and could increase our capital and operating costs. The overall economic impact, severity and duration of these conditions, as well as the timing, strength, and sustainability of any future economic growth or recovery, are not known at this time, and are not within the Company’s control.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The business environment is highly competitive and, if we do not compete effectively, we may suffer material adverse impact to our business, including lower demand for our products, reduced gross margins, and loss of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We face competition from services that provide an online identity or presence, including other gTLDs and ccTLDs. In order to remain competitive, we must continually demonstrate the security, stability, and resiliency of our services and must adopt and support new technologies to adapt our services to changing cybersecurity threats, regulations, application environments, market conditions, and our customers’ and internet users’ preferences and practices. Also to remain competitive, we have undertaken important initiatives such as our efforts to acquire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gTLD, and we may in the future undertake other initiatives. Any of these initiatives require significant resources, can subject us to regulatory scrutiny and/or negative publicity, and divert management attention from our existing business. Such undertakings, including our efforts to acquire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gTLD, may be unsuccessful and costly. In addition, competing technologies developed by others or the emergence of new technologies such as AI or new industry standards may adversely affect our competitive position or render our services or technologies noncompetitive or obsolete. Finally, consolidation and ownership changes within our industry have occurred and are likely to continue to occur. Our ability to participate and benefit from such consolidations and ownership changes may be limited and consolidation and ownership changes within our industry among our competitors or customers have in the past and could in the future harm our competitive position and adversely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the registry operator for certain new gTLDs, including certain IDN gTLDs. Our new gTLDs may not be as or more successful than the new gTLDs obtained by our competitors. In addition, our new gTLDs may face additional universal acceptance and usability challenges and it is possible that resolution of domain names within some of these new gTLDs may be blocked within certain state or organizational environments, challenging universal resolvability of these domain names and their general acceptance and usability.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the “Competition” section in Part I, Item 1 of this Form 10-K for further information.</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Strategic, Business and Operating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evolution of technologies or internet practices and behaviors, the adoption of substitute technologies, or wholesale price increases of domain names in the gTLDs we operate may materially and negatively impact the demand for the domain names for which we are the registry operator.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Technologies relating to online presence, including social media, AI, mobile devices, apps, and search engines, have evolved and continue to evolve, changing the internet practices and behaviors of consumers and businesses. These ongoing changes can negatively impact the demand for our domain names. In addition, registrants purchase domain names for a variety of reasons, including personal, commercial, and investment reasons. Changes in the motivation of domain name registrants can negatively impact our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changes to web browser or internet search technologies could reduce demand for domain names. Similarly, if internet users’ preferences or practices shift away from recognizing and relying on web addresses or if internet users were to significantly decrease the use of web browsers in favor of applications to locate and access content, demand for domain names in the gTLDs we operate could be negatively impacted. Demand for domain names in the gTLDs we operate could be negatively impacted by new technologies that significantly decrease the use of traditional domain names to present and protect an online identity. New technologies that encourage internet users to expand the use of third-level domains or alternative identifiers, such as identifiers from social networking, e-commerce platforms and microblogging sites, could also negatively impact the demand for domain names in the gTLDs we operate. In addition, the demand for domain names in the gTLDs we operate could be impacted by alternative namespaces with domain-name-like identifiers that are operated outside the single authoritative DNS root zone, including blockchain namespaces. To the extent that web browsers, applications, DNS registrars and DNS resolvers recognize and support such namespaces, and that internet users are able to perform online operations with identifiers from such namespaces, demand for domain names in gTLDs and ccTLDs in the single authoritative DNS root zone, including the gTLDs we operate, could be negatively impacted. To the extent that alternative namespaces introduce user confusion about the relationship between identical or similar-looking identifiers in these namespaces and domain names in the DNS, demand for domain names and user confidence in the value of domain names as unique identifiers could also be negatively impacted. In addition, applications using AI could be transformational in ways that cannot be anticipated fully at this time. To the extent such applications impact the demand for domain names, it could have a material impact on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Some registrars and registrants purchase and resell domain names at an increased price in a secondary market. Adverse changes in the resale value of domain names, changes in the business models for such domain name registrars and registrants, or other factors, including regulations limiting the resale of domain names, could result in a decrease in the demand and/or renewal rates for domain names in the gTLDs we operate.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Some registrars and registrants seek to generate revenues by registering domain names specifically for website advertising. Changes in the way these registrars and registrants are compensated (including changes in methodologies and metrics) by advertisers and advertisement placement networks, such as Google, Baidu and Bing, have adversely affected, and may continue to adversely affect the market for domain names used for this purpose, which has resulted in, and may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result in, a decrease in demand and/or the renewal rate for such domain names. In addition, if spending on online advertising and marketing is reduced, this may result in a further decline in the demand for domain names used for this purpose.</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Under the terms of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Registry Agreements, as amended, we are permitted to increase the annual fee of each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domain name registration or renewal according to the provisions in these agreements. To the extent we increase our prices, there could be a decrease in the demand and/or renewal rates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If we fail to expand our services into developing and emerging economies in international locations, our business may not grow.</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seek to serve new, developing, and emerging economies in international locations to grow our business. These economies are rapidly evolving and may not grow or even if they do grow, our services may not be widely used or accepted there. Accordingly, the demand for our services in these locations is uncertain. A variety of economic and non-economic factors may affect acceptance or adoption of our services in these locations, including regional internet infrastructure development and government regulations.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business depends on registrars and their resellers maintaining focus on marketing our products and services.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of the domain name registrations and renewals for the registries we operate occur through registrars. Registrars and their resellers engage in substantial marketing efforts to increase the demand and/or renewal rates for domain names as well as their own associated offerings. Consolidation in the registrar or reseller industry or changes in ownership, management, or strategy among individual registrars or resellers, including vertical integration by registrar or reseller industry participants, could result in significant changes to their businesses, operating models, and cost structures. These changes could include reduced marketing efforts for the gTLDs we operate or other operational changes that could adversely impact the demand and/or the renewal rates for the domain names for which we are the registry operator.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registrars and resellers sell domain name registrations of other competing registries, including new gTLDs, and some also sell and support their own services for websites such as email, website hosting, and other services. With the planned introduction of a new round of gTLDs, registrars and resellers, as they have done in the past, may in the future focus their short- or long-term marketing efforts on new offerings and/or reduce the prominence or visibility of our products and services on their e-commerce platforms. To the extent that registrars and resellers focus less marketing on the registration and renewal of domain names in the gTLDs we operate, our revenues could be adversely impacted. Likewise, our registrars and resellers may be more motivated to market to registrants to whom they can also market their own services, which could disadvantage our gTLDs and could adversely impact our revenues.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depend on highly skilled employees to maintain and provide innovative solutions for our business, and our business could be materially harmed if we are not able to attract and retain such qualified talent.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highly technical and requires individuals skilled and knowledgeable in unique technologies, configurations, operating systems, and software development tools. We depend on the knowledge, experience, and performance of these employees and leaders to effectively manage and provide innovative solutions for our business. For example, we require employees with expertise in DNS operations and with certain cybersecurity specialties. Because such employees are in high demand by our competitors and other companies, we must be able to attract, integrate, retain and motivate such highly skilled employees and leaders. Failure to attract and retain such employees and to effectively implement succession plans for these employees could harm our business.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Capital Structure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We may not pay any dividends on our common stock in the future. </w:t>
      </w:r>
    </w:p>
    <w:p>
      <w:pPr>
        <w:pStyle w:val="TextBody"/>
        <w:bidi w:val="0"/>
        <w:spacing w:lineRule="auto" w:line="288" w:before="120" w:after="283"/>
        <w:ind w:left="0" w:right="0" w:firstLine="450"/>
        <w:jc w:val="left"/>
        <w:rPr/>
      </w:pPr>
      <w:r>
        <w:rPr>
          <w:rFonts w:ascii="Times New Roman;serif" w:hAnsi="Times New Roman;serif"/>
          <w:b w:val="false"/>
          <w:color w:val="212529"/>
          <w:sz w:val="20"/>
        </w:rPr>
        <w:t xml:space="preserve">During the second quarter of 2025, we began to declare quarterly dividends. Future dividends will be subject to declaration by the Board and, thus, may be subject to numerous factors in existence at the time of any such declaration including, but not limited to, prevailing market conditions, our results of operations, financial condition and liquidity, contractual prohibitions and other restrictions with respect to the payment of dividends. There is no assurance that the Board </w:t>
      </w:r>
      <w:r>
        <w:rPr>
          <w:rFonts w:ascii="Times New Roman;serif" w:hAnsi="Times New Roman;serif"/>
          <w:b w:val="false"/>
          <w:color w:val="000000"/>
          <w:sz w:val="20"/>
        </w:rPr>
        <w:t>will declare and thus that we will pay, any dividends on our common stock in the future. The Board may, in its discretion, decrease the level of cash dividends. A reduction or elimination of cash dividends could negatively affect the market price of our common stock.</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Intellectual Property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rely on our intellectual property rights to protect our proprietary assets, and any failure by us to protect or enforce, or any misappropriation of, our intellectual property could materially harm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internally developed technologies and related intellectual property. Despite our precautions, it may be possible for an external party to copy or otherwise obtain and use our intellectual property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authorization. Furthermore, the laws of other countries may not protect our proprietary rights in those countries to the same extent U.S. law protects these rights in the U.S. In addition, it is possible that others may independently develop substantially equivalent intellectual property. If we do not effectively protect our intellectual property, our business could suffer. Additionally, we have filed patent applications with respect to some of our technology in the U.S. Patent and Trademark Office and patent offices outside the U.S. Patents may not be awarded with respect to these applications and even if such patents are awarded, third parties may seek to oppose or otherwise challenge our patents, and such patents’ scope may differ significantly from what was requested in the patent applications and may not provide us with sufficient protection of our intellectual property. In the future, we may have to resort to litigation to enforce and protect our intellectual property rights, to protect our trade secrets or to determine the validity and scope of the proprietary rights of others. This type of litigation is inherently unpredictable and, regardless of its outcome, could result in substantial costs and diversion of management attention and technical resources. Some of the software and protocols used in our business are based on standards set by standards setting organizations such as the IETF. To the extent any of our patents are considered “standards essential patents,” in some cases we may be required to license such patents to our competitors on reasonable and non-discriminatory terms or otherwise be limited in our ability to assert such patents.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license externally developed technology that is used in some of our products and services to perform key functions. These externally developed technology licenses may not continue to be available to us on commercially reasonable terms or at all. The loss of, or our inability to obtain or maintain, any of these technology licenses could hinder or increase the cost of our services, of launching new products and services, or of entering into new markets and/or otherwise harm our business. Some of the software and protocols used in our business are in the public domain or may otherwise become publicly available, which means that such software and protocols are or may become equally available to our competitors.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the strength of our Verisign brand to help differentiate our products. Dilution of the strength of our brand could harm our business. We are at risk that we will be unable to fully register, build equity in, or enforce our rights in the Verisign brand in all markets where Verisign products and services are sold.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use of AI technology by third-parties, including our vendors, and our use of AI technology, tools, and services could expose us to cybersecurity, operational, intellectual property and regulatory risks that could adversely affect our business, reputation or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use of AI technology by third parties may increase our exposure to cybersecurity and data protection risks. For example, recent advances in AI technology and tools have made, and will continue to make, cyber-attacks more sophisticated, harder to defend, and easier and faster to launch. These tools permit rapid exploitation of vulnerabilities, which hinders our ability to defend against such exploitation. In addition, the use and integration of AI technology into the products and services that we procure could create or exacerbate vulnerabilities, potentially resulting in unauthorized access to our systems including our sensitive or proprietary information. For more details on these risks, see our risk factor “Attempted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also experience challenges in the effective or timely adoption of AI technology. Our decision to adopt AI technologies in a low-risk manner could result in slower adoption of AI technology that could hinder or prevent us from realizing efficiencies or benefits, which could result in less efficient operations. Further, although we have established AI policies and procedures, our use of AI technology, if not effectively governed, could result in unintended consequences, including errors, biased, and otherwise unreliable outputs. The use of certain AI technology tools, including those provided by third parties, may also create intellectual property risks, such as uncertainty regarding ownership of AI-generated output, IP infringement, or the disclosure of confidential or proprietary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Finally, AI is subject to increasing regulatory scrutiny and evolving laws, rules and regulations, which may increase our compliance costs and affect our development, adoption, use, implementation and maintenance of AI technologies or tools, and subject us to increased legal liability, regulatory scrutiny, and reputational harm.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Short sellers have in the past, and may in the future, engage in efforts to lower the market price of our common stock through the dissemination of false or misleading information.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Short selling is the practice of selling securities that the seller does not own but rather has borrowed or intends to borrow from a third party with the intention of subsequently buying lower-priced identical securities to return to the lender. Accordingly, it is in the interest of a short seller to want the price of our common stock to decline. Short sellers may seek to profit from declines in the market price of our common stock and, in some cases, may publish, or arrange for the publication of, false or misleading information regarding our business. We have been, and may in the future be, the target of short sellers.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dissemination of such information, regardless of its veracity, can lead to significant stock price volatility, reputational harm, and the diversion of management’s attention from our core business. Such activities may result in a decline in the market price of our stock or could lead to costly litigation or regulatory inquiries.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pPr>
      <w:r>
        <w:rPr>
          <w:rFonts w:ascii="Times New Roman;serif" w:hAnsi="Times New Roman;serif"/>
          <w:b/>
          <w:color w:val="000000"/>
          <w:sz w:val="20"/>
        </w:rPr>
        <w:t>ITEM 1B.</w:t>
      </w:r>
      <w:r>
        <w:rPr>
          <w:color w:val="000000"/>
        </w:rPr>
        <w:t>    </w:t>
      </w:r>
      <w:r>
        <w:rPr>
          <w:rFonts w:ascii="Times New Roman;serif" w:hAnsi="Times New Roman;serif"/>
          <w:b/>
          <w:color w:val="000000"/>
          <w:sz w:val="20"/>
        </w:rPr>
        <w:t xml:space="preserve">UNRESOLVED STAFF COMMENTS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pPr>
      <w:r>
        <w:rPr>
          <w:rFonts w:ascii="Times New Roman;serif" w:hAnsi="Times New Roman;serif"/>
          <w:b/>
          <w:color w:val="000000"/>
          <w:sz w:val="20"/>
        </w:rPr>
        <w:t>ITEM 1C.</w:t>
      </w:r>
      <w:r>
        <w:rPr>
          <w:color w:val="000000"/>
        </w:rPr>
        <w:t>    </w:t>
      </w:r>
      <w:r>
        <w:rPr>
          <w:rFonts w:ascii="Times New Roman;serif" w:hAnsi="Times New Roman;serif"/>
          <w:b/>
          <w:color w:val="000000"/>
          <w:sz w:val="20"/>
        </w:rPr>
        <w:t xml:space="preserve">CYBERSECURITY </w:t>
      </w:r>
    </w:p>
    <w:p>
      <w:pPr>
        <w:pStyle w:val="TextBody"/>
        <w:bidi w:val="0"/>
        <w:spacing w:lineRule="auto" w:line="288" w:before="180" w:after="180"/>
        <w:ind w:left="0" w:right="0" w:hanging="1080"/>
        <w:jc w:val="left"/>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Our cybersecurity program is designed and implemented to assess, identify, mitigate and manage risks from cybersecurity threats that may result in adverse effects on the integrity and availability of our production and information systems and support our track record of more than 28 years of 100% DNS uptime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rFonts w:ascii="Times New Roman;serif" w:hAnsi="Times New Roman;serif"/>
          <w:b w:val="false"/>
          <w:color w:val="000000"/>
          <w:sz w:val="20"/>
        </w:rPr>
        <w:t>. Among other items, our cybersecurity program is comprised of policies, standards, plans and frameworks for information security, business resilience, insider threat mitigation, technology asset management, cyber risk management, incident response and procurement. Material risks from cybersecurity threats include, among other things, operational disruption, including failure to meet our service level agreements, loss or destruction of data, hardware or intellectual property, and cyber extortion through ransomware. While we have not identified any material cybersecurity incidents, we continuously manage cyber-attacks, including from sophisticated nation-state actors. In addition, AI continues to enhance the capabilities of threat actors. The management of cybersecurity risks, which involves significant and sustained resource commitments and management attention, is also integrated into the Company’s enterprise risk management (“ERM”) program through formal processes that help identify and elevate the most serious risks, including those pertaining to cybersecurity, for management at the enterprise level and oversight at the Board level. For more information on the Company’s cybersecurity risks and their possible impact on our business strategy, results of operations, or financial condition see “Risk Factors – Cybersecurity and Technology Risk Factors” in Part I, Item 1A of this Form 10-K”.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leverages the NIST Cybersecurity Framework to help protect the Company’s operations, information, production systems and networks from threats through cybersecurity practices, programs and tools that establish defenses in depth. The cybersecurity program includes, among other items, vulnerability and patch management, segmentation, identity and access management, application of zero-trust principles, automated ingestion of multi-source threat intelligence, end point and network detection/response, application security, secure configurations for operating systems and databases, continuous security monitoring and 24/7 security operations, augmented by a third party managed detection and response provider. The program has dedicated business resilience, insider threat and governance, risk and compliance (“GRC”) functions that report to our Chief Information Security Officer (“CISO”). Incident management is governed by our Incident Response Plan that assigns incident command and control parameters and escalation protocols to management and the Board of Directors. Our incident response plan includes procedures for immediate escalation of cybersecurity events to our Legal department to ensure timely evaluation of disclosure obligations. Our cybersecurity program also focuses on risks from the use of third-party services. Our GRC team assesses the cybersecurity practices of current and prospective service providers for compliance with our requirements, and our procurement functions seek terms and conditions, including by example, audit rights and vulnerability or breach disclosure obligations, to enhance our defenses against supply chain risks.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cybersecurity program incorporates several control and best practice regimes, including for example, the Center for Internet Security (“CIS”) controls tailored for our specific environment. We conduct regular internal and external assessments, audits, and tabletop exercises to assess security vulnerabilities, control compliance and incident preparedness. These assessments and exercises include breach attack simulation tools, red team exercises simulating insider and external attacks, threat and vulnerability assessments, ransomware, application, and secure image testing, crisis management exercises, including incident response and escalation procedures, and internal audit reviews. Management and the Board’s Cybersecurity Committee reviews the results of these exercises, audits and assessments. We also actively engage with third parties, such as key vendors, auditors, consultants, industry participants, and intelligence and law enforcement communities as part of our continuing efforts to evaluate and enhance the effectiveness of our cybersecurity program. We monitor emerging data protection laws and cybersecurity and privacy regulatory requirements and implement changes to our standards and processes for continued compliance. Our cybersecurity program also includes employee and contractor training, which primarily consists of monthly educational videos, annual trainings and certifications, and phishing exercises.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strategy and program are led by our Executive Vice President of Technology and Chief Security Officer (“CSO”), who reports to the CEO. Our CSO has over 30 years of experience in technology and cybersecurity leadership positions and has authored several security-related books and numerous patents, IP standards, and security research publications. He has served in various capacities on various technology working groups and standards setting organizations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the Internet Architecture Board and the Internet Engineering Task Force. Our CSO manages a converged security, engineering and operations organization that helps to ensure that cyber and other security priorities are comprehensively considered throughout the Company. Our CISO, Chief Information Officer (“CIO”), Chief Technology Officer (“CTO”) and the head of architecture, engineering, operations, and corporate security functions report to our CSO. These and other experienced employees lead the teams responsible for implementing various parts of our cybersecurity program.</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 management-level Safety and Security Council (“Council”) chaired by our CEO and comprised of our CSO, CFO, General Counsel, and other senior officers, provides cross-functional coordination for the management of the Company’s security functions. The Council receives information, typically monthly, on the status of the cybersecurity program, initiatives, incidents, cybersecurity risks, assessments, and threats, among other items. The Chair of the Board’s Cybersecurity Committee is the Board’s liaison to the Council and attends the regular meetings of the Council.</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has delegated primary oversight of the Company’s cybersecurity risks and our cybersecurity program to the Cybersecurity Committee. The Audit Committee also reviews material cybersecurity risks as part of the Company’s ERM program. The Cybersecurity Committee reviews our incident response plan, including escalation protocols, business continuity program plans, program budgets and resources, and our cybersecurity insurance program. It also reviews and discusses the activities of the Council at each of its regularly scheduled meetings. The Cybersecurity Committee operates pursuant to a written charter and calendar, each of which are reviewed on an annual basis. The Cybersecurity Committee and the full Board receive quarterly status reports on the cybersecurity program from the CSO, addressing progress and updates on multiple cybersecurity functions and initiatives including, for example, compliance, assessments, security operations and incident response, business resilience, DDoS attacks, data privacy, technology and asset management, controls, and vulnerability management.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Cybersecurity Committee conducts oversight on behalf of the Board of our use of AI and AI risks, including as it pertains to cybersecurity and data governance. At the management level, the Company’s use of AI, including in the cybersecurity area, is managed pursuant to a corporate AI policy by a cross-functional AI Steering Committee comprised of senior Verisign technology, cybersecurity and legal resources.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erif" w:hAnsi="Times New Roman;serif"/>
          <w:b/>
          <w:color w:val="000000"/>
          <w:sz w:val="20"/>
        </w:rPr>
        <w:t>ITEM 2.</w:t>
      </w:r>
      <w:r>
        <w:rPr>
          <w:color w:val="000000"/>
        </w:rPr>
        <w:t>    </w:t>
      </w:r>
      <w:r>
        <w:rPr>
          <w:rFonts w:ascii="Times New Roman;serif" w:hAnsi="Times New Roman;serif"/>
          <w:b/>
          <w:color w:val="000000"/>
          <w:sz w:val="20"/>
        </w:rPr>
        <w:t xml:space="preserve">PROPERTIES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owned each of our significant properties, which include our facilities in Reston, Virginia, and data center facilities in New Castle, Delaware and Dulles, Virginia. We also lease a number of smaller office and data center locations around the world. We believe that our existing facilities, both owned and leased, are in good condition and suitable for the conduct of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0" w:after="120"/>
        <w:ind w:left="0" w:right="0" w:firstLine="450"/>
        <w:jc w:val="left"/>
        <w:rPr/>
      </w:pPr>
      <w:r>
        <w:rPr>
          <w:rFonts w:ascii="Times New Roman;serif" w:hAnsi="Times New Roman;serif"/>
          <w:b w:val="false"/>
          <w:color w:val="000000"/>
          <w:sz w:val="20"/>
        </w:rPr>
        <w:t>As previously disclosed, Afilias Domains No. 3 Limited (now called Altanovo Domains Limited ) (“Afilias”), a competitor and losing bidder in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auction, filed a form of arbitration proceeding against ICANN, an Independent Review Process (“IRP”) under ICANN’s bylaws, on November 14, 2018. Afilias alleged that the agreement between Verisign and Nu Dotco, LLC (“NDC”) pertaining to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violated ICANN’s policies. ICANN paused the processing of NDC’s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application during the IRP proceeding. On May 20, 2021, the IRP panel dismissed Afilias’ claims pertaining to the invalidation of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auction and it recommended that ICANN’s Board of Directors review the objections about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auction and thereafter make a decision on the delegation of .</w:t>
      </w:r>
      <w:r>
        <w:rPr>
          <w:rFonts w:ascii="Times New Roman;serif" w:hAnsi="Times New Roman;serif"/>
          <w:b w:val="false"/>
          <w:i/>
          <w:color w:val="000000"/>
          <w:sz w:val="20"/>
        </w:rPr>
        <w:t>web</w:t>
      </w:r>
      <w:r>
        <w:rPr>
          <w:rFonts w:ascii="Times New Roman;serif" w:hAnsi="Times New Roman;serif"/>
          <w:b w:val="false"/>
          <w:color w:val="000000"/>
          <w:sz w:val="20"/>
        </w:rPr>
        <w:t xml:space="preserve">. Further, the IRP panel rejected a subsequent application for reconsideration filed by Afilias, imposing monetary sanctions and concluding that the application was frivolous. </w:t>
      </w:r>
    </w:p>
    <w:p>
      <w:pPr>
        <w:pStyle w:val="TextBody"/>
        <w:bidi w:val="0"/>
        <w:spacing w:lineRule="auto" w:line="288" w:before="0" w:after="120"/>
        <w:ind w:left="0" w:right="0" w:firstLine="450"/>
        <w:jc w:val="left"/>
        <w:rPr/>
      </w:pPr>
      <w:r>
        <w:rPr>
          <w:rFonts w:ascii="Times New Roman;serif" w:hAnsi="Times New Roman;serif"/>
          <w:b w:val="false"/>
          <w:color w:val="000000"/>
          <w:sz w:val="20"/>
        </w:rPr>
        <w:t>Thereafter, ICANN’s Board considered the objections raised pertaining to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auction pursuant to a lengthy and detailed process. On April 30, 2023, the Board concluded without objection that Verisign and NDC did not violate any ICANN’s policies and it directed that the processing of NDC’s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application be resumed. </w:t>
      </w:r>
    </w:p>
    <w:p>
      <w:pPr>
        <w:pStyle w:val="TextBody"/>
        <w:bidi w:val="0"/>
        <w:spacing w:lineRule="auto" w:line="288" w:before="0" w:after="0"/>
        <w:ind w:left="0" w:right="0" w:firstLine="450"/>
        <w:jc w:val="left"/>
        <w:rPr/>
      </w:pPr>
      <w:r>
        <w:rPr>
          <w:rFonts w:ascii="Times New Roman;serif" w:hAnsi="Times New Roman;serif"/>
          <w:b w:val="false"/>
          <w:color w:val="000000"/>
          <w:sz w:val="20"/>
        </w:rPr>
        <w:t>Before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could be awarded to NDC, Afilias filed another IRP on July 14, 2023, and as a result, ICANN’s processing of NDC’s</w:t>
      </w:r>
      <w:r>
        <w:rPr>
          <w:color w:val="000000"/>
        </w:rPr>
        <w:t xml:space="preserv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application remains paused. Similar to the first IRP, Afilias again seeks to invalidate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auction and have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awarded to Afilias. On April 11, 2024, Verisign and NDC submitted a written request to participate in the IRP. In November 2025, the IRP Panel held a hearing on Afilias’ claim. Post-hearing briefings are expected to be filed in the first half of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In view of the outcome of the first IRP, the prior imposition of sanctions on Afilias, and the ICANN Board’s decision of April 30, 2023 we believe that Afilias’ continued attempts to obtain the rights to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are improper and without merit and undertaken for the purpose of delaying the delegation of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to NDC and its eventual assignment to Verisign.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w:t>
      </w:r>
      <w:r>
        <w:rPr>
          <w:color w:val="000000"/>
        </w:rPr>
        <w:t>    </w:t>
      </w:r>
      <w:r>
        <w:rPr>
          <w:rFonts w:ascii="Times New Roman;serif" w:hAnsi="Times New Roman;serif"/>
          <w:b/>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PART II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0"/>
        </w:rPr>
        <w:t>ITEM 5.</w:t>
      </w:r>
      <w:r>
        <w:rPr>
          <w:color w:val="000000"/>
        </w:rPr>
        <w:t>    </w:t>
      </w:r>
      <w:r>
        <w:rPr>
          <w:rFonts w:ascii="Times New Roman;serif" w:hAnsi="Times New Roman;serif"/>
          <w:b/>
          <w:color w:val="000000"/>
          <w:sz w:val="20"/>
        </w:rPr>
        <w:t xml:space="preserve">MARKET FOR REGISTRANT’S COMMON EQUITY, RELATED STOCKHOLDER MATTERS AND ISSUER PURCHASES OF EQUITY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VRSN. On January 30, 2026, there were 268 holders of record of our common stock. We cannot estimate the number of beneficial owners since many brokers and other institutions hold our stock on behalf of stockholders.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2025, we initiated a quarterly cash dividend. We declared dividends that totaled $2.31 per share of outstanding common stock, or $215.2 million, in 2025. On February 3, 2026, our Board of Directors declared a cash dividend of $0.81 per share of the Company’s outstanding common stock to stockholders of record as of the close of business on February 19, 2026, payable on February 27, 2026. We intend to continue to pay a cash dividend on a quarterly basis, subject to market conditions and approval by our Board of Directors.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Share Repurchases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 repurchase activity during the three months ended December 31, 2025:</w:t>
      </w:r>
    </w:p>
    <w:tbl>
      <w:tblPr>
        <w:tblW w:w="8293" w:type="dxa"/>
        <w:jc w:val="left"/>
        <w:tblInd w:w="0" w:type="dxa"/>
        <w:tblLayout w:type="fixed"/>
        <w:tblCellMar>
          <w:top w:w="28" w:type="dxa"/>
          <w:left w:w="28" w:type="dxa"/>
          <w:bottom w:w="28" w:type="dxa"/>
          <w:right w:w="28" w:type="dxa"/>
        </w:tblCellMar>
      </w:tblPr>
      <w:tblGrid>
        <w:gridCol w:w="734"/>
        <w:gridCol w:w="643"/>
        <w:gridCol w:w="648"/>
        <w:gridCol w:w="375"/>
        <w:gridCol w:w="375"/>
        <w:gridCol w:w="376"/>
        <w:gridCol w:w="109"/>
        <w:gridCol w:w="109"/>
        <w:gridCol w:w="109"/>
        <w:gridCol w:w="413"/>
        <w:gridCol w:w="413"/>
        <w:gridCol w:w="286"/>
        <w:gridCol w:w="109"/>
        <w:gridCol w:w="109"/>
        <w:gridCol w:w="109"/>
        <w:gridCol w:w="420"/>
        <w:gridCol w:w="420"/>
        <w:gridCol w:w="421"/>
        <w:gridCol w:w="109"/>
        <w:gridCol w:w="109"/>
        <w:gridCol w:w="109"/>
        <w:gridCol w:w="211"/>
        <w:gridCol w:w="766"/>
        <w:gridCol w:w="811"/>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w:t>
              <w:br/>
              <w:t>Shares That May</w:t>
              <w:br/>
              <w:t>Yet Be Purchased</w:t>
              <w:br/>
              <w:t>Under the Plans or</w:t>
              <w:br/>
              <w:t>Programs (1)(2)</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 31, 2025</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 30, 2025</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 31, 2025</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1,077.2 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(1)Effective July 24, 2025, our Board of Directors authorized the repurchase of our common stock in the amount of $913.1 million, in addition to the $586.9 million that remained available for repurchases under the share repurchase program, for a total repurchase authorization of up to $1.50 billion under the program. The share repurchase program has no expiration date. Purchases made under the program could be effected through open market transactions, block purchases, accelerated share repurchase agreements or other negotiated transactions.</w:t>
      </w:r>
    </w:p>
    <w:p>
      <w:pPr>
        <w:pStyle w:val="TextBody"/>
        <w:bidi w:val="0"/>
        <w:spacing w:lineRule="auto" w:line="288" w:before="140" w:after="14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(2)Amounts presented are exclusive of the excise tax on share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Performance Graph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The information contained in the Performance Graph shall not be deemed to be “soliciting material” or “filed” with the SEC or subject to the liabilities of Section 18 of the Exchange Act, except to the extent that we specifically incorporate it by reference into a document filed under the Securities Act of 1933, as amended (the “Securities Act”), or the Exchange Act.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graph compares the cumulative total stockholder return on our common stock, the Standard and Poor’s (“S&amp;P”) 500 Index, and the S&amp;P 500 Information Technology Index. The graph assumes that $100 (and the reinvestment of any dividends thereafter) was invested in our common stock, the S&amp;P 500 Index and the S&amp;P 500 Information Technology Index on December 31, 2020, and calculates the return annually through December 31, 2025. The stock price performance on the following graph is not necessarily indicative of future stock price performance. </w:t>
      </w:r>
    </w:p>
    <w:p>
      <w:pPr>
        <w:pStyle w:val="TextBody"/>
        <w:bidi w:val="0"/>
        <w:spacing w:before="0" w:after="0"/>
        <w:ind w:left="0" w:right="0" w:firstLine="495"/>
        <w:jc w:val="center"/>
        <w:rPr/>
      </w:pPr>
      <w:r>
        <w:rPr/>
      </w:r>
    </w:p>
    <w:p>
      <w:pPr>
        <w:pStyle w:val="TextBody"/>
        <w:bidi w:val="0"/>
        <w:spacing w:before="0" w:after="0"/>
        <w:jc w:val="center"/>
        <w:rPr/>
      </w:pPr>
      <w:r>
        <w:rPr/>
        <w:drawing>
          <wp:inline distT="0" distB="0" distL="0" distR="0">
            <wp:extent cx="5838825" cy="457200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838825" cy="4572000"/>
                    </a:xfrm>
                    <a:prstGeom prst="rect">
                      <a:avLst/>
                    </a:prstGeom>
                  </pic:spPr>
                </pic:pic>
              </a:graphicData>
            </a:graphic>
          </wp:inline>
        </w:drawing>
      </w:r>
      <w:bookmarkStart w:id="0" w:name="i-1"/>
      <w:bookmarkEnd w:id="0"/>
    </w:p>
    <w:p>
      <w:pPr>
        <w:pStyle w:val="TextBody"/>
        <w:bidi w:val="0"/>
        <w:spacing w:before="0" w:after="0"/>
        <w:ind w:left="0" w:right="0" w:firstLine="495"/>
        <w:jc w:val="left"/>
        <w:rPr/>
      </w:pPr>
      <w:r>
        <w:rPr/>
      </w:r>
    </w:p>
    <w:tbl>
      <w:tblPr>
        <w:tblW w:w="8151" w:type="dxa"/>
        <w:jc w:val="left"/>
        <w:tblInd w:w="0" w:type="dxa"/>
        <w:tblLayout w:type="fixed"/>
        <w:tblCellMar>
          <w:top w:w="28" w:type="dxa"/>
          <w:left w:w="28" w:type="dxa"/>
          <w:bottom w:w="28" w:type="dxa"/>
          <w:right w:w="28" w:type="dxa"/>
        </w:tblCellMar>
      </w:tblPr>
      <w:tblGrid>
        <w:gridCol w:w="1228"/>
        <w:gridCol w:w="1077"/>
        <w:gridCol w:w="1085"/>
        <w:gridCol w:w="211"/>
        <w:gridCol w:w="466"/>
        <w:gridCol w:w="109"/>
        <w:gridCol w:w="211"/>
        <w:gridCol w:w="466"/>
        <w:gridCol w:w="109"/>
        <w:gridCol w:w="211"/>
        <w:gridCol w:w="466"/>
        <w:gridCol w:w="109"/>
        <w:gridCol w:w="211"/>
        <w:gridCol w:w="466"/>
        <w:gridCol w:w="109"/>
        <w:gridCol w:w="211"/>
        <w:gridCol w:w="466"/>
        <w:gridCol w:w="109"/>
        <w:gridCol w:w="211"/>
        <w:gridCol w:w="46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12/31/21</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VeriSign,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Information Technology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TextBody"/>
        <w:bidi w:val="0"/>
        <w:spacing w:before="0" w:after="0"/>
        <w:ind w:left="0" w:right="0" w:hanging="108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This Form 10-K contains forward-looking statements within the meaning of Section 27A of the Securities Act and Section 21E of the Exchange Act. These forward-looking statements are based on current expectations and assumptions and involve risks, uncertainties, and other important factors, including, among other things, statements regarding the Company’s quarterly dividend and our expectations about the sufficiency of our existing cash, cash equivalents and marketable securities, and funds generated from operations, together with our borrowing capacity under the unsecured revolving credit facility. In some cases, you can identify forward-looking statements by terms such as “assumes,” “could,” “estimates,” “forecasts,” “may,” “plans,” “potential,” “predicts,” “projects,” “should,” “targets,” “will,” “would,” “seeks,” “expects,” “anticipates,” “intends,” “believes” and similar language intended to identify forward-looking statements. Our actual results may differ significantly from those projected in the forward-looking statements. Factors that might cause or contribute to such differences include, but are not limited to, those discussed in the section titled “Risk Factors” in Part I, Item 1A of this Form 10-K. You should also carefully review the risks described in other documents we file from time to time with the SEC, including the Quarterly Reports on Form 10-Q or Current Reports on Form 8-K that we file in 2026. You are cautioned not to place undue reliance on the forward-looking statements, which speak only as of the date of this Form 10-K. We undertake no obligation to update publicly or revise such statements, whether as a result of new information, future events, or otherwise, except as required by law.</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This section of this Form 10-K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left"/>
        <w:rPr/>
      </w:pPr>
      <w:r>
        <w:rPr>
          <w:rFonts w:ascii="Times New Roman;serif" w:hAnsi="Times New Roman;serif"/>
          <w:b w:val="false"/>
          <w:color w:val="000000"/>
          <w:sz w:val="20"/>
        </w:rPr>
        <w:t>We are a global provider of critical internet infrastructure and domain name registry services, enabling internet navigation for many of the world’s most recognized domain names. We help enable the security, stability, and resiliency of the DNS and the internet by providing Root Zone Maintainer Services, operating two of the thirteen global internet root servers, and providing registration services and authoritative resolution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TLDs, which support the majority of global e-commerce.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As of December 31, 2025, we had 173.5 million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ccTLDs, other gTLDs, services that offer alternatives for an online presence,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pStyle w:val="TextBody"/>
        <w:bidi w:val="0"/>
        <w:spacing w:lineRule="auto" w:line="288" w:before="120" w:after="120"/>
        <w:ind w:left="0" w:right="0" w:firstLine="225"/>
        <w:jc w:val="left"/>
        <w:rPr>
          <w:rFonts w:ascii="Times New Roman;serif" w:hAnsi="Times New Roman;serif"/>
          <w:b/>
          <w:i/>
          <w:color w:val="000000"/>
          <w:sz w:val="20"/>
        </w:rPr>
      </w:pPr>
      <w:r>
        <w:rPr>
          <w:rFonts w:ascii="Times New Roman;serif" w:hAnsi="Times New Roman;serif"/>
          <w:b/>
          <w:i/>
          <w:color w:val="000000"/>
          <w:sz w:val="20"/>
        </w:rPr>
        <w:t>2025 Business Highlights and Trends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We recorded revenues of $1,656.6 million in 2025, which represents an increase of 6% as compared to 2024.</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recorded operating income of $1,121.0 million during 2025, which represents an increase of 6% as compared to 2024.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finished 2025 with 173.5 million </w:t>
      </w:r>
      <w:r>
        <w:rPr>
          <w:rFonts w:ascii="Times New Roman;serif" w:hAnsi="Times New Roman;serif"/>
          <w:b w:val="false"/>
          <w:i/>
          <w:color w:val="000000"/>
          <w:sz w:val="20"/>
        </w:rPr>
        <w:t xml:space="preserve">.com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registrations in the domain name base, which represents a 2.6% increase from December 31, 2024.</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During 2025, we processed 41.7 million new domain name registrations for .</w:t>
      </w:r>
      <w:r>
        <w:rPr>
          <w:rFonts w:ascii="Times New Roman;serif" w:hAnsi="Times New Roman;serif"/>
          <w:b w:val="false"/>
          <w:i/>
          <w:color w:val="000000"/>
          <w:sz w:val="20"/>
        </w:rPr>
        <w:t>com</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w:t>
      </w:r>
      <w:r>
        <w:rPr>
          <w:rFonts w:ascii="Times New Roman;serif" w:hAnsi="Times New Roman;serif"/>
          <w:b w:val="false"/>
          <w:color w:val="000000"/>
          <w:sz w:val="20"/>
        </w:rPr>
        <w:t>compared to 37.4 million in 2024.</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The final </w:t>
      </w:r>
      <w:r>
        <w:rPr>
          <w:rFonts w:ascii="Times New Roman;serif" w:hAnsi="Times New Roman;serif"/>
          <w:b w:val="false"/>
          <w:i/>
          <w:color w:val="000000"/>
          <w:sz w:val="20"/>
        </w:rPr>
        <w:t>.com</w:t>
      </w:r>
      <w:r>
        <w:rPr>
          <w:color w:val="000000"/>
        </w:rPr>
        <w:t> </w:t>
      </w:r>
      <w:r>
        <w:rPr>
          <w:rFonts w:ascii="Times New Roman;serif" w:hAnsi="Times New Roman;serif"/>
          <w:b w:val="false"/>
          <w:color w:val="000000"/>
          <w:sz w:val="20"/>
        </w:rPr>
        <w:t xml:space="preserve">and </w:t>
      </w:r>
      <w:r>
        <w:rPr>
          <w:rFonts w:ascii="Times New Roman;serif" w:hAnsi="Times New Roman;serif"/>
          <w:b w:val="false"/>
          <w:i/>
          <w:color w:val="000000"/>
          <w:sz w:val="20"/>
        </w:rPr>
        <w:t>.net </w:t>
      </w:r>
      <w:r>
        <w:rPr>
          <w:rFonts w:ascii="Times New Roman;serif" w:hAnsi="Times New Roman;serif"/>
          <w:b w:val="false"/>
          <w:color w:val="000000"/>
          <w:sz w:val="20"/>
        </w:rPr>
        <w:t>renewal rate for the third quarter of 2025 was 75.4% compared to 72.2% for the same quarter of 2024. Renewal rates are not fully measurable until 45 days after the end of the quarter.</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We repurchased 3.4 million shares of our common stock for an aggregate cost of $858.6 million in 2025. As of December 31, 2025, there was $1.08 billion remaining for future share repurchases under the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generated cash flows from operating activities of $1,091.1 million in 2025, which represents an increase of 21% as compared to 2024.</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On February 3, 2026, our Board of Directors approved a 5.2% increase in the quarterly cash dividend to $0.81 per share of the Company’s outstanding common stock to stockholders of record as of the close of business on February 19, 2026, payable on February 27, 2026.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Critical Accounting Estimates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those estimates. Management bases its estimates on historical experience and on various assumptions that are believed to be reasonable under the circumstances, the results of which form the basis for making judgments about the carrying values of assets and liabilities that are not readily available from other sources. Actual results may differ from these estimates under different assumptions or conditions.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We believe the following critical accounting estimates and policies have the most significant impact on our consolidated financial statements: </w:t>
      </w:r>
    </w:p>
    <w:p>
      <w:pPr>
        <w:pStyle w:val="TextBody"/>
        <w:bidi w:val="0"/>
        <w:spacing w:lineRule="auto" w:line="288" w:before="120" w:after="283"/>
        <w:ind w:left="0" w:right="0" w:firstLine="450"/>
        <w:jc w:val="left"/>
        <w:rPr/>
      </w:pPr>
      <w:r>
        <w:rPr>
          <w:color w:val="000000"/>
        </w:rPr>
        <w:t> </w:t>
      </w:r>
      <w:r>
        <w:rPr>
          <w:rFonts w:ascii="Times New Roman;serif" w:hAnsi="Times New Roman;serif"/>
          <w:b w:val="false"/>
          <w:i/>
          <w:color w:val="000000"/>
          <w:sz w:val="20"/>
        </w:rPr>
        <w:t>Income taxes</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multiple tax jurisdictions in the United States and internationally. Tax laws and regulations in these jurisdictions are complex, interrelated, and periodically changing. Significant judgment or interpretation of these laws and regulations is often required in determining our worldwide provision for income taxes, including, for example, the calculations of taxable income in each jurisdiction, deferred taxes, and the availability and amount of deductions and tax credits. We have recognized $233.2 million of deferred tax assets, net as of December 31, 2025. Our income tax expense was $242.8 million for the year ended December 31, 2025. The final taxes payable are also dependent upon many factors, including negotiations with taxing authorities in various jurisdictions and resolution of disputes arising from various tax examinations. See Note 11, “Income Taxes” of our Notes to Consolidated Financial Statements in Item 8 of this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results of operations as a percentage of revenues:</w:t>
      </w:r>
    </w:p>
    <w:tbl>
      <w:tblPr>
        <w:tblW w:w="6315" w:type="dxa"/>
        <w:jc w:val="left"/>
        <w:tblInd w:w="0" w:type="dxa"/>
        <w:tblLayout w:type="fixed"/>
        <w:tblCellMar>
          <w:top w:w="28" w:type="dxa"/>
          <w:left w:w="28" w:type="dxa"/>
          <w:bottom w:w="28" w:type="dxa"/>
          <w:right w:w="28" w:type="dxa"/>
        </w:tblCellMar>
      </w:tblPr>
      <w:tblGrid>
        <w:gridCol w:w="1071"/>
        <w:gridCol w:w="938"/>
        <w:gridCol w:w="946"/>
        <w:gridCol w:w="308"/>
        <w:gridCol w:w="308"/>
        <w:gridCol w:w="271"/>
        <w:gridCol w:w="109"/>
        <w:gridCol w:w="109"/>
        <w:gridCol w:w="109"/>
        <w:gridCol w:w="308"/>
        <w:gridCol w:w="308"/>
        <w:gridCol w:w="271"/>
        <w:gridCol w:w="109"/>
        <w:gridCol w:w="109"/>
        <w:gridCol w:w="109"/>
        <w:gridCol w:w="308"/>
        <w:gridCol w:w="308"/>
        <w:gridCol w:w="316"/>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259"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ind w:left="0" w:right="0" w:firstLine="450"/>
        <w:jc w:val="left"/>
        <w:rPr/>
      </w:pPr>
      <w:r>
        <w:rPr>
          <w:rFonts w:ascii="Times New Roman;serif" w:hAnsi="Times New Roman;serif"/>
          <w:b w:val="false"/>
          <w:color w:val="000000"/>
          <w:sz w:val="20"/>
        </w:rPr>
        <w:t>Our revenues are primarily derived from registrations for domain names in the</w:t>
      </w:r>
      <w:r>
        <w:rPr>
          <w:color w:val="000000"/>
        </w:rPr>
        <w:t xml:space="preserv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we receive a fee from registrars per annual registration that is determined pursuant to our agreements with ICANN. Individual customers, called registrants, contract directly with registrars or their resellers, and the registrars, who are our direct customers,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DOC.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In November 2024, we renewed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Agreement with ICANN, pursuant to which we will remain the sole registry operator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through November 30, 2030. Under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we are permitted to increase the price of a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 by up to 7% in each of the final four years of each six-year period. The current such six-year period began on October 26, 2024. We increased the annual registry-level wholesale fee for each new and renewal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from $9.59 to $10.26 effective September 1, 2024. Under the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Registry Agreement, we are permitted to increase the price of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registrations by up to 10% each year during the term of our agreement with ICANN, through June 30, 2029. We increased the annual registry-level wholesale fee for each new and renewal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 from $9.92 to $10.91 effective February 1, 2024. All fees paid to us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registrations are in U.S. dollars.</w:t>
      </w:r>
    </w:p>
    <w:p>
      <w:pPr>
        <w:pStyle w:val="TextBody"/>
        <w:bidi w:val="0"/>
        <w:spacing w:lineRule="auto" w:line="288" w:before="18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revenues is presented below:</w:t>
      </w:r>
    </w:p>
    <w:tbl>
      <w:tblPr>
        <w:tblW w:w="7176"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766"/>
        <w:gridCol w:w="109"/>
        <w:gridCol w:w="109"/>
        <w:gridCol w:w="109"/>
        <w:gridCol w:w="109"/>
        <w:gridCol w:w="147"/>
        <w:gridCol w:w="147"/>
        <w:gridCol w:w="367"/>
        <w:gridCol w:w="109"/>
        <w:gridCol w:w="109"/>
        <w:gridCol w:w="109"/>
        <w:gridCol w:w="211"/>
        <w:gridCol w:w="766"/>
        <w:gridCol w:w="109"/>
        <w:gridCol w:w="109"/>
        <w:gridCol w:w="109"/>
        <w:gridCol w:w="109"/>
        <w:gridCol w:w="147"/>
        <w:gridCol w:w="147"/>
        <w:gridCol w:w="367"/>
        <w:gridCol w:w="109"/>
        <w:gridCol w:w="109"/>
        <w:gridCol w:w="109"/>
        <w:gridCol w:w="211"/>
        <w:gridCol w:w="76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pPr>
      <w:r>
        <w:rPr>
          <w:rFonts w:ascii="Times New Roman;serif" w:hAnsi="Times New Roman;serif"/>
          <w:b w:val="false"/>
          <w:color w:val="000000"/>
          <w:sz w:val="20"/>
        </w:rPr>
        <w:t>The following table compares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registrations in the domain name base:</w:t>
      </w:r>
      <w:r>
        <w:rPr>
          <w:color w:val="000000"/>
        </w:rPr>
        <w:t> </w:t>
      </w:r>
    </w:p>
    <w:tbl>
      <w:tblPr>
        <w:tblW w:w="10205" w:type="dxa"/>
        <w:jc w:val="left"/>
        <w:tblInd w:w="0" w:type="dxa"/>
        <w:tblLayout w:type="fixed"/>
        <w:tblCellMar>
          <w:top w:w="28" w:type="dxa"/>
          <w:left w:w="28" w:type="dxa"/>
          <w:bottom w:w="28" w:type="dxa"/>
          <w:right w:w="28" w:type="dxa"/>
        </w:tblCellMar>
      </w:tblPr>
      <w:tblGrid>
        <w:gridCol w:w="1409"/>
        <w:gridCol w:w="1236"/>
        <w:gridCol w:w="1244"/>
        <w:gridCol w:w="109"/>
        <w:gridCol w:w="109"/>
        <w:gridCol w:w="109"/>
        <w:gridCol w:w="363"/>
        <w:gridCol w:w="363"/>
        <w:gridCol w:w="368"/>
        <w:gridCol w:w="109"/>
        <w:gridCol w:w="109"/>
        <w:gridCol w:w="109"/>
        <w:gridCol w:w="147"/>
        <w:gridCol w:w="147"/>
        <w:gridCol w:w="367"/>
        <w:gridCol w:w="109"/>
        <w:gridCol w:w="109"/>
        <w:gridCol w:w="109"/>
        <w:gridCol w:w="363"/>
        <w:gridCol w:w="363"/>
        <w:gridCol w:w="368"/>
        <w:gridCol w:w="109"/>
        <w:gridCol w:w="109"/>
        <w:gridCol w:w="109"/>
        <w:gridCol w:w="160"/>
        <w:gridCol w:w="160"/>
        <w:gridCol w:w="367"/>
        <w:gridCol w:w="109"/>
        <w:gridCol w:w="109"/>
        <w:gridCol w:w="109"/>
        <w:gridCol w:w="331"/>
        <w:gridCol w:w="331"/>
        <w:gridCol w:w="483"/>
      </w:tblGrid>
      <w:tr>
        <w:trPr/>
        <w:tc>
          <w:tcPr>
            <w:tcW w:w="14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6"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9"/>
              </w:rPr>
              <w:t>.com</w:t>
            </w:r>
            <w:r>
              <w:rPr>
                <w:color w:val="000000"/>
              </w:rPr>
              <w:t> </w:t>
            </w:r>
            <w:r>
              <w:rPr>
                <w:rFonts w:ascii="Times New Roman;serif" w:hAnsi="Times New Roman;serif"/>
                <w:b w:val="false"/>
                <w:color w:val="000000"/>
                <w:sz w:val="19"/>
              </w:rPr>
              <w:t>and </w:t>
            </w:r>
            <w:r>
              <w:rPr>
                <w:rFonts w:ascii="Times New Roman;serif" w:hAnsi="Times New Roman;serif"/>
                <w:b w:val="false"/>
                <w:i/>
                <w:color w:val="000000"/>
                <w:sz w:val="19"/>
              </w:rPr>
              <w:t>.net</w:t>
            </w:r>
            <w:r>
              <w:rPr>
                <w:color w:val="000000"/>
              </w:rPr>
              <w:t> </w:t>
            </w:r>
            <w:r>
              <w:rPr>
                <w:rFonts w:ascii="Times New Roman;serif" w:hAnsi="Times New Roman;serif"/>
                <w:b w:val="false"/>
                <w:color w:val="000000"/>
                <w:sz w:val="19"/>
              </w:rPr>
              <w:t>domain name registrations in the domain name base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172.7 million</w:t>
            </w:r>
          </w:p>
        </w:tc>
      </w:tr>
    </w:tbl>
    <w:p>
      <w:pPr>
        <w:pStyle w:val="TextBody"/>
        <w:bidi w:val="0"/>
        <w:spacing w:lineRule="auto" w:line="288" w:before="0" w:after="120"/>
        <w:ind w:left="0" w:right="0" w:firstLine="450"/>
        <w:jc w:val="left"/>
        <w:rPr/>
      </w:pPr>
      <w:r>
        <w:rPr>
          <w:rFonts w:ascii="Times New Roman;serif" w:hAnsi="Times New Roman;serif"/>
          <w:b w:val="false"/>
          <w:color w:val="000000"/>
          <w:sz w:val="20"/>
        </w:rPr>
        <w:t>Revenues increased in 2025 compared to 2024, primarily due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price increases and an increase in the domain name base.</w:t>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has been primarily driven by continued internet growth and marketing activities carried out by us and our registrars. However, the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may be limited by competitive pressure from other TLDs and alternatives for an online presence. Additionally, changes in internet practices, consumer behavior, and global economic conditions, as well as the motivation of existing domain name registrants managing their investment in domain names, such as for resale at increased prices or for revenue generation through website advertising, may impact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Our domain name base increased during 2025 compared to 2024, with higher new registrations and renewal rates, as business conditions improved following a period of decline during 2024 and as registrars focus more on customer acquisition and have continued to engage with our marketing programs.</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Geographic revenues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revenues in the U.S.; Europe, the Middle East and Africa (“EMEA”); Australia, China, Japan, Singapore, and other Asia Pacific countries (“APAC”); and certain other countries, including Canada and Latin American countries.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comparison of the Company’s geographic revenues: </w:t>
      </w:r>
    </w:p>
    <w:tbl>
      <w:tblPr>
        <w:tblW w:w="7319" w:type="dxa"/>
        <w:jc w:val="center"/>
        <w:tblInd w:w="0" w:type="dxa"/>
        <w:tblLayout w:type="fixed"/>
        <w:tblCellMar>
          <w:top w:w="28" w:type="dxa"/>
          <w:left w:w="28" w:type="dxa"/>
          <w:bottom w:w="28" w:type="dxa"/>
          <w:right w:w="28" w:type="dxa"/>
        </w:tblCellMar>
      </w:tblPr>
      <w:tblGrid>
        <w:gridCol w:w="475"/>
        <w:gridCol w:w="417"/>
        <w:gridCol w:w="427"/>
        <w:gridCol w:w="211"/>
        <w:gridCol w:w="766"/>
        <w:gridCol w:w="109"/>
        <w:gridCol w:w="109"/>
        <w:gridCol w:w="109"/>
        <w:gridCol w:w="109"/>
        <w:gridCol w:w="180"/>
        <w:gridCol w:w="181"/>
        <w:gridCol w:w="367"/>
        <w:gridCol w:w="109"/>
        <w:gridCol w:w="109"/>
        <w:gridCol w:w="109"/>
        <w:gridCol w:w="211"/>
        <w:gridCol w:w="766"/>
        <w:gridCol w:w="109"/>
        <w:gridCol w:w="109"/>
        <w:gridCol w:w="109"/>
        <w:gridCol w:w="109"/>
        <w:gridCol w:w="147"/>
        <w:gridCol w:w="147"/>
        <w:gridCol w:w="367"/>
        <w:gridCol w:w="109"/>
        <w:gridCol w:w="109"/>
        <w:gridCol w:w="109"/>
        <w:gridCol w:w="211"/>
        <w:gridCol w:w="76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While revenues increased in all regions during 2025 compared to 2024, the majority of our revenue growth was generated from registrars based in the U.S. and EMEA.</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consists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cost of revenues is presented below:</w:t>
      </w:r>
    </w:p>
    <w:tbl>
      <w:tblPr>
        <w:tblW w:w="6988" w:type="dxa"/>
        <w:jc w:val="left"/>
        <w:tblInd w:w="0" w:type="dxa"/>
        <w:tblLayout w:type="fixed"/>
        <w:tblCellMar>
          <w:top w:w="28" w:type="dxa"/>
          <w:left w:w="28" w:type="dxa"/>
          <w:bottom w:w="28" w:type="dxa"/>
          <w:right w:w="28" w:type="dxa"/>
        </w:tblCellMar>
      </w:tblPr>
      <w:tblGrid>
        <w:gridCol w:w="531"/>
        <w:gridCol w:w="468"/>
        <w:gridCol w:w="470"/>
        <w:gridCol w:w="211"/>
        <w:gridCol w:w="616"/>
        <w:gridCol w:w="109"/>
        <w:gridCol w:w="109"/>
        <w:gridCol w:w="109"/>
        <w:gridCol w:w="109"/>
        <w:gridCol w:w="147"/>
        <w:gridCol w:w="147"/>
        <w:gridCol w:w="367"/>
        <w:gridCol w:w="109"/>
        <w:gridCol w:w="109"/>
        <w:gridCol w:w="109"/>
        <w:gridCol w:w="211"/>
        <w:gridCol w:w="616"/>
        <w:gridCol w:w="109"/>
        <w:gridCol w:w="109"/>
        <w:gridCol w:w="109"/>
        <w:gridCol w:w="109"/>
        <w:gridCol w:w="165"/>
        <w:gridCol w:w="165"/>
        <w:gridCol w:w="367"/>
        <w:gridCol w:w="109"/>
        <w:gridCol w:w="109"/>
        <w:gridCol w:w="109"/>
        <w:gridCol w:w="211"/>
        <w:gridCol w:w="61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in 2025 compared to 2024 primarily due to increases in compensation and benefits expenses and a combination of other individually insignificant factors, partially offset by a decrease in depreciation expenses. Compensation and benefits expenses increased by $5.0 million primarily due to annual salary increases, an increase in bonus expenses, and an increase in average headcount. Depreciation expenses decreased by $4.4 million due to a decrease in capital expenditures in recent periods.</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research and development expenses is presented below:</w:t>
      </w:r>
    </w:p>
    <w:tbl>
      <w:tblPr>
        <w:tblW w:w="7582"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147"/>
        <w:gridCol w:w="147"/>
        <w:gridCol w:w="367"/>
        <w:gridCol w:w="109"/>
        <w:gridCol w:w="109"/>
        <w:gridCol w:w="109"/>
        <w:gridCol w:w="211"/>
        <w:gridCol w:w="511"/>
        <w:gridCol w:w="109"/>
        <w:gridCol w:w="109"/>
        <w:gridCol w:w="109"/>
        <w:gridCol w:w="109"/>
        <w:gridCol w:w="147"/>
        <w:gridCol w:w="147"/>
        <w:gridCol w:w="367"/>
        <w:gridCol w:w="109"/>
        <w:gridCol w:w="109"/>
        <w:gridCol w:w="109"/>
        <w:gridCol w:w="211"/>
        <w:gridCol w:w="51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in 2025 compared to 2024 primarily due to an increase in compensation and benefit expenses and a combination of several other individually insignificant factors. Compensation and benefits expenses increased by $5.1 million primarily due to annual salary increases and an increase in bonus expenses.</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selling, general and administrative expenses is presented below:</w:t>
      </w:r>
    </w:p>
    <w:tbl>
      <w:tblPr>
        <w:tblW w:w="8505" w:type="dxa"/>
        <w:jc w:val="left"/>
        <w:tblInd w:w="0" w:type="dxa"/>
        <w:tblLayout w:type="fixed"/>
        <w:tblCellMar>
          <w:top w:w="28" w:type="dxa"/>
          <w:left w:w="28" w:type="dxa"/>
          <w:bottom w:w="28" w:type="dxa"/>
          <w:right w:w="28" w:type="dxa"/>
        </w:tblCellMar>
      </w:tblPr>
      <w:tblGrid>
        <w:gridCol w:w="1071"/>
        <w:gridCol w:w="941"/>
        <w:gridCol w:w="943"/>
        <w:gridCol w:w="211"/>
        <w:gridCol w:w="616"/>
        <w:gridCol w:w="109"/>
        <w:gridCol w:w="109"/>
        <w:gridCol w:w="109"/>
        <w:gridCol w:w="109"/>
        <w:gridCol w:w="180"/>
        <w:gridCol w:w="181"/>
        <w:gridCol w:w="367"/>
        <w:gridCol w:w="109"/>
        <w:gridCol w:w="109"/>
        <w:gridCol w:w="109"/>
        <w:gridCol w:w="211"/>
        <w:gridCol w:w="616"/>
        <w:gridCol w:w="109"/>
        <w:gridCol w:w="109"/>
        <w:gridCol w:w="109"/>
        <w:gridCol w:w="109"/>
        <w:gridCol w:w="147"/>
        <w:gridCol w:w="147"/>
        <w:gridCol w:w="367"/>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in 2025 compared to 2024 primarily due to increases in compensation and benefits expenses, stock-based compensation expenses, equipment and software expenses, and legal expenses. Compensation and benefits expenses increased by $9.7 million primarily due to an increase in bonus expenses, higher expenses for certain employee health-insurance related benefits, annual salary increases, and an increase in average headcount. Stock-based compensation expense increased by $7.2 million primarily due to an increase in the total projected achievement levels on certain performance-based RSU grants and an increase in the value of RSU grants awarded in 2025. Equipment and software expenses increased by $4.5 million primarily due to increases in expenses related to network security and other software services. Legal expenses increased by $4.2 million due to an increase in litigation expenses and other external legal costs.</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slightly during 2025 compared to 2024 primarily due to the period of overlap between the issuance of $500.0 million of senior unsecured notes due June 2032 (“2032 Notes”) and repayment of $500.0 million aggregate principal amount of outstanding senior unsecured notes due April 2025 (“2025 Notes”). </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Non-operating income, net</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non-operating income, net: </w:t>
      </w:r>
    </w:p>
    <w:tbl>
      <w:tblPr>
        <w:tblW w:w="5936" w:type="dxa"/>
        <w:jc w:val="left"/>
        <w:tblInd w:w="0" w:type="dxa"/>
        <w:tblLayout w:type="fixed"/>
        <w:tblCellMar>
          <w:top w:w="28" w:type="dxa"/>
          <w:left w:w="28" w:type="dxa"/>
          <w:bottom w:w="28" w:type="dxa"/>
          <w:right w:w="28" w:type="dxa"/>
        </w:tblCellMar>
      </w:tblPr>
      <w:tblGrid>
        <w:gridCol w:w="994"/>
        <w:gridCol w:w="871"/>
        <w:gridCol w:w="879"/>
        <w:gridCol w:w="211"/>
        <w:gridCol w:w="511"/>
        <w:gridCol w:w="109"/>
        <w:gridCol w:w="109"/>
        <w:gridCol w:w="109"/>
        <w:gridCol w:w="109"/>
        <w:gridCol w:w="211"/>
        <w:gridCol w:w="511"/>
        <w:gridCol w:w="109"/>
        <w:gridCol w:w="109"/>
        <w:gridCol w:w="109"/>
        <w:gridCol w:w="109"/>
        <w:gridCol w:w="211"/>
        <w:gridCol w:w="51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is earned primarily from the Company’s surplus cash balances and marketable securities. The decrease in interest income in 2025 primarily reflects the lower amounts invested in debt securities in 2025 and slightly lower interest rates on our investments in debt securities compared to 2024. Other, net, reflects net gains and losses from the Company’s foreign currency exposure and related hedges. </w:t>
      </w:r>
    </w:p>
    <w:p>
      <w:pPr>
        <w:pStyle w:val="TextBody"/>
        <w:bidi w:val="0"/>
        <w:spacing w:lineRule="auto" w:line="288" w:before="18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Income tax expense</w:t>
      </w:r>
    </w:p>
    <w:tbl>
      <w:tblPr>
        <w:tblW w:w="5718" w:type="dxa"/>
        <w:jc w:val="left"/>
        <w:tblInd w:w="0" w:type="dxa"/>
        <w:tblLayout w:type="fixed"/>
        <w:tblCellMar>
          <w:top w:w="28" w:type="dxa"/>
          <w:left w:w="28" w:type="dxa"/>
          <w:bottom w:w="28" w:type="dxa"/>
          <w:right w:w="28" w:type="dxa"/>
        </w:tblCellMar>
      </w:tblPr>
      <w:tblGrid>
        <w:gridCol w:w="625"/>
        <w:gridCol w:w="548"/>
        <w:gridCol w:w="552"/>
        <w:gridCol w:w="211"/>
        <w:gridCol w:w="616"/>
        <w:gridCol w:w="271"/>
        <w:gridCol w:w="109"/>
        <w:gridCol w:w="109"/>
        <w:gridCol w:w="109"/>
        <w:gridCol w:w="211"/>
        <w:gridCol w:w="616"/>
        <w:gridCol w:w="271"/>
        <w:gridCol w:w="109"/>
        <w:gridCol w:w="109"/>
        <w:gridCol w:w="109"/>
        <w:gridCol w:w="211"/>
        <w:gridCol w:w="61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each of the periods in the table above differed from the statutory federal rate of 21%, due to state income taxes and U.S. taxes on foreign earnings, net of foreign tax credits, offset by a lower foreign effective tax rate. </w:t>
      </w:r>
    </w:p>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House Resolution 1, commonly referred to as the One Big Beautiful Bill Act, was enacted into law on July 4, 2025 (the “Act”). The tax regulations included in the Act did not have a material impact on our effective tax rate for 2025 and we do not expect it to have a material impact in future years.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deferred tax assets arising from deductible temporary differences, tax losses, and tax credits of $234.2 million, net of valuation allowances, but before the offset of certain deferred tax liabilities. With the exception of a portion of deferred tax assets related to intellectual property, certain state and foreign net operating loss and foreign tax credit carryforwards, we believe it is more likely than not that the tax effects of the deferred tax liabilities, together with future taxable income, will be sufficient to fully recover the remaining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principal sources of liquidity:</w:t>
      </w:r>
    </w:p>
    <w:tbl>
      <w:tblPr>
        <w:tblW w:w="4508" w:type="dxa"/>
        <w:jc w:val="left"/>
        <w:tblInd w:w="0" w:type="dxa"/>
        <w:tblLayout w:type="fixed"/>
        <w:tblCellMar>
          <w:top w:w="28" w:type="dxa"/>
          <w:left w:w="28" w:type="dxa"/>
          <w:bottom w:w="28" w:type="dxa"/>
          <w:right w:w="28" w:type="dxa"/>
        </w:tblCellMar>
      </w:tblPr>
      <w:tblGrid>
        <w:gridCol w:w="820"/>
        <w:gridCol w:w="720"/>
        <w:gridCol w:w="724"/>
        <w:gridCol w:w="211"/>
        <w:gridCol w:w="616"/>
        <w:gridCol w:w="109"/>
        <w:gridCol w:w="109"/>
        <w:gridCol w:w="109"/>
        <w:gridCol w:w="109"/>
        <w:gridCol w:w="211"/>
        <w:gridCol w:w="61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December 31, 2025, all of our debt securities have contractual maturities of less than one year. Our cash and cash equivalents are readily accessible. For additional information on our investment portfolio, see Note 2, “Financial Instruments,” of our Notes to Consolidated Financial Statements in Item 8 of this Form 10-K.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July 24, 2025, our Board of Directors authorized the repurchase of our common stock in the amount of $913.1 million, in addition to the $586.9 million that remained available for repurchases under the share repurchase program, for a total repurchase authorization of up to $1.50 billion under the program. In 2025, we repurchased 3.4 million shares of our common stock at an average stock price of $252.42 for an aggregate cost of $858.6 million under our share repurchase program. In 2024, we repurchased 6.6 million shares of our common stock at an average stock price of $183.84 for an aggregate cost of $1.21 billion. As of December 31, 2025, there was approximately $1.08 billion remaining available for future share repurchases under the share repurchase program.</w:t>
      </w:r>
    </w:p>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2025, we initiated a quarterly cash dividend. In 2025, we paid dividends of $215.2 million. On February 3, 2026, our Board of Directors declared a cash dividend of $0.81 per share of the Company’s outstanding common stock to stockholders of record as of the close of business on February 19, 2026, payable on February 27, 2026. We intend to continue to pay a cash dividend on a quarterly basis, subject to market conditions and approval by the Board of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11, 2025, we issued $500.0 million of the 2032 Notes. On March 31, 2025, we used the net proceeds from the 2032 Notes, along with cash on hand, to fund the repayment of all of our $500.0 million aggregate principal amount of outstanding 2025 Notes. As of December 31, 2025, we also had $750.0 million principal amount outstanding of 2.70% senior unsecured notes due 2031 and $550.0 million principal amount outstanding of 4.75% senior unsecured notes due 2027. As of December 31, 2025, we had no outstanding borrowings and $200.0 million in borrowing capacity under our credit facility which matures in 2028.</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existing cash, cash equivalents and marketable securities, and funds generated from operations, together with our ability to arrange for additional financing should be sufficient to meet our working capital, capital expenditure requirements, fund our quarterly dividend, and to service our debt for the next 12 months and beyond. We regularly assess our cash management approach and activities in view of our current and potential future needs. Our most significant future cash requirements include interest and principal payments on the senior notes issuances described above, income tax payments, purchase obligations and registry fees related to the operation of certain top-level domains. These items are detailed in Note 12, “Commitments and Contingencies” of our Notes to Consolidated Financial Statements in Item 8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summary, our cash flows were as follows:</w:t>
      </w:r>
    </w:p>
    <w:tbl>
      <w:tblPr>
        <w:tblW w:w="10074" w:type="dxa"/>
        <w:jc w:val="left"/>
        <w:tblInd w:w="0" w:type="dxa"/>
        <w:tblLayout w:type="fixed"/>
        <w:tblCellMar>
          <w:top w:w="28" w:type="dxa"/>
          <w:left w:w="28" w:type="dxa"/>
          <w:bottom w:w="28" w:type="dxa"/>
          <w:right w:w="28" w:type="dxa"/>
        </w:tblCellMar>
      </w:tblPr>
      <w:tblGrid>
        <w:gridCol w:w="2291"/>
        <w:gridCol w:w="2016"/>
        <w:gridCol w:w="2022"/>
        <w:gridCol w:w="211"/>
        <w:gridCol w:w="766"/>
        <w:gridCol w:w="109"/>
        <w:gridCol w:w="109"/>
        <w:gridCol w:w="109"/>
        <w:gridCol w:w="109"/>
        <w:gridCol w:w="214"/>
        <w:gridCol w:w="626"/>
        <w:gridCol w:w="109"/>
        <w:gridCol w:w="109"/>
        <w:gridCol w:w="109"/>
        <w:gridCol w:w="109"/>
        <w:gridCol w:w="211"/>
        <w:gridCol w:w="691"/>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Cash flows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color w:val="000000"/>
          <w:sz w:val="20"/>
        </w:rPr>
        <w:t>Net cash provided by operating activities increased in 2025 compared to 2024 primarily due to an increase in cash received from customers, decreases in cash paid for income taxes and cash paid to employees and vendors, partially offset by an increase in cash paid for interest. Cash received from customers increased primarily due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price increases and higher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registrations and renewals. Cash paid for income taxes decreased primarily due to the enactment of the Act which restored the immediate deduction of research and development expenditures for U.S. federal income taxes. Cash paid to employees and vendors decreased primarily due to the timing of payments. Cash paid for interest increased due to the payment of interest on our 2032 Notes in June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Cash flows from investing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investing activities primarily relate to purchases, maturities and sales of marketable securities, and purchases of property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decreased in 2025 compared to 2024 primarily due to a decrease in proceeds from maturities and sales of marketable securities, net of purchases of marketable securities, and a decrease in purchases of property and equipment.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Cash flows from financing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proceeds from and repayment of borrowings, share repurchases, dividend payments, payment of excise tax on share repurchases, and proceeds from our employee stock purchase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in 2025 compared to 2024 primarily due to proceeds received from the issuance of our 2032 Notes and a decrease in share repurchases, partially offset by the repayment of our 2025 Notes, dividend payments to shareholders, and an increase in the excise tax paid on share repurchases.</w:t>
      </w:r>
    </w:p>
    <w:p>
      <w:pPr>
        <w:pStyle w:val="TextBody"/>
        <w:bidi w:val="0"/>
        <w:spacing w:lineRule="auto" w:line="288" w:before="100" w:after="10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Dilution from RSUs </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Grants of stock-based awards are key components of the compensation packages we provide to attract and retain certain of our employees and align their interests with the interests of existing stockholders. We recognize that these stock-based awards dilute existing stockholders and have sought to control the number granted while providing competitive compensation packages. As of December 31, 2025, there were a total of 0.7 million unvested RSUs which represent potential dilution of less than 1.0%. This maximum potential dilution will only result if all outstanding RSUs vest and are settled. In recent years, our stock repurchase program has more than offset the dilutive effect of RSU grants to employees; however, we may reduce the level of our stock repurchases in the future if and as we use our available cash for other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pPr>
      <w:r>
        <w:rPr>
          <w:rFonts w:ascii="Times New Roman;serif" w:hAnsi="Times New Roman;serif"/>
          <w:b/>
          <w:color w:val="000000"/>
          <w:sz w:val="20"/>
        </w:rPr>
        <w:t>ITEM 7A.</w:t>
      </w:r>
      <w:r>
        <w:rPr>
          <w:color w:val="000000"/>
        </w:rPr>
        <w:t>    </w:t>
      </w:r>
      <w:r>
        <w:rPr>
          <w:rFonts w:ascii="Times New Roman;serif" w:hAnsi="Times New Roman;serif"/>
          <w:b/>
          <w:color w:val="000000"/>
          <w:sz w:val="20"/>
        </w:rPr>
        <w:t xml:space="preserve">QUANTITATIVE AND QUALITATIVE DISCLOSURES ABOUT MARKET RISK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financial market risks, including changes in interest rates and foreign exchange rates. We have not entered into any market risk sensitive instruments for trading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Interest Rate Sensitivity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fixed income securities in our investment portfolio are subject to interest rate risk. As of December 31, 2025, we had $318.4 million of fixed income securities, which consisted of U.S. Treasury bills with maturities of less than one year. A hypothetical change in interest rates by 100 basis points would not have a significant impact on the fair value of our investments.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Foreign Exchange Risk Management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business in several countries and transact in multiple foreign currencies. The functional currency for all of our international subsidiaries is the U.S. dollar. Our foreign currency risk management program is designed to mitigate foreign exchange risks associated with monetary assets and liabilities of our operations that are denominated in currencies other than the U.S. dollar. The primary objective of this program is to minimize the gains and losses to income resulting from fluctuations in exchange rates. We may choose not to hedge certain foreign exchange exposures due to immateriality, prohibitive economic cost of hedging particular exposures, and limited availability of appropriate hedging instruments. We do not enter into foreign currency transactions for trading or speculative purposes, nor do we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We attempt to limit our exposure to credit risk by executing foreign exchange contracts with financial institutions that have investment grade ratings.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held foreign currency forward contracts in notional amounts totaling $67.7 million to mitigate the impact of exchange rate fluctuations associated with certain foreign currencies. Gains or losses on the foreign currency forward contracts would be largely offset by the remeasurement of our foreign currency denominated assets and liabilities, resulting in an insignificant net impact to income. Net gains and losses from the Company’s foreign currency exposure and related hedges are included in Non-operating income, net on the Consolidated Statements of Comprehensive Income.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hypothetical uniform 10% strengthening or weakening in the value of the U.S. dollar relative to the foreign currencies in which our revenues and expenses are denominated would not result in a significant impact to our financial statements. </w:t>
      </w:r>
    </w:p>
    <w:p>
      <w:pPr>
        <w:pStyle w:val="TextBody"/>
        <w:bidi w:val="0"/>
        <w:spacing w:lineRule="auto" w:line="288" w:before="120" w:after="120"/>
        <w:jc w:val="left"/>
        <w:rPr/>
      </w:pPr>
      <w:r>
        <w:rPr>
          <w:color w:val="000000"/>
        </w:rPr>
        <w:t> </w:t>
      </w:r>
      <w:r>
        <w:rPr>
          <w:rFonts w:ascii="Times New Roman;serif" w:hAnsi="Times New Roman;serif"/>
          <w:b/>
          <w:color w:val="000000"/>
          <w:sz w:val="20"/>
        </w:rPr>
        <w:t xml:space="preserve">Market Risk Management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market values of our senior notes are subject to interest rate risk. Generally, the fair market value of fixed interest rate debt will increase as interest rates fall and decrease as interest rates rise. As of December 31, 2025, the aggregate fair value of the senior notes was $1.75 billion, based on available market information from public data sources.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ITEM 8.</w:t>
      </w:r>
      <w:r>
        <w:rPr>
          <w:color w:val="000000"/>
        </w:rPr>
        <w:t>    </w:t>
      </w:r>
      <w:r>
        <w:rPr>
          <w:rFonts w:ascii="Times New Roman;serif" w:hAnsi="Times New Roman;serif"/>
          <w:b/>
          <w:color w:val="000000"/>
          <w:sz w:val="20"/>
        </w:rPr>
        <w:t xml:space="preserve">FINANCIAL STATEMENTS AND SUPPLEMENTARY DATA </w:t>
      </w:r>
    </w:p>
    <w:p>
      <w:pPr>
        <w:pStyle w:val="TextBody"/>
        <w:bidi w:val="0"/>
        <w:spacing w:lineRule="auto" w:line="288" w:before="0" w:after="0"/>
        <w:jc w:val="left"/>
        <w:rPr>
          <w:color w:val="000000"/>
        </w:rPr>
      </w:pPr>
      <w:r>
        <w:rPr>
          <w:color w:val="000000"/>
        </w:rPr>
        <w:t> </w:t>
      </w:r>
    </w:p>
    <w:tbl>
      <w:tblPr>
        <w:tblW w:w="5490" w:type="dxa"/>
        <w:jc w:val="left"/>
        <w:tblInd w:w="0" w:type="dxa"/>
        <w:tblLayout w:type="fixed"/>
        <w:tblCellMar>
          <w:top w:w="28" w:type="dxa"/>
          <w:left w:w="28" w:type="dxa"/>
          <w:bottom w:w="28" w:type="dxa"/>
          <w:right w:w="28" w:type="dxa"/>
        </w:tblCellMar>
      </w:tblPr>
      <w:tblGrid>
        <w:gridCol w:w="1800"/>
        <w:gridCol w:w="1584"/>
        <w:gridCol w:w="1595"/>
        <w:gridCol w:w="149"/>
        <w:gridCol w:w="149"/>
        <w:gridCol w:w="213"/>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Financial Statement 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4">
              <w:r>
                <w:rPr>
                  <w:rStyle w:val="InternetLink"/>
                  <w:rFonts w:ascii="Times New Roman;serif" w:hAnsi="Times New Roman;serif"/>
                  <w:b w:val="false"/>
                  <w:color w:val="0000FF"/>
                  <w:sz w:val="20"/>
                  <w:u w:val="single"/>
                </w:rPr>
                <w:t xml:space="preserve">Reports of Independent Registered Public Accounting Firm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5f0824a78cd40128656bda5d24bc479_64">
              <w:r>
                <w:rPr>
                  <w:rStyle w:val="InternetLink"/>
                  <w:rFonts w:ascii="Times New Roman;serif" w:hAnsi="Times New Roman;serif"/>
                  <w:b w:val="false"/>
                  <w:color w:val="0000FF"/>
                  <w:sz w:val="20"/>
                  <w:u w:val="single"/>
                </w:rPr>
                <w:t>34</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7">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67">
              <w:r>
                <w:rPr>
                  <w:rStyle w:val="InternetLink"/>
                  <w:rFonts w:ascii="Times New Roman;serif" w:hAnsi="Times New Roman;serif"/>
                  <w:b w:val="false"/>
                  <w:color w:val="0000FF"/>
                  <w:sz w:val="20"/>
                  <w:u w:val="single"/>
                </w:rPr>
                <w:t>37</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3">
              <w:r>
                <w:rPr>
                  <w:rStyle w:val="InternetLink"/>
                  <w:rFonts w:ascii="Times New Roman;serif" w:hAnsi="Times New Roman;serif"/>
                  <w:b w:val="false"/>
                  <w:color w:val="0000FF"/>
                  <w:sz w:val="20"/>
                  <w:u w:val="single"/>
                </w:rPr>
                <w:t xml:space="preserve">Consolidated Statements of Comprehensive Income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3">
              <w:r>
                <w:rPr>
                  <w:rStyle w:val="InternetLink"/>
                  <w:rFonts w:ascii="Times New Roman;serif" w:hAnsi="Times New Roman;serif"/>
                  <w:b w:val="false"/>
                  <w:color w:val="0000FF"/>
                  <w:sz w:val="20"/>
                  <w:u w:val="single"/>
                </w:rPr>
                <w:t>38</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6">
              <w:r>
                <w:rPr>
                  <w:rStyle w:val="InternetLink"/>
                  <w:rFonts w:ascii="Times New Roman;serif" w:hAnsi="Times New Roman;serif"/>
                  <w:b w:val="false"/>
                  <w:color w:val="0000FF"/>
                  <w:sz w:val="20"/>
                  <w:u w:val="single"/>
                </w:rPr>
                <w:t>Consolidated Statements of Stockholders’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6">
              <w:r>
                <w:rPr>
                  <w:rStyle w:val="InternetLink"/>
                  <w:rFonts w:ascii="Times New Roman;serif" w:hAnsi="Times New Roman;serif"/>
                  <w:b w:val="false"/>
                  <w:color w:val="0000FF"/>
                  <w:sz w:val="20"/>
                  <w:u w:val="single"/>
                </w:rPr>
                <w:t>39</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9">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9">
              <w:r>
                <w:rPr>
                  <w:rStyle w:val="InternetLink"/>
                  <w:rFonts w:ascii="Times New Roman;serif" w:hAnsi="Times New Roman;serif"/>
                  <w:b w:val="false"/>
                  <w:color w:val="0000FF"/>
                  <w:sz w:val="20"/>
                  <w:u w:val="single"/>
                </w:rPr>
                <w:t>40</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82">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82">
              <w:r>
                <w:rPr>
                  <w:rStyle w:val="InternetLink"/>
                  <w:rFonts w:ascii="Times New Roman;serif" w:hAnsi="Times New Roman;serif"/>
                  <w:b w:val="false"/>
                  <w:color w:val="0000FF"/>
                  <w:sz w:val="20"/>
                  <w:u w:val="single"/>
                </w:rPr>
                <w:t>41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VeriSign, Inc.:</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VeriSign, Inc. and subsidiaries (the Company) as of December 31, 2025 and 2024, the related consolidated statements of comprehensive income, stockholders’ deficit,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5, 2026 expressed an unqualified opinion on the effectiveness of the Company’s internal control over financial reporting.</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Evaluation of accounting for income taxes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Notes 1 and 11 to the consolidated financial statements, the Company recognized $233.2 million of deferred tax assets, net as of December 31, 2025. The Company’s income tax expense was $242.8 million for the year ended December 31, 2025. The Company conducts business globally and consequently is subject to U.S. federal, state, as well as foreign income taxes in the jurisdictions it operates. The Company exercises judgment in the application of complex tax regulations in multiple jurisdictions.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the accounting for income taxes as a critical audit matter. Evaluating the Company’s application of complex tax regulations in the domestic and foreign jurisdictions it operates and the impact of those regulations on U.S. federal, state, and foreign income tax provisions required complex auditor judgment, and the use of tax professionals with specialized skills and knowledge.</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are the primary procedures we performed to address this critical audit matter. We evaluated the design and tested the operating effectiveness of certain internal controls related to the Company’s income tax process, including controls related to the application of complex tax regulations in the Company’s various tax jurisdictions and the impact on the Company’s U.S. federal, state, and foreign income tax provision. We involved domestic and international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professionals with specialized skills and knowledge in various tax jurisdictions who assisted in evaluating the Company’s analyses over the application of complex tax regulations in those jurisdictions.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McLean, Virginia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5,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VeriSign, Inc.:</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VeriSign,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deficit, and cash flows for each of the years in the three-year period ended December 31, 2025, and the related notes (collectively, the consolidated financial statements), and our report dated February 5, 2026 expressed an unqualified opinion on those consolidated financial statements.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3085"/>
        <w:gridCol w:w="2333"/>
        <w:gridCol w:w="2236"/>
        <w:gridCol w:w="211"/>
        <w:gridCol w:w="768"/>
        <w:gridCol w:w="109"/>
        <w:gridCol w:w="109"/>
        <w:gridCol w:w="109"/>
        <w:gridCol w:w="109"/>
        <w:gridCol w:w="211"/>
        <w:gridCol w:w="767"/>
        <w:gridCol w:w="158"/>
      </w:tblGrid>
      <w:tr>
        <w:trPr/>
        <w:tc>
          <w:tcPr>
            <w:tcW w:w="3085"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 acquire intangible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DEFICIT</w:t>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senior notes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notes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and other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stock—par value $.001 per share; Authorized shares: 5.0; Issued and outstanding shares: none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capital—par value $.001 per share; Authorized shares: 1,000; Issued shares: 355.6 at December 31, 2025 and 355.2 at December 31, 2024; Outstanding shares: 91.9 at December 31, 2025 and 95.0 at December 31, 2024</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tbl>
      <w:tblPr>
        <w:tblW w:w="7482" w:type="dxa"/>
        <w:jc w:val="center"/>
        <w:tblInd w:w="0" w:type="dxa"/>
        <w:tblLayout w:type="fixed"/>
        <w:tblCellMar>
          <w:top w:w="28" w:type="dxa"/>
          <w:left w:w="28" w:type="dxa"/>
          <w:bottom w:w="28" w:type="dxa"/>
          <w:right w:w="28" w:type="dxa"/>
        </w:tblCellMar>
      </w:tblPr>
      <w:tblGrid>
        <w:gridCol w:w="1277"/>
        <w:gridCol w:w="1119"/>
        <w:gridCol w:w="1129"/>
        <w:gridCol w:w="211"/>
        <w:gridCol w:w="766"/>
        <w:gridCol w:w="109"/>
        <w:gridCol w:w="109"/>
        <w:gridCol w:w="109"/>
        <w:gridCol w:w="109"/>
        <w:gridCol w:w="211"/>
        <w:gridCol w:w="766"/>
        <w:gridCol w:w="109"/>
        <w:gridCol w:w="109"/>
        <w:gridCol w:w="109"/>
        <w:gridCol w:w="109"/>
        <w:gridCol w:w="211"/>
        <w:gridCol w:w="76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8246" w:type="dxa"/>
        <w:jc w:val="center"/>
        <w:tblInd w:w="0" w:type="dxa"/>
        <w:tblLayout w:type="fixed"/>
        <w:tblCellMar>
          <w:top w:w="28" w:type="dxa"/>
          <w:left w:w="28" w:type="dxa"/>
          <w:bottom w:w="28" w:type="dxa"/>
          <w:right w:w="28" w:type="dxa"/>
        </w:tblCellMar>
      </w:tblPr>
      <w:tblGrid>
        <w:gridCol w:w="1471"/>
        <w:gridCol w:w="1295"/>
        <w:gridCol w:w="1298"/>
        <w:gridCol w:w="211"/>
        <w:gridCol w:w="841"/>
        <w:gridCol w:w="109"/>
        <w:gridCol w:w="109"/>
        <w:gridCol w:w="109"/>
        <w:gridCol w:w="109"/>
        <w:gridCol w:w="211"/>
        <w:gridCol w:w="841"/>
        <w:gridCol w:w="109"/>
        <w:gridCol w:w="109"/>
        <w:gridCol w:w="109"/>
        <w:gridCol w:w="109"/>
        <w:gridCol w:w="211"/>
        <w:gridCol w:w="841"/>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 and additional paid-in capital</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cash dividends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deficit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411"/>
        <w:gridCol w:w="2120"/>
        <w:gridCol w:w="2126"/>
        <w:gridCol w:w="213"/>
        <w:gridCol w:w="625"/>
        <w:gridCol w:w="109"/>
        <w:gridCol w:w="109"/>
        <w:gridCol w:w="109"/>
        <w:gridCol w:w="109"/>
        <w:gridCol w:w="213"/>
        <w:gridCol w:w="625"/>
        <w:gridCol w:w="109"/>
        <w:gridCol w:w="109"/>
        <w:gridCol w:w="109"/>
        <w:gridCol w:w="109"/>
        <w:gridCol w:w="213"/>
        <w:gridCol w:w="625"/>
        <w:gridCol w:w="162"/>
      </w:tblGrid>
      <w:tr>
        <w:trPr/>
        <w:tc>
          <w:tcPr>
            <w:tcW w:w="2411"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investments in debt securities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 issuance, net of issuance costs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excise tax on repurchases of common stock</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2024 AND 2023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Description of Business and Summary of Significant Accounting Policies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Description of Business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VeriSign, Inc. (“Verisign” or “the Company”) was incorporated in Delaware on April 12, 1995. The Company has one reportable segment. The Company helps enable the security, stability, and resiliency of the Domain Name System (“DNS”) and the internet by providing Root Zone Maintainer services, operating two of the thirteen global internet root servers, and providing registration services and authoritative resolution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top-level domains, which support the majority of global e-commerce.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of Verisign and its subsidiaries have been prepared in conformity with generally accepted accounting principles (“GAAP”) in the United States (“U.S.”). All significant intercompany accounts and transactions have been eliminated.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these consolidated financial statements requires management to make estimates and judgments that affect the reported amounts of assets, liabilities, revenues and expenses, and related disclosures of contingent assets and liabilities. Actual results may differ from these estimates under different assumptions or conditions.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Significant Accounting Policies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Verisign considers all highly-liquid investments purchased with original maturities of three months or less to be cash equivalents. Cash and cash equivalents include certain money market funds, debt securities and various deposit accounts. Verisign maintains its cash and cash equivalents with financial institutions that have investment grade ratings and, as part of its cash management process, performs periodic evaluations of the relative credit standing of these financial institutions.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Marketable Securities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Marketable securities primarily consist of debt securities issued by the U.S. Treasury. All marketable securities are classified as available-for-sale and are carried at fair value. Unrealized gains and losses, net of taxes, are reported as a component of Accumulated other comprehensive loss. The specific identification method is used to determine the cost basis of the marketable securities sold. The Company classifies its marketable securities as current based on their nature and availability for use in current operations. The Company amortizes the discount on debt securities purchased below par value over the term of the instrument, and recognizes the amounts as interest income included in Non-operating income, net.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Depreciation is calculated using the straight-line method over the estimated useful lives of the assets of 35 to 47 years for buildings, 10 years for building improvements and three years to six years for computer equipment, software, office equipment, and furniture and fixtures. Leasehold improvements are amortized using the straight-line method over the lesser of the estimated useful lives of the assets or associated lease terms. Certain assets included in Property and equipment, net on the Consolidated Balance Sheets were classified as held for sale. These assets were not material.</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Capitalized Software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Software included in property and equipment includes amounts paid for purchased software and development costs for internally developed software. The Company capitalized $6.0 million and $6.7 million of costs related to internally developed software during 2025 and 2024, respectively.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Goodwill and Other Long-lived Assets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consideration over fair value of net assets of businesses acquired. The Company has only one reporting unit, which has a negative carrying value. Therefore, the goodwill is not subject to impairment.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such as property, plant, and equipment are reviewed for impairment whenever events or changes in circumstances indicate that the carrying amount of an asset, or asset group, may not be recoverable. Such events or circumstances include, but are not limited to, a significant decrease in the fair value of the underlying business. Recoverability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assets to be held and used is measured by a comparison of the carrying amount of an asset, or asset group, to estimated undiscounted future cash flows expected to be generated by the asset, or asset group. An impairment charge is recognized in the amount by which the carrying amount of the asset exceeds its fair value.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As of December 31, 2025, the Company’s assets include a deposit related to the purchase of the contractual rights to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gTLD. The amount paid to date has been recorded as a deposit until such time that the contractual rights are transferred to the Company. This asset would be tested for recoverability if the Company were to determine that it is no longer probable that the rights will be transferred. At the time of the transfer of the contractual rights, the Company will record the amount as an indefinite-lived intangible asset subject to review for impairment on an annual basis or more frequently if events or changes in circumstances indicate that an impairment is more likely than not.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Remeasurement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Verisign conducts business in several different countries and transacts in multiple currencies. The functional currency for all of Verisign’s international subsidiaries is the U.S. dollar. The Company’s subsidiaries’ financial statements are remeasured into U.S. dollars using a combination of current and historical exchange rates and any remeasurement gains and losses are included in Non-operating income, net. The Company recognized net remeasurement gains of $14.7 million in 2023. Net remeasurement gains and losses were not significant in 2025 and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Verisign maintains a foreign currency risk management program designed to mitigate foreign exchange risks associated with the monetary assets and liabilities that are denominated in currencies other than the U.S. dollar. The primary objective of this program is to minimize the gains and losses resulting from fluctuations in exchange rates. The Company does not enter into foreign currency transactions for trading or speculative purposes, nor does it hedge foreign currency exposures in a manner that entirely offsets the effects of changes in exchange rates. The program may entail the use of forward or option contracts, which are derivatives and are recorded at fair market value. The Company records gains and losses on foreign currency forward contracts in Non-operating income, net. The Company recognized a $9.8 million loss related to foreign currency forward contracts in 2023. Gains and losses related to foreign currency forward contracts were not significant in 2025 and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Verisign held foreign currency forward contracts in notional amounts totaling $67.7 million to mitigate the impact of exchange rate fluctuations associated with certain assets and liabilities held in foreign currencies. </w:t>
      </w:r>
    </w:p>
    <w:p>
      <w:pPr>
        <w:pStyle w:val="TextBody"/>
        <w:bidi w:val="0"/>
        <w:spacing w:lineRule="auto" w:line="288" w:before="120" w:after="283"/>
        <w:jc w:val="left"/>
        <w:rPr/>
      </w:pPr>
      <w:r>
        <w:rPr>
          <w:rFonts w:ascii="Times New Roman;serif" w:hAnsi="Times New Roman;serif"/>
          <w:b w:val="false"/>
          <w:i/>
          <w:color w:val="000000"/>
          <w:sz w:val="20"/>
        </w:rPr>
        <w:t>Revenue Recognition</w:t>
      </w:r>
      <w:r>
        <w:rPr>
          <w:color w:val="000000"/>
        </w:rPr>
        <w:t xml:space="preserve">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Revenues are recognized when control of the promised services is transferred to customers, in an amount that reflects the consideration the Company expects to be entitled to in exchange for those services. Revenues primarily arise from fixed fees charged to registrars for the initial registration or renewal of </w:t>
      </w:r>
      <w:r>
        <w:rPr>
          <w:rFonts w:ascii="Times New Roman;serif" w:hAnsi="Times New Roman;serif"/>
          <w:b w:val="false"/>
          <w:i/>
          <w:color w:val="000000"/>
          <w:sz w:val="20"/>
        </w:rPr>
        <w:t>.com</w:t>
      </w:r>
      <w:r>
        <w:rPr>
          <w:rFonts w:ascii="Times New Roman;serif" w:hAnsi="Times New Roman;serif"/>
          <w:b w:val="false"/>
          <w:color w:val="000000"/>
          <w:sz w:val="20"/>
        </w:rPr>
        <w:t>, </w:t>
      </w:r>
      <w:r>
        <w:rPr>
          <w:rFonts w:ascii="Times New Roman;serif" w:hAnsi="Times New Roman;serif"/>
          <w:b w:val="false"/>
          <w:i/>
          <w:color w:val="000000"/>
          <w:sz w:val="20"/>
        </w:rPr>
        <w:t>.net</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 xml:space="preserve">and other domain names. Individual customers, called registrants, contract directly with registrars or their resellers, and the registrars, who are our direct customers, in turn register the domain names with Verisign. Fees for domain name registrations and renewals are generally due at the time of registration or renewal. Domain name registration terms range from one year up to ten years.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Most customers either maintain a deposit with Verisign or provide an irrevocable letter of credit in excess of the amounts owed. Verisign also offers promotional incentive-based discount programs to its registrars based upon market conditions and the business environment in which the registrars operate. Amounts payable for these programs are recorded as a reduction of revenue. </w:t>
      </w:r>
    </w:p>
    <w:p>
      <w:pPr>
        <w:pStyle w:val="TextBody"/>
        <w:bidi w:val="0"/>
        <w:spacing w:lineRule="auto" w:line="288" w:before="0" w:after="0"/>
        <w:ind w:left="0" w:right="0" w:firstLine="9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Performance Obligations</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 contract’s transaction price is allocated to each distinct performance obligation and recognized as revenue when, or as, the performance obligation is satisfied. Each domain name registration or renewal is considered a separate optional purchase and represents a single performance obligation, which is to allow its registration and maintain that registration (by allowing updates, DNS resolution and Whois and Registration Data Access Protocol services, which allow users to find information about registered domain names) through the registration term. These services are provided continuously throughout each registration term, and as such, revenues from the initial registration or renewal of domain names are deferred and recognized ratably over the registration term. Fees for renewals and advance extensions to the existing term are deferred until the new incremental period commences. These fees are then recognized ratably over the renewal or extension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ind w:left="0" w:right="0" w:firstLine="9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Costs Incurred to Obtain a Contract</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recognizes the fees payable to ICANN for each annual term of domain name registrations and renewals as an asset, which is amortized on a straight-line basis over the related registration term. These assets are included in Other current assets and Other long-term assets.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Verisign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net operating loss carryforwards. Deferred tax assets and liabilities are measured using enacted tax rates expected to apply to taxable income in the years in which those temporary differences are expected to be recovered or settled. The Company records a valuation allowance to reduce deferred tax assets to an amount whose realization is more likely than not. The Company does not consider various minimum taxes imposed in certain jurisdictions for purposes of evaluating whether a deferred tax asset will be realized. For every tax-paying component and within each tax jurisdiction, all deferred tax liabilities and assets are offset and presented as a single net noncurrent asset or liability. </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recognizes the U.S. income tax effect of future global intangible low-taxed income inclusions in the period in which they arise.</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income taxes payable are reduced by the tax benefits from restricted stock unit (“RSU”) vestings equal to the fair market value of the stock at the vesting date. If the income tax benefit at the vesting date differs from the income tax benefit recorded based on the grant date fair value of the RSUs, the excess or shortfall of the tax benefit is recognized within income tax expense. </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Verisign operates in multiple tax jurisdictions in the United States and internationally. Tax laws and regulations in these jurisdictions are complex, interrelated, and periodically changing. Significant judgment or interpretation of these laws and regulations is often required in determining the Company’s worldwide provision for income taxes, including, for example, the calculations of taxable income in each jurisdiction, deferred taxes, and the availability and amount of deductions and tax credits. The final taxes payable are dependent upon many factors, including negotiations with taxing authorities in various jurisdictions and resolution of disputes arising from various tax examinations. The Company only recognizes tax positions taken or expected to be taken on its tax returns that are more likely than not to be sustained upon examination, and records a tax benefit amount that is more likely than not to be realized upon ultimate settlement with the taxing authority. The Company adjusts its estimate of unrecognized tax benefits in light of changing facts and circumstances; however, due to the complexity of some of these uncertainties, the ultimate resolution may result in an outcome that is materially different from the estimate. See Note 11, “Income Taxes,” for details of the changes to the Company’s unrecognized tax benefits for the periods presented.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stock-based compensation consists of RSUs granted to employees and the employee stock purchase plan (“ESPP”). Stock-based compensation expense is typically recognized ratably over the requisite service period. Forfeitures of stock-based awards are recognized as they occur. As substantially all of the RSUs granted by the Company are routine annual grants, none of the awards are designed to be spring-loaded, and as such, the Company does not adjust the market price of its common stock when estimating the grant-date fair value of these awards. The Company also grants RSUs which include performance conditions, and in some cases market conditions, to certain executives. The expense for these performance-based RSUs is recognized based on the probable outcome of the performance conditions. The expense recognized for awards with market conditions is based on the grant date fair value of the awards including the impact of the market conditions, using a Monte Carlo simulation model. The Company uses the Black-Scholes option pricing model to determine the fair value of its ESPP offerings. The determination of the fair value of stock-based payment awards using the Monte Carlo simulation model or the Black-Scholes option-pricing model is affected by the Company’s stock price as well as assumptions regarding a number of complex and subjective variables.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computes basic earnings per share by dividing net income by the weighted-average number of common shares outstanding during the period. Diluted earnings per share gives effect to dilutive potential common shares, including unvested RSUs and ESPP offerings, using the treasury stock method.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225"/>
        <w:jc w:val="left"/>
        <w:rPr/>
      </w:pPr>
      <w:r>
        <w:rPr>
          <w:color w:val="000000"/>
        </w:rPr>
        <w:t>•</w:t>
      </w:r>
      <w:r>
        <w:rPr>
          <w:rFonts w:ascii="Times New Roman;serif" w:hAnsi="Times New Roman;serif"/>
          <w:b w:val="false"/>
          <w:color w:val="000000"/>
          <w:sz w:val="20"/>
        </w:rPr>
        <w:t xml:space="preserve">Level 1: Observable inputs that reflect quoted prices (unadjusted) for identical assets or liabilities in active markets. </w:t>
      </w:r>
    </w:p>
    <w:p>
      <w:pPr>
        <w:pStyle w:val="TextBody"/>
        <w:bidi w:val="0"/>
        <w:spacing w:lineRule="auto" w:line="288" w:before="0" w:after="0"/>
        <w:ind w:left="0" w:right="0" w:hanging="225"/>
        <w:jc w:val="left"/>
        <w:rPr/>
      </w:pPr>
      <w:r>
        <w:rPr>
          <w:color w:val="000000"/>
        </w:rPr>
        <w:t>•</w:t>
      </w:r>
      <w:r>
        <w:rPr>
          <w:rFonts w:ascii="Times New Roman;serif" w:hAnsi="Times New Roman;serif"/>
          <w:b w:val="false"/>
          <w:color w:val="000000"/>
          <w:sz w:val="20"/>
        </w:rPr>
        <w:t xml:space="preserve">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lineRule="auto" w:line="288" w:before="0" w:after="0"/>
        <w:ind w:left="0" w:right="0" w:hanging="225"/>
        <w:jc w:val="left"/>
        <w:rPr/>
      </w:pPr>
      <w:r>
        <w:rPr>
          <w:color w:val="000000"/>
        </w:rPr>
        <w:t>•</w:t>
      </w:r>
      <w:r>
        <w:rPr>
          <w:rFonts w:ascii="Times New Roman;serif" w:hAnsi="Times New Roman;serif"/>
          <w:b w:val="false"/>
          <w:color w:val="000000"/>
          <w:sz w:val="20"/>
        </w:rPr>
        <w:t xml:space="preserve">Level 3: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Proceedings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Verisign is involved in various investigations, claims and lawsuits arising in the normal conduct of its business, none of which, in its opinion, will have a material adverse effect on its financial condition, results of operations, or cash flows. The Company can provide no assurance that it will prevail in any litigation. Regardless of the outcome, any litigation may require the Company to incur significant litigation expense and may result in significant diversion of management attention.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certain legal proceedings and related indemnification obligations to which the Company is a party specify the amounts claimed, such claims may not represent reasonably possible losses. Given the inherent uncertainties of the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developments in each matter or changes in approach such as a change in settlement strategy in dealing with these matters. The Company does not believe that any such matter currently being reviewed will have a material adverse effect on its financial condition, results of operations, or cash flows.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Adoption of New Accounting Standards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The Company adopted Accounting Standards Update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This guidance has been applied prospectively. The adoption of ASU 2023-09 did not have a material impact on the Company’s consolidated financial statements. Refer to Note 11, “Income Taxes,” for income tax disclosures.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additional disclosure of certain costs and expenses within the notes to the financial statements. This guidance will be effective for our 2027 Form 10-K. We do not expect the adoption of this guidance to have a material impact on our consolidated financial statements.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certain aspects of the accounting for and disclosure of internal-use software costs. The ASU does not change what types of costs are capitalized or when internal-use software cost capitalization ceases. This guidance will be effective for the Company in 2028. We do not expect the adoption of this guidance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Financial Instruments</w:t>
      </w:r>
    </w:p>
    <w:p>
      <w:pPr>
        <w:pStyle w:val="TextBody"/>
        <w:bidi w:val="0"/>
        <w:spacing w:lineRule="auto" w:line="288" w:before="1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Marketable Securities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cash, cash equivalents, and marketable securities and the fair value categorization of the financial instruments measured at fair value on a recurring basis: </w:t>
      </w:r>
    </w:p>
    <w:tbl>
      <w:tblPr>
        <w:tblW w:w="6578" w:type="dxa"/>
        <w:jc w:val="left"/>
        <w:tblInd w:w="0" w:type="dxa"/>
        <w:tblLayout w:type="fixed"/>
        <w:tblCellMar>
          <w:top w:w="28" w:type="dxa"/>
          <w:left w:w="28" w:type="dxa"/>
          <w:bottom w:w="28" w:type="dxa"/>
          <w:right w:w="28" w:type="dxa"/>
        </w:tblCellMar>
      </w:tblPr>
      <w:tblGrid>
        <w:gridCol w:w="1561"/>
        <w:gridCol w:w="1373"/>
        <w:gridCol w:w="1400"/>
        <w:gridCol w:w="211"/>
        <w:gridCol w:w="616"/>
        <w:gridCol w:w="109"/>
        <w:gridCol w:w="109"/>
        <w:gridCol w:w="109"/>
        <w:gridCol w:w="109"/>
        <w:gridCol w:w="211"/>
        <w:gridCol w:w="61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(Level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the U.S. Treasury (Level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gross and net unrealized gains and losses included in the fair value of the debt securities were not significant for the periods presented. All of the debt securities held as of December 31, 2025 are scheduled to mature in less than one year. </w:t>
      </w:r>
    </w:p>
    <w:p>
      <w:pPr>
        <w:pStyle w:val="TextBody"/>
        <w:bidi w:val="0"/>
        <w:spacing w:lineRule="auto" w:line="288" w:before="1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are classified as Level 1 in the fair value hierarchy.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other financial instruments include cash, accounts receivable, restricted cash, and accounts payable whose carrying values approximated their face values. The aggregate fair value of the Company’s senior notes is $1.75 billion and $1.69 billion as of December 31, 2025 and 2024, respectively. The fair values of these debt instruments are based on available market information from public data sources and are classified as Level 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Selected Balance Sheet Items</w:t>
      </w:r>
    </w:p>
    <w:p>
      <w:pPr>
        <w:pStyle w:val="TextBody"/>
        <w:bidi w:val="0"/>
        <w:spacing w:lineRule="auto" w:line="288" w:before="1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Other current assets consist of the following:</w:t>
      </w:r>
      <w:r>
        <w:rPr>
          <w:color w:val="000000"/>
        </w:rPr>
        <w:t> </w:t>
      </w:r>
    </w:p>
    <w:tbl>
      <w:tblPr>
        <w:tblW w:w="4179" w:type="dxa"/>
        <w:jc w:val="left"/>
        <w:tblInd w:w="0" w:type="dxa"/>
        <w:tblLayout w:type="fixed"/>
        <w:tblCellMar>
          <w:top w:w="28" w:type="dxa"/>
          <w:left w:w="28" w:type="dxa"/>
          <w:bottom w:w="28" w:type="dxa"/>
          <w:right w:w="28" w:type="dxa"/>
        </w:tblCellMar>
      </w:tblPr>
      <w:tblGrid>
        <w:gridCol w:w="777"/>
        <w:gridCol w:w="681"/>
        <w:gridCol w:w="687"/>
        <w:gridCol w:w="211"/>
        <w:gridCol w:w="511"/>
        <w:gridCol w:w="109"/>
        <w:gridCol w:w="109"/>
        <w:gridCol w:w="109"/>
        <w:gridCol w:w="109"/>
        <w:gridCol w:w="211"/>
        <w:gridCol w:w="51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registry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property and equipment, net:</w:t>
      </w:r>
    </w:p>
    <w:tbl>
      <w:tblPr>
        <w:tblW w:w="5469" w:type="dxa"/>
        <w:jc w:val="center"/>
        <w:tblInd w:w="0" w:type="dxa"/>
        <w:tblLayout w:type="fixed"/>
        <w:tblCellMar>
          <w:top w:w="28" w:type="dxa"/>
          <w:left w:w="28" w:type="dxa"/>
          <w:bottom w:w="28" w:type="dxa"/>
          <w:right w:w="28" w:type="dxa"/>
        </w:tblCellMar>
      </w:tblPr>
      <w:tblGrid>
        <w:gridCol w:w="1168"/>
        <w:gridCol w:w="1025"/>
        <w:gridCol w:w="1032"/>
        <w:gridCol w:w="211"/>
        <w:gridCol w:w="616"/>
        <w:gridCol w:w="109"/>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property and equipment were held in the U.S. for both periods presented.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Goodwill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goodwill:</w:t>
      </w:r>
    </w:p>
    <w:tbl>
      <w:tblPr>
        <w:tblW w:w="5498" w:type="dxa"/>
        <w:jc w:val="center"/>
        <w:tblInd w:w="0" w:type="dxa"/>
        <w:tblLayout w:type="fixed"/>
        <w:tblCellMar>
          <w:top w:w="28" w:type="dxa"/>
          <w:left w:w="28" w:type="dxa"/>
          <w:bottom w:w="28" w:type="dxa"/>
          <w:right w:w="28" w:type="dxa"/>
        </w:tblCellMar>
      </w:tblPr>
      <w:tblGrid>
        <w:gridCol w:w="1070"/>
        <w:gridCol w:w="939"/>
        <w:gridCol w:w="945"/>
        <w:gridCol w:w="211"/>
        <w:gridCol w:w="766"/>
        <w:gridCol w:w="109"/>
        <w:gridCol w:w="109"/>
        <w:gridCol w:w="109"/>
        <w:gridCol w:w="109"/>
        <w:gridCol w:w="211"/>
        <w:gridCol w:w="76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impairment of goodwill or other long-lived assets recognized in any of the periods presented.</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Deposits to Acquire Intangible Assets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Company’s Deposits to acquire intangible assets represents the $145.2 million paid for the future assignment to the Company of contractual rights to the </w:t>
      </w:r>
      <w:r>
        <w:rPr>
          <w:rFonts w:ascii="Times New Roman;serif" w:hAnsi="Times New Roman;serif"/>
          <w:b w:val="false"/>
          <w:i/>
          <w:color w:val="000000"/>
          <w:sz w:val="20"/>
        </w:rPr>
        <w:t>.web</w:t>
      </w:r>
      <w:r>
        <w:rPr>
          <w:color w:val="000000"/>
        </w:rPr>
        <w:t> </w:t>
      </w:r>
      <w:r>
        <w:rPr>
          <w:rFonts w:ascii="Times New Roman;serif" w:hAnsi="Times New Roman;serif"/>
          <w:b w:val="false"/>
          <w:color w:val="000000"/>
          <w:sz w:val="20"/>
        </w:rPr>
        <w:t xml:space="preserve">gTLD, pending resolution of objections by other applicants, and approval from ICANN.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Long-Term Assets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Other long-term assets consist of the following:</w:t>
      </w:r>
      <w:r>
        <w:rPr>
          <w:color w:val="000000"/>
        </w:rPr>
        <w:t> </w:t>
      </w:r>
    </w:p>
    <w:tbl>
      <w:tblPr>
        <w:tblW w:w="4839" w:type="dxa"/>
        <w:jc w:val="center"/>
        <w:tblInd w:w="0" w:type="dxa"/>
        <w:tblLayout w:type="fixed"/>
        <w:tblCellMar>
          <w:top w:w="28" w:type="dxa"/>
          <w:left w:w="28" w:type="dxa"/>
          <w:bottom w:w="28" w:type="dxa"/>
          <w:right w:w="28" w:type="dxa"/>
        </w:tblCellMar>
      </w:tblPr>
      <w:tblGrid>
        <w:gridCol w:w="1016"/>
        <w:gridCol w:w="892"/>
        <w:gridCol w:w="897"/>
        <w:gridCol w:w="211"/>
        <w:gridCol w:w="511"/>
        <w:gridCol w:w="109"/>
        <w:gridCol w:w="109"/>
        <w:gridCol w:w="109"/>
        <w:gridCol w:w="109"/>
        <w:gridCol w:w="211"/>
        <w:gridCol w:w="51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registry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450"/>
        <w:jc w:val="left"/>
        <w:rPr/>
      </w:pPr>
      <w:r>
        <w:rPr>
          <w:rFonts w:ascii="Times New Roman;serif" w:hAnsi="Times New Roman;serif"/>
          <w:b w:val="false"/>
          <w:color w:val="000000"/>
          <w:sz w:val="20"/>
        </w:rPr>
        <w:t>The prepaid registry fees in the tables above primarily relate to the fees the Company pays to ICANN for each annual term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which are deferred and amortized over the domain name registration term. The amount of prepaid registry fees as of December 31, 2025 reflects amortization of $42.0 million during 2025 which was recorded in Cost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Accounts payable and accrued liabilities consist of the following:</w:t>
      </w:r>
      <w:r>
        <w:rPr>
          <w:color w:val="000000"/>
        </w:rPr>
        <w:t> </w:t>
      </w:r>
    </w:p>
    <w:tbl>
      <w:tblPr>
        <w:tblW w:w="6099" w:type="dxa"/>
        <w:jc w:val="left"/>
        <w:tblInd w:w="0" w:type="dxa"/>
        <w:tblLayout w:type="fixed"/>
        <w:tblCellMar>
          <w:top w:w="28" w:type="dxa"/>
          <w:left w:w="28" w:type="dxa"/>
          <w:bottom w:w="28" w:type="dxa"/>
          <w:right w:w="28" w:type="dxa"/>
        </w:tblCellMar>
      </w:tblPr>
      <w:tblGrid>
        <w:gridCol w:w="1397"/>
        <w:gridCol w:w="1227"/>
        <w:gridCol w:w="1231"/>
        <w:gridCol w:w="211"/>
        <w:gridCol w:w="616"/>
        <w:gridCol w:w="109"/>
        <w:gridCol w:w="109"/>
        <w:gridCol w:w="109"/>
        <w:gridCol w:w="109"/>
        <w:gridCol w:w="211"/>
        <w:gridCol w:w="61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registry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incentives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operating lease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Customer deposits varies from period to period due to the timing of payments from certain large customers. Accrued employee compensation primarily consists of liabilities for employee leave, salaries, payroll taxes, employee contributions to the employee stock purchase plan, and incentive compensation.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Long-term Tax and Other Liabilities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Long-term tax and other liabilities consist of the following:</w:t>
      </w:r>
      <w:r>
        <w:rPr>
          <w:color w:val="000000"/>
        </w:rPr>
        <w:t> </w:t>
      </w:r>
    </w:p>
    <w:tbl>
      <w:tblPr>
        <w:tblW w:w="5004" w:type="dxa"/>
        <w:jc w:val="left"/>
        <w:tblInd w:w="0" w:type="dxa"/>
        <w:tblLayout w:type="fixed"/>
        <w:tblCellMar>
          <w:top w:w="28" w:type="dxa"/>
          <w:left w:w="28" w:type="dxa"/>
          <w:bottom w:w="28" w:type="dxa"/>
          <w:right w:w="28" w:type="dxa"/>
        </w:tblCellMar>
      </w:tblPr>
      <w:tblGrid>
        <w:gridCol w:w="1112"/>
        <w:gridCol w:w="980"/>
        <w:gridCol w:w="983"/>
        <w:gridCol w:w="211"/>
        <w:gridCol w:w="40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Debt</w:t>
      </w:r>
    </w:p>
    <w:p>
      <w:pPr>
        <w:pStyle w:val="TextBody"/>
        <w:bidi w:val="0"/>
        <w:spacing w:lineRule="auto" w:line="288" w:before="120" w:after="12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our senior notes:</w:t>
      </w:r>
    </w:p>
    <w:tbl>
      <w:tblPr>
        <w:tblW w:w="10205" w:type="dxa"/>
        <w:jc w:val="left"/>
        <w:tblInd w:w="0" w:type="dxa"/>
        <w:tblLayout w:type="fixed"/>
        <w:tblCellMar>
          <w:top w:w="28" w:type="dxa"/>
          <w:left w:w="28" w:type="dxa"/>
          <w:bottom w:w="28" w:type="dxa"/>
          <w:right w:w="28" w:type="dxa"/>
        </w:tblCellMar>
      </w:tblPr>
      <w:tblGrid>
        <w:gridCol w:w="1341"/>
        <w:gridCol w:w="1162"/>
        <w:gridCol w:w="1173"/>
        <w:gridCol w:w="109"/>
        <w:gridCol w:w="109"/>
        <w:gridCol w:w="109"/>
        <w:gridCol w:w="451"/>
        <w:gridCol w:w="451"/>
        <w:gridCol w:w="454"/>
        <w:gridCol w:w="405"/>
        <w:gridCol w:w="405"/>
        <w:gridCol w:w="407"/>
        <w:gridCol w:w="255"/>
        <w:gridCol w:w="256"/>
        <w:gridCol w:w="571"/>
        <w:gridCol w:w="211"/>
        <w:gridCol w:w="766"/>
        <w:gridCol w:w="109"/>
        <w:gridCol w:w="109"/>
        <w:gridCol w:w="109"/>
        <w:gridCol w:w="109"/>
        <w:gridCol w:w="211"/>
        <w:gridCol w:w="766"/>
        <w:gridCol w:w="157"/>
      </w:tblGrid>
      <w:tr>
        <w:trPr/>
        <w:tc>
          <w:tcPr>
            <w:tcW w:w="134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2547"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interest rates)</w:t>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notes due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27, 2015</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notes due 2027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5, 2017</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15, 2027</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notes due 2031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8, 2021</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2031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11, 2025</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2032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 of senior notes due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long-term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11, 2025, the Company issued $500.0 million of 5.25% senior unsecured notes due June 1, 2032 (“2032 Notes”). The 2032 Notes were issued at 99.581% of par value. Interest payments on the 2032 Notes commenced June 1, 2025 and are due semi-annually. The total discount and issuance costs of $6.7 million are presented on the balance sheet as a reduction of the debt obligation and are being amortized to Interest expense over the 7-year term of the notes.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31, 2025, the Company used the net proceeds from the 2032 Notes and cash on hand to fund the repayment of all of its $500.0 million aggregate principal amount of outstanding 5.25% senior unsecured notes (“2025 Notes”), prior to their maturity on April 1, 2025.</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$750.0 million of 2.70% senior unsecured notes due June 15, 2031 were issued at 99.712% of par value. The $550.0 million of 4.75% senior unsecured notes due July 15, 2027 were issued at par. All outstanding senior notes are senior unsecured obligations of the Company. Each of the senior notes issuances is redeemable, in whole or in part, at the Company’s option at times and redemption prices specified in the indentures. Interest is payable on each of the senior notes semi-annually. Cash paid for interest was $78.7 million in 2025 and $72.8 million each in 2024 and 2023. </w:t>
      </w:r>
    </w:p>
    <w:p>
      <w:pPr>
        <w:pStyle w:val="TextBody"/>
        <w:bidi w:val="0"/>
        <w:spacing w:lineRule="auto" w:line="288" w:before="120" w:after="100"/>
        <w:jc w:val="left"/>
        <w:rPr>
          <w:rFonts w:ascii="Times New Roman;serif" w:hAnsi="Times New Roman;serif"/>
          <w:b w:val="false"/>
          <w:i/>
          <w:color w:val="000000"/>
          <w:sz w:val="20"/>
        </w:rPr>
      </w:pPr>
      <w:r>
        <w:rPr>
          <w:rFonts w:ascii="Times New Roman;serif" w:hAnsi="Times New Roman;serif"/>
          <w:b w:val="false"/>
          <w:i/>
          <w:color w:val="000000"/>
          <w:sz w:val="20"/>
        </w:rPr>
        <w:t xml:space="preserve">2023 Credit Facility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6, 2023, the Company entered into a credit agreement for a $200.0 million committed unsecured revolving credit facility (the “2023 Credit Facility”) which takes the place of its prior unsecured revolving credit facility. The 2023 Credit Facility includes a financial covenant requiring that the Company’s leverage ratio not exceed 4.0 to 1.0, which may be increased subject to certain conditions defined in the 2023 Credit Facility Agreement. As of December 31, 2025, there were no borrowings outstanding under the 2023 Credit Facility, and the Company was in compliance with the financial covenants. The 2023 Credit Facility expires on December 6, 2028, at which time any outstanding borrowings are due. Verisign may from time to time request lenders to agree on a discretionary basis to increase the commitment amount by up to an aggregate of $150.0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Stockholders’ Deficit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Treasury Stock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Treasury stock is accounted for under the cost method. Treasury stock includes shares repurchased under stock repurchase programs and shares withheld in lieu of the tax withholding due upon vesting of RSUs.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July 24, 2025, the Company’s Board of Directors authorized the repurchase of its common stock in the amount of approximately $913.1 million, in addition to the $586.9 million that remained available for repurchases under the share repurchase program, for a total authorization of up to $1.50 billion under the program. The program has no expiration date. Purchases made under the program could be effected through open market transactions, block purchases, accelerated share repurchase agreements or other negotiated transactions. As of December 31, 2025, there was approximately $1.08 billion remaining available for repurchases under the program.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summary of the Company’s common stock repurchases are as follows:</w:t>
      </w:r>
    </w:p>
    <w:tbl>
      <w:tblPr>
        <w:tblW w:w="10205" w:type="dxa"/>
        <w:jc w:val="center"/>
        <w:tblInd w:w="0" w:type="dxa"/>
        <w:tblLayout w:type="fixed"/>
        <w:tblCellMar>
          <w:top w:w="28" w:type="dxa"/>
          <w:left w:w="28" w:type="dxa"/>
          <w:bottom w:w="28" w:type="dxa"/>
          <w:right w:w="28" w:type="dxa"/>
        </w:tblCellMar>
      </w:tblPr>
      <w:tblGrid>
        <w:gridCol w:w="886"/>
        <w:gridCol w:w="711"/>
        <w:gridCol w:w="715"/>
        <w:gridCol w:w="211"/>
        <w:gridCol w:w="616"/>
        <w:gridCol w:w="109"/>
        <w:gridCol w:w="109"/>
        <w:gridCol w:w="109"/>
        <w:gridCol w:w="109"/>
        <w:gridCol w:w="219"/>
        <w:gridCol w:w="751"/>
        <w:gridCol w:w="113"/>
        <w:gridCol w:w="109"/>
        <w:gridCol w:w="109"/>
        <w:gridCol w:w="109"/>
        <w:gridCol w:w="211"/>
        <w:gridCol w:w="766"/>
        <w:gridCol w:w="109"/>
        <w:gridCol w:w="109"/>
        <w:gridCol w:w="109"/>
        <w:gridCol w:w="109"/>
        <w:gridCol w:w="219"/>
        <w:gridCol w:w="751"/>
        <w:gridCol w:w="113"/>
        <w:gridCol w:w="109"/>
        <w:gridCol w:w="109"/>
        <w:gridCol w:w="109"/>
        <w:gridCol w:w="211"/>
        <w:gridCol w:w="616"/>
        <w:gridCol w:w="109"/>
        <w:gridCol w:w="109"/>
        <w:gridCol w:w="109"/>
        <w:gridCol w:w="109"/>
        <w:gridCol w:w="219"/>
        <w:gridCol w:w="749"/>
        <w:gridCol w:w="166"/>
      </w:tblGrid>
      <w:tr>
        <w:trPr/>
        <w:tc>
          <w:tcPr>
            <w:tcW w:w="88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average price amounts)</w:t>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under the repurchase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for tax withholdings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the Company has repurchased 263.7 million shares of its common stock for an aggregate cost of $15.76 billion, which is recorded as a reduction of Additional paid-in capital. The share repurchase and authorization amounts disclosed within this Form 10-K exclude the excise tax on share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initiated a quarterly cash dividend in April 2025. A summary of the Company’s dividend activities for the periods presented is as follows:</w:t>
      </w:r>
    </w:p>
    <w:tbl>
      <w:tblPr>
        <w:tblW w:w="7042" w:type="dxa"/>
        <w:jc w:val="left"/>
        <w:tblInd w:w="0" w:type="dxa"/>
        <w:tblLayout w:type="fixed"/>
        <w:tblCellMar>
          <w:top w:w="28" w:type="dxa"/>
          <w:left w:w="28" w:type="dxa"/>
          <w:bottom w:w="28" w:type="dxa"/>
          <w:right w:w="28" w:type="dxa"/>
        </w:tblCellMar>
      </w:tblPr>
      <w:tblGrid>
        <w:gridCol w:w="626"/>
        <w:gridCol w:w="547"/>
        <w:gridCol w:w="552"/>
        <w:gridCol w:w="109"/>
        <w:gridCol w:w="109"/>
        <w:gridCol w:w="109"/>
        <w:gridCol w:w="569"/>
        <w:gridCol w:w="569"/>
        <w:gridCol w:w="571"/>
        <w:gridCol w:w="109"/>
        <w:gridCol w:w="109"/>
        <w:gridCol w:w="109"/>
        <w:gridCol w:w="402"/>
        <w:gridCol w:w="976"/>
        <w:gridCol w:w="207"/>
        <w:gridCol w:w="114"/>
        <w:gridCol w:w="114"/>
        <w:gridCol w:w="114"/>
        <w:gridCol w:w="221"/>
        <w:gridCol w:w="645"/>
        <w:gridCol w:w="161"/>
      </w:tblGrid>
      <w:tr>
        <w:trPr/>
        <w:tc>
          <w:tcPr>
            <w:tcW w:w="62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Dividend Per Share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dividends were accounted for as a reduction of Additional paid-in capital. On February 3, 2026, our Board of Directors declared a cash dividend of $0.81 per share of the Company’s outstanding common stock to stockholders of record as of the close of business on February 19, 2026, payable on February 27, 2026. The Company intends to continue to pay a cash dividend on a quarterly basis, subject to market conditions and approval by the Company’s Board of Directors.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Accumulated other comprehensive loss balances as of December 31, 2025 and 2024 primarily consists of foreign currency translation adjustment losses. There were no significant changes to accumulated other comprehensive loss balances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6. Calculation of Earnings per Share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weighted-average shares used in the calculation of basic and diluted earnings per share:</w:t>
      </w:r>
    </w:p>
    <w:tbl>
      <w:tblPr>
        <w:tblW w:w="8024" w:type="dxa"/>
        <w:jc w:val="left"/>
        <w:tblInd w:w="0" w:type="dxa"/>
        <w:tblLayout w:type="fixed"/>
        <w:tblCellMar>
          <w:top w:w="28" w:type="dxa"/>
          <w:left w:w="28" w:type="dxa"/>
          <w:bottom w:w="28" w:type="dxa"/>
          <w:right w:w="28" w:type="dxa"/>
        </w:tblCellMar>
      </w:tblPr>
      <w:tblGrid>
        <w:gridCol w:w="1973"/>
        <w:gridCol w:w="1732"/>
        <w:gridCol w:w="1739"/>
        <w:gridCol w:w="203"/>
        <w:gridCol w:w="203"/>
        <w:gridCol w:w="156"/>
        <w:gridCol w:w="132"/>
        <w:gridCol w:w="132"/>
        <w:gridCol w:w="132"/>
        <w:gridCol w:w="203"/>
        <w:gridCol w:w="203"/>
        <w:gridCol w:w="156"/>
        <w:gridCol w:w="132"/>
        <w:gridCol w:w="132"/>
        <w:gridCol w:w="132"/>
        <w:gridCol w:w="203"/>
        <w:gridCol w:w="203"/>
        <w:gridCol w:w="258"/>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shares of common stock outstanding:</w:t>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ESPP</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share</w:t>
            </w:r>
          </w:p>
        </w:tc>
        <w:tc>
          <w:tcPr>
            <w:tcW w:w="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Segment Information</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that includes all the operations of the business. The segment’s chief operating decision maker is the Executive Chairman, President, and Chief Executive Officer. The chief operating decision maker assesses performance and decides how to allocate resources based on revenues, operating income and net income as reported on the Consolidated Statement of Comprehensive Income.</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operating income and net income are used to evaluate budget versus actual results and the overall return generated by the segment assets. The analysis of these financial results, among other metrics, is used to assess performance and drives employee incentive compensation, as well as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segment revenues, significant expenses and profits:</w:t>
      </w:r>
    </w:p>
    <w:tbl>
      <w:tblPr>
        <w:tblW w:w="7077" w:type="dxa"/>
        <w:jc w:val="left"/>
        <w:tblInd w:w="0" w:type="dxa"/>
        <w:tblLayout w:type="fixed"/>
        <w:tblCellMar>
          <w:top w:w="28" w:type="dxa"/>
          <w:left w:w="28" w:type="dxa"/>
          <w:bottom w:w="28" w:type="dxa"/>
          <w:right w:w="28" w:type="dxa"/>
        </w:tblCellMar>
      </w:tblPr>
      <w:tblGrid>
        <w:gridCol w:w="1131"/>
        <w:gridCol w:w="991"/>
        <w:gridCol w:w="998"/>
        <w:gridCol w:w="211"/>
        <w:gridCol w:w="766"/>
        <w:gridCol w:w="109"/>
        <w:gridCol w:w="109"/>
        <w:gridCol w:w="109"/>
        <w:gridCol w:w="109"/>
        <w:gridCol w:w="211"/>
        <w:gridCol w:w="766"/>
        <w:gridCol w:w="109"/>
        <w:gridCol w:w="109"/>
        <w:gridCol w:w="109"/>
        <w:gridCol w:w="109"/>
        <w:gridCol w:w="211"/>
        <w:gridCol w:w="76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Registry fee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items that are a part of the Company’s segment net income include professional services expenses, legal expenses, telecommunication expenses, marketing expenses, occupancy expenses, and travel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8. Revenues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revenues in the U.S.; Europe, the Middle East and Africa (“EMEA”); Australia, China, Japan, Singapore, and other Asia Pacific countries (“APAC”); and certain other countries, including Canada and Latin American countries.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 based on the billing addresses of our customers:</w:t>
      </w:r>
    </w:p>
    <w:tbl>
      <w:tblPr>
        <w:tblW w:w="5276" w:type="dxa"/>
        <w:jc w:val="center"/>
        <w:tblInd w:w="0" w:type="dxa"/>
        <w:tblLayout w:type="fixed"/>
        <w:tblCellMar>
          <w:top w:w="28" w:type="dxa"/>
          <w:left w:w="28" w:type="dxa"/>
          <w:bottom w:w="28" w:type="dxa"/>
          <w:right w:w="28" w:type="dxa"/>
        </w:tblCellMar>
      </w:tblPr>
      <w:tblGrid>
        <w:gridCol w:w="475"/>
        <w:gridCol w:w="417"/>
        <w:gridCol w:w="427"/>
        <w:gridCol w:w="211"/>
        <w:gridCol w:w="766"/>
        <w:gridCol w:w="109"/>
        <w:gridCol w:w="109"/>
        <w:gridCol w:w="109"/>
        <w:gridCol w:w="109"/>
        <w:gridCol w:w="211"/>
        <w:gridCol w:w="766"/>
        <w:gridCol w:w="109"/>
        <w:gridCol w:w="109"/>
        <w:gridCol w:w="109"/>
        <w:gridCol w:w="109"/>
        <w:gridCol w:w="211"/>
        <w:gridCol w:w="76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Major Customers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largest customer accounted for approximately 31% of revenues in 2025, and approximately 32% of revenues in 2024 and 2023. The Company does not believe that the loss of this customer would have a material adverse effect on the Company’s business because, in that event, end-users of this customer would transfer to the Company’s other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Deferred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payment for domain name registrations and renewals are due in advance of the Company’s performance, the Company records these amounts as deferred revenues. The increase in the deferred revenues balance in 2025 was primarily driven by amounts billed in 2025 for domain name registrations and renewals to be recognized as revenues in future periods, offset by refunds for domain name renewals deleted during the 45-day grace period, and $934.7 million of revenues recognized that were included in the deferred revenues balance at December 31, 2024. The balance of deferred revenues as of December 31, 2025 represents the Company’s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Employee Benefits and Stock-based Compensation</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401(k) Plan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defined contribution 401(k) plan (the “401(k) Plan”) for substantially all of its U.S. employees. Under the 401(k) Plan, eligible employees may contribute up to 50% of their pre-tax salary, subject to the Internal Revenue Service (“IRS”) annual contribution limits. The Company matches 50% of up to the first 8% of the employee’s annual salary contributed to the plan. The Company contributed $6.4 million in 2025, $6.0 million in 2024, and $5.8 million in 2023 under the 401(k) Plan. The Company can terminate matching contributions at its discretion at any time.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Verisign’s stock-based compensation relates to RSUs granted under the 2006 Equity Incentive Plan (the “2006 Plan”). As of December 31, 2025, a total of 7.0 million shares of common stock remain reserved for issuance upon the vesting of RSUs and for the future grant of equity awards. The 2006 Plan authorizes the award of incentive stock options to employees and non-qualified stock options, restricted stock awards, RSUs, stock bonus awards, stock appreciation rights and performance shares to eligible employees, officers, directors, consultants, independent contractors and advisers. The 2006 Plan is administered by the Compensation Committee which may delegate to a committee of one or more members of the Board or Verisign’s officers the ability to grant certain awards and take certain other actions with respect to participants who are not executive officers or non-employee directors. RSUs are awards covering a specified number of shares of Verisign common stock that may be settled by issuance of those shares (which may be restricted shares). RSUs generally vest over four years. Certain RSUs with performance and market conditions (“PSUs”), granted to the Company’s executives, generally vest over a three-year term. Additionally, the Company has granted fully vested RSUs to members of its Board in each of the last three years. The Compensation Committee may authorize grants with a different vesting schedule in the future.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2007 Employee Stock Purchase Plan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Eligible employees of the Company may purchase common stock under the 2007 Employee Stock Purchase Plan through payroll deductions by electing to have between 2% and 25% of their compensation withheld to cover the purchase price. Each participant is granted an option to purchase common stock. This option is automatically exercised on the last day of each six-month purchase period during the offering period. The purchase price for the common stock under the ESPP is 85% of the lesser of the fair market value of the common stock on the first day of the applicable offering period or the last day of the applicable purchase period. Offering periods begin on the first business day of February and August of each year. As of December 31, 2025, 2.7 million shares of the Company’s common stock remain reserved for future issuance under this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is classified in the Consolidated Statements of Comprehensive Income in the same expense line items as cash compensation. The following table presents the classification of stock-based compensation:</w:t>
      </w:r>
    </w:p>
    <w:tbl>
      <w:tblPr>
        <w:tblW w:w="7916" w:type="dxa"/>
        <w:jc w:val="left"/>
        <w:tblInd w:w="0" w:type="dxa"/>
        <w:tblLayout w:type="fixed"/>
        <w:tblCellMar>
          <w:top w:w="28" w:type="dxa"/>
          <w:left w:w="28" w:type="dxa"/>
          <w:bottom w:w="28" w:type="dxa"/>
          <w:right w:w="28" w:type="dxa"/>
        </w:tblCellMar>
      </w:tblPr>
      <w:tblGrid>
        <w:gridCol w:w="1708"/>
        <w:gridCol w:w="1504"/>
        <w:gridCol w:w="1512"/>
        <w:gridCol w:w="211"/>
        <w:gridCol w:w="511"/>
        <w:gridCol w:w="109"/>
        <w:gridCol w:w="109"/>
        <w:gridCol w:w="109"/>
        <w:gridCol w:w="109"/>
        <w:gridCol w:w="211"/>
        <w:gridCol w:w="511"/>
        <w:gridCol w:w="109"/>
        <w:gridCol w:w="109"/>
        <w:gridCol w:w="109"/>
        <w:gridCol w:w="109"/>
        <w:gridCol w:w="211"/>
        <w:gridCol w:w="511"/>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(included in Property and equipment,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nature of the Company’s total stock-based compensation:</w:t>
      </w:r>
    </w:p>
    <w:tbl>
      <w:tblPr>
        <w:tblW w:w="5936" w:type="dxa"/>
        <w:jc w:val="left"/>
        <w:tblInd w:w="0" w:type="dxa"/>
        <w:tblLayout w:type="fixed"/>
        <w:tblCellMar>
          <w:top w:w="28" w:type="dxa"/>
          <w:left w:w="28" w:type="dxa"/>
          <w:bottom w:w="28" w:type="dxa"/>
          <w:right w:w="28" w:type="dxa"/>
        </w:tblCellMar>
      </w:tblPr>
      <w:tblGrid>
        <w:gridCol w:w="995"/>
        <w:gridCol w:w="868"/>
        <w:gridCol w:w="881"/>
        <w:gridCol w:w="211"/>
        <w:gridCol w:w="511"/>
        <w:gridCol w:w="109"/>
        <w:gridCol w:w="109"/>
        <w:gridCol w:w="109"/>
        <w:gridCol w:w="109"/>
        <w:gridCol w:w="211"/>
        <w:gridCol w:w="511"/>
        <w:gridCol w:w="109"/>
        <w:gridCol w:w="109"/>
        <w:gridCol w:w="109"/>
        <w:gridCol w:w="109"/>
        <w:gridCol w:w="211"/>
        <w:gridCol w:w="51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benefit that was included within Income tax expense related to these stock-based compensation expenses for 2025, 2024, and 2023 was $14.6 million, $12.4 million, and $11.7 million, respectively.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RSUs Information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unvested RSUs activity for the year ended December 31, 2025:</w:t>
      </w:r>
    </w:p>
    <w:tbl>
      <w:tblPr>
        <w:tblW w:w="7249" w:type="dxa"/>
        <w:jc w:val="left"/>
        <w:tblInd w:w="0" w:type="dxa"/>
        <w:tblLayout w:type="fixed"/>
        <w:tblCellMar>
          <w:top w:w="28" w:type="dxa"/>
          <w:left w:w="28" w:type="dxa"/>
          <w:bottom w:w="28" w:type="dxa"/>
          <w:right w:w="28" w:type="dxa"/>
        </w:tblCellMar>
      </w:tblPr>
      <w:tblGrid>
        <w:gridCol w:w="1010"/>
        <w:gridCol w:w="888"/>
        <w:gridCol w:w="891"/>
        <w:gridCol w:w="239"/>
        <w:gridCol w:w="241"/>
        <w:gridCol w:w="196"/>
        <w:gridCol w:w="109"/>
        <w:gridCol w:w="109"/>
        <w:gridCol w:w="109"/>
        <w:gridCol w:w="647"/>
        <w:gridCol w:w="2211"/>
        <w:gridCol w:w="336"/>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Unvested at beginning of period </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RSUs in the table above include PSUs. The unvested RSUs as of December 31, 2025 include 0.2 million PSUs. The number of shares received upon vesting of these PSUs may range from 0.1 million to 0.4 million depending on the level of performance achieved and whether any market conditions are satisfied.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closing price of Verisign’s stock was $242.95 on December 31, 2025. As of December 31, 2025, the aggregate market value of unvested RSUs was $174.1 million. The fair values of RSUs that vested during 2025, 2024, and 2023 were $73.9 million, $52.6 million, and $58.8 million, respectively. The weighted-average grant-date fair value of RSUs granted during the years ended December 31, 2024 and 2023, was $194.76 and $212.80, respectively. As of December 31, 2025, total unrecognized compensation cost related to unvested RSUs was $109.7 million which is expected to be recognized over a weighted-average period of 2.4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Note 10. Non-operating Income, Net </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non-operating income, net: </w:t>
      </w:r>
    </w:p>
    <w:tbl>
      <w:tblPr>
        <w:tblW w:w="5936" w:type="dxa"/>
        <w:jc w:val="center"/>
        <w:tblInd w:w="0" w:type="dxa"/>
        <w:tblLayout w:type="fixed"/>
        <w:tblCellMar>
          <w:top w:w="28" w:type="dxa"/>
          <w:left w:w="28" w:type="dxa"/>
          <w:bottom w:w="28" w:type="dxa"/>
          <w:right w:w="28" w:type="dxa"/>
        </w:tblCellMar>
      </w:tblPr>
      <w:tblGrid>
        <w:gridCol w:w="994"/>
        <w:gridCol w:w="871"/>
        <w:gridCol w:w="879"/>
        <w:gridCol w:w="211"/>
        <w:gridCol w:w="511"/>
        <w:gridCol w:w="109"/>
        <w:gridCol w:w="109"/>
        <w:gridCol w:w="109"/>
        <w:gridCol w:w="109"/>
        <w:gridCol w:w="211"/>
        <w:gridCol w:w="511"/>
        <w:gridCol w:w="109"/>
        <w:gridCol w:w="109"/>
        <w:gridCol w:w="109"/>
        <w:gridCol w:w="109"/>
        <w:gridCol w:w="211"/>
        <w:gridCol w:w="51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is earned primarily from the Company’s surplus cash balances and marketable securities. The decrease in interest income in 2025 primarily reflects the lower amounts invested in debt securities in 2025 and slightly lower interest rates on the Company’s investments in debt securities compared to 2024. Other, net, reflects net gains and losses from the Company’s foreign currency exposure and related hedges.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is categorized geographically as follows:</w:t>
      </w:r>
    </w:p>
    <w:tbl>
      <w:tblPr>
        <w:tblW w:w="6671" w:type="dxa"/>
        <w:jc w:val="center"/>
        <w:tblInd w:w="0" w:type="dxa"/>
        <w:tblLayout w:type="fixed"/>
        <w:tblCellMar>
          <w:top w:w="28" w:type="dxa"/>
          <w:left w:w="28" w:type="dxa"/>
          <w:bottom w:w="28" w:type="dxa"/>
          <w:right w:w="28" w:type="dxa"/>
        </w:tblCellMar>
      </w:tblPr>
      <w:tblGrid>
        <w:gridCol w:w="1039"/>
        <w:gridCol w:w="910"/>
        <w:gridCol w:w="915"/>
        <w:gridCol w:w="211"/>
        <w:gridCol w:w="766"/>
        <w:gridCol w:w="109"/>
        <w:gridCol w:w="109"/>
        <w:gridCol w:w="109"/>
        <w:gridCol w:w="109"/>
        <w:gridCol w:w="211"/>
        <w:gridCol w:w="766"/>
        <w:gridCol w:w="109"/>
        <w:gridCol w:w="109"/>
        <w:gridCol w:w="109"/>
        <w:gridCol w:w="109"/>
        <w:gridCol w:w="211"/>
        <w:gridCol w:w="61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consisted of the following:</w:t>
      </w:r>
    </w:p>
    <w:tbl>
      <w:tblPr>
        <w:tblW w:w="6492" w:type="dxa"/>
        <w:jc w:val="center"/>
        <w:tblInd w:w="0" w:type="dxa"/>
        <w:tblLayout w:type="fixed"/>
        <w:tblCellMar>
          <w:top w:w="28" w:type="dxa"/>
          <w:left w:w="28" w:type="dxa"/>
          <w:bottom w:w="28" w:type="dxa"/>
          <w:right w:w="28" w:type="dxa"/>
        </w:tblCellMar>
      </w:tblPr>
      <w:tblGrid>
        <w:gridCol w:w="1081"/>
        <w:gridCol w:w="948"/>
        <w:gridCol w:w="956"/>
        <w:gridCol w:w="211"/>
        <w:gridCol w:w="616"/>
        <w:gridCol w:w="109"/>
        <w:gridCol w:w="109"/>
        <w:gridCol w:w="109"/>
        <w:gridCol w:w="109"/>
        <w:gridCol w:w="211"/>
        <w:gridCol w:w="616"/>
        <w:gridCol w:w="109"/>
        <w:gridCol w:w="109"/>
        <w:gridCol w:w="109"/>
        <w:gridCol w:w="109"/>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including withholding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 (benefit):</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 expense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(“the Act”), signed into law on July 4, 2025, restored the immediate deduction of research and development expenditures for U.S. federal income tax purposes. This change resulted in a decrease to the Company’s current federal expense, and an increase to deferred federal expense in 2025. The increased foreign current expense in 2024 was primarily driven by the Organization for Economic Cooperation and Development (“OECD”) Pillar 2 minimum tax adopted by Switzerland, partially offset by related foreign tax credits in the U.S.</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difference between income tax expense and effective tax rate and the amounts resulting from applying the federal statutory rate of 21% to Income before income taxes in 2025 is attributable to the following:</w:t>
      </w:r>
    </w:p>
    <w:tbl>
      <w:tblPr>
        <w:tblW w:w="8463" w:type="dxa"/>
        <w:jc w:val="center"/>
        <w:tblInd w:w="0" w:type="dxa"/>
        <w:tblLayout w:type="fixed"/>
        <w:tblCellMar>
          <w:top w:w="28" w:type="dxa"/>
          <w:left w:w="28" w:type="dxa"/>
          <w:bottom w:w="28" w:type="dxa"/>
          <w:right w:w="28" w:type="dxa"/>
        </w:tblCellMar>
      </w:tblPr>
      <w:tblGrid>
        <w:gridCol w:w="2097"/>
        <w:gridCol w:w="1850"/>
        <w:gridCol w:w="1858"/>
        <w:gridCol w:w="287"/>
        <w:gridCol w:w="838"/>
        <w:gridCol w:w="148"/>
        <w:gridCol w:w="148"/>
        <w:gridCol w:w="148"/>
        <w:gridCol w:w="148"/>
        <w:gridCol w:w="255"/>
        <w:gridCol w:w="256"/>
        <w:gridCol w:w="430"/>
      </w:tblGrid>
      <w:tr>
        <w:trPr/>
        <w:tc>
          <w:tcPr>
            <w:tcW w:w="209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in millions)</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federal:</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state and local income taxes, net of federal income tax effect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rates different than statutory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Canton of Fribourg, Switzerland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taxes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domestic state and local income taxes, net of federal income tax effect, in the table above relates to state taxes in Virginia and New York. </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difference between income tax expense and the amount resulting from applying the federal statutory rate of 21% to Income before income taxes in 2024 and 2023 is attributable to the following:</w:t>
      </w:r>
    </w:p>
    <w:tbl>
      <w:tblPr>
        <w:tblW w:w="6009" w:type="dxa"/>
        <w:jc w:val="center"/>
        <w:tblInd w:w="0" w:type="dxa"/>
        <w:tblLayout w:type="fixed"/>
        <w:tblCellMar>
          <w:top w:w="28" w:type="dxa"/>
          <w:left w:w="28" w:type="dxa"/>
          <w:bottom w:w="28" w:type="dxa"/>
          <w:right w:w="28" w:type="dxa"/>
        </w:tblCellMar>
      </w:tblPr>
      <w:tblGrid>
        <w:gridCol w:w="1361"/>
        <w:gridCol w:w="1200"/>
        <w:gridCol w:w="1204"/>
        <w:gridCol w:w="211"/>
        <w:gridCol w:w="616"/>
        <w:gridCol w:w="109"/>
        <w:gridCol w:w="109"/>
        <w:gridCol w:w="109"/>
        <w:gridCol w:w="109"/>
        <w:gridCol w:w="211"/>
        <w:gridCol w:w="616"/>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federal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unrecognized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non-U.S.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intellectual property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2023, due to a change in local tax systems, the Company recognized amortizable tax basis related to a portion of its non-U.S. intellectual property based on a fair value of approximately $1.80 billion. This intellectual property had no book value, resulting in the recognition of a $118.0 million deferred tax asset and a corresponding income tax benefit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change in the tax systems mentioned above, the Company determined that it is more likely than not that a portion of the deferred tax asset related to certain non-U.S. intellectual property previously transferred as part of a legal entity reorganization, will not be realized, and as a result, recognized a valuation allowance of $64.7 million in 2023.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that give rise to significant portions of the Company’s deferred tax assets and liabilities are as follows:</w:t>
      </w:r>
    </w:p>
    <w:tbl>
      <w:tblPr>
        <w:tblW w:w="5747" w:type="dxa"/>
        <w:jc w:val="center"/>
        <w:tblInd w:w="0" w:type="dxa"/>
        <w:tblLayout w:type="fixed"/>
        <w:tblCellMar>
          <w:top w:w="28" w:type="dxa"/>
          <w:left w:w="28" w:type="dxa"/>
          <w:bottom w:w="28" w:type="dxa"/>
          <w:right w:w="28" w:type="dxa"/>
        </w:tblCellMar>
      </w:tblPr>
      <w:tblGrid>
        <w:gridCol w:w="1191"/>
        <w:gridCol w:w="1045"/>
        <w:gridCol w:w="1049"/>
        <w:gridCol w:w="211"/>
        <w:gridCol w:w="616"/>
        <w:gridCol w:w="109"/>
        <w:gridCol w:w="109"/>
        <w:gridCol w:w="109"/>
        <w:gridCol w:w="109"/>
        <w:gridCol w:w="211"/>
        <w:gridCol w:w="616"/>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accruals and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in the deferred tax assets related to research and development costs in 2025 was due to the passage of the Act which changed the timing of deductibility of these expenses as discussed above.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the exception of a portion of deferred tax assets related to intellectual property and certain state and foreign net operating loss and foreign tax credit carryforwards, management believes it is more likely than not that the tax effects of the deferred tax liabilities together with future taxable income, will be sufficient to fully recover the remaining deferred tax assets.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deferred tax assets included $23.1 million of state net operating loss carryforwards, before applying tax rates for the respective jurisdictions. The tax credit carryforwards as of December 31, 2025 consisted primarily of foreign tax credit carryforwards. The state net operating loss carryforwards expire in various years from 2026 through 2034. The foreign tax credits will expire between 2028 and 2035. </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taxes paid to United States, state, and foreign jurisdictions, net of refunds received in 2025:</w:t>
      </w:r>
    </w:p>
    <w:tbl>
      <w:tblPr>
        <w:tblW w:w="3823" w:type="dxa"/>
        <w:jc w:val="left"/>
        <w:tblInd w:w="0" w:type="dxa"/>
        <w:tblLayout w:type="fixed"/>
        <w:tblCellMar>
          <w:top w:w="28" w:type="dxa"/>
          <w:left w:w="28" w:type="dxa"/>
          <w:bottom w:w="28" w:type="dxa"/>
          <w:right w:w="28" w:type="dxa"/>
        </w:tblCellMar>
      </w:tblPr>
      <w:tblGrid>
        <w:gridCol w:w="647"/>
        <w:gridCol w:w="567"/>
        <w:gridCol w:w="570"/>
        <w:gridCol w:w="438"/>
        <w:gridCol w:w="1281"/>
        <w:gridCol w:w="320"/>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 - federal</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paid $230.5 million and $239.7 million for income taxes, net of refunds received, in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the total amounts of gross unrecognized tax benefits is as follows:</w:t>
      </w:r>
    </w:p>
    <w:tbl>
      <w:tblPr>
        <w:tblW w:w="5259" w:type="dxa"/>
        <w:jc w:val="left"/>
        <w:tblInd w:w="0" w:type="dxa"/>
        <w:tblLayout w:type="fixed"/>
        <w:tblCellMar>
          <w:top w:w="28" w:type="dxa"/>
          <w:left w:w="28" w:type="dxa"/>
          <w:bottom w:w="28" w:type="dxa"/>
          <w:right w:w="28" w:type="dxa"/>
        </w:tblCellMar>
      </w:tblPr>
      <w:tblGrid>
        <w:gridCol w:w="1246"/>
        <w:gridCol w:w="1091"/>
        <w:gridCol w:w="1098"/>
        <w:gridCol w:w="211"/>
        <w:gridCol w:w="406"/>
        <w:gridCol w:w="109"/>
        <w:gridCol w:w="109"/>
        <w:gridCol w:w="109"/>
        <w:gridCol w:w="109"/>
        <w:gridCol w:w="211"/>
        <w:gridCol w:w="406"/>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tax positions for prior years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in tax positions for prior years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tax positions for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in statute of limitations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approximately $3.9 million of unrecognized tax benefits, including penalties and interest, could affect the Company’s tax provision and effective tax rate.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its accounting policy, the Company recognizes accrued interest and penalties related to unrecognized tax benefits as a component of tax expense. These accruals were not material in any period presented.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major taxing jurisdictions are the U.S., the Commonwealth of Virginia, and Switzerland. The Company’s U.S. federal income tax returns are not currently under examination by the IRS and only the Company’s tax returns for 2021 and years thereafter are subject to examination. The Company’s other material tax returns are not currently under examination by their respective taxing jurisdictions. Because the Company has previously used net operating loss carryforwards and other tax attributes to offset its taxable income in income tax returns for the U.S. and Virginia, such attributes can be adjusted by these taxing authorities until the statute of limitations closes on the year in which such attributes were utilized. The open years for examination in Switzerland are the 2021 tax year and forward.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minimum payments required by Verisign under certain purchase obligations, leases, and the interest payments and principal on the Senior Notes: </w:t>
      </w:r>
    </w:p>
    <w:tbl>
      <w:tblPr>
        <w:tblW w:w="5466" w:type="dxa"/>
        <w:jc w:val="center"/>
        <w:tblInd w:w="0" w:type="dxa"/>
        <w:tblLayout w:type="fixed"/>
        <w:tblCellMar>
          <w:top w:w="28" w:type="dxa"/>
          <w:left w:w="28" w:type="dxa"/>
          <w:bottom w:w="28" w:type="dxa"/>
          <w:right w:w="28" w:type="dxa"/>
        </w:tblCellMar>
      </w:tblPr>
      <w:tblGrid>
        <w:gridCol w:w="342"/>
        <w:gridCol w:w="300"/>
        <w:gridCol w:w="304"/>
        <w:gridCol w:w="418"/>
        <w:gridCol w:w="1013"/>
        <w:gridCol w:w="218"/>
        <w:gridCol w:w="109"/>
        <w:gridCol w:w="109"/>
        <w:gridCol w:w="109"/>
        <w:gridCol w:w="211"/>
        <w:gridCol w:w="766"/>
        <w:gridCol w:w="109"/>
        <w:gridCol w:w="109"/>
        <w:gridCol w:w="109"/>
        <w:gridCol w:w="109"/>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Verisign enters into certain purchase obligations with various vendors. The Company’s significant purchase obligations include firm commitments with telecommunication carriers, other service providers and the fixed portion of registry fees related to the operation of certain top-level domains. Registry fees for top-level domains that we operate where the amounts are variable or passed-through to registrars have been excluded from the table above.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Company has an agreement with Internet Corporation for Assigned Names and Numbers (“ICANN”) to be the sole registry operator for domain names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through November 30, 2030. For 2023 and 2024, the Company paid ICANN a fee of $0.25 for each annual term of a domain name registered or renewed. For 2025, these fees increased to $0.2575 for each annual term of a domain name registered or renewed. We also incur registry fees for certain other registries. The Company incurred total registry fees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other registries of $47.8 million in 2025, $45.3 million in 2024, and $44.1 million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Verisign leases a small portion of its office space and a portion of its data center facilities under operating leases, the longest of which extends into 2029. Rental expenses under operating leases were not material in any period presented. Operating lease obligations for 2026 through 2029 are included in Purchase obligations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9.</w:t>
      </w:r>
      <w:r>
        <w:rPr>
          <w:color w:val="000000"/>
        </w:rPr>
        <w:t>    </w:t>
      </w:r>
      <w:r>
        <w:rPr>
          <w:rFonts w:ascii="Times New Roman;serif" w:hAnsi="Times New Roman;serif"/>
          <w:b/>
          <w:color w:val="000000"/>
          <w:sz w:val="20"/>
        </w:rPr>
        <w:t xml:space="preserve">CHANGES IN AND DISAGREEMENTS WITH ACCOUNTANTS ON ACCOUNTING AND FINANCIAL DISCLOSURE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215"/>
        <w:jc w:val="left"/>
        <w:rPr/>
      </w:pPr>
      <w:r>
        <w:rPr>
          <w:rFonts w:ascii="Times New Roman;serif" w:hAnsi="Times New Roman;serif"/>
          <w:b/>
          <w:color w:val="000000"/>
          <w:sz w:val="20"/>
        </w:rPr>
        <w:t>ITEM 9A.</w:t>
      </w:r>
      <w:r>
        <w:rPr>
          <w:color w:val="000000"/>
        </w:rPr>
        <w:t>    </w:t>
      </w:r>
      <w:r>
        <w:rPr>
          <w:rFonts w:ascii="Times New Roman;serif" w:hAnsi="Times New Roman;serif"/>
          <w:b/>
          <w:color w:val="000000"/>
          <w:sz w:val="20"/>
        </w:rPr>
        <w:t xml:space="preserve">CONTROLS AND PROCEDURES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 Evaluation of Disclosure Controls and Procedures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management’s evaluation, with the participation of our Chief Executive Officer (our principal executive officer) and our Chief Financial Officer (our principal financial officer), as of December 31, 2025,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 Management’s Report on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2025 using the criteria established in </w:t>
      </w:r>
      <w:r>
        <w:rPr>
          <w:rFonts w:ascii="Times New Roman;serif" w:hAnsi="Times New Roman;serif"/>
          <w:b w:val="false"/>
          <w:i/>
          <w:color w:val="000000"/>
          <w:sz w:val="20"/>
        </w:rPr>
        <w:t xml:space="preserve">Internal Control-Integrated Framework </w:t>
      </w:r>
      <w:r>
        <w:rPr>
          <w:rFonts w:ascii="Times New Roman;serif" w:hAnsi="Times New Roman;serif"/>
          <w:b w:val="false"/>
          <w:color w:val="000000"/>
          <w:sz w:val="20"/>
        </w:rPr>
        <w:t xml:space="preserve">(2013 Framework) issued by the Committee of Sponsoring Organizations of the Treadway Commission (“COSO”).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evaluation under the COSO framework, management has concluded that our internal control over financial reporting is effective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KPMG LLP, an independent registered public accounting firm, has issued a report concerning the effectiveness of our internal control over financial reporting as of December 31, 2025. See “Report of Independent Registered Public Accounting Firm” in Item 8 of this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 Changes in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such term is defined in Rules 13a-15(f) and 15d-15(f) under the Exchange Act) during the three months ended December 31, 2025 that has materially affected, or is reasonably likely to materially affect, the Company’s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 Inherent Limitations of Disclosure Controls and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9B.</w:t>
      </w:r>
      <w:r>
        <w:rPr>
          <w:color w:val="000000"/>
        </w:rPr>
        <w:t>    </w:t>
      </w:r>
      <w:r>
        <w:rPr>
          <w:rFonts w:ascii="Times New Roman;serif" w:hAnsi="Times New Roman;serif"/>
          <w:b/>
          <w:color w:val="000000"/>
          <w:sz w:val="20"/>
        </w:rPr>
        <w:t xml:space="preserve">OTHER INFORMATION </w:t>
      </w:r>
    </w:p>
    <w:p>
      <w:pPr>
        <w:pStyle w:val="TextBody"/>
        <w:bidi w:val="0"/>
        <w:spacing w:lineRule="auto" w:line="288" w:before="120" w:after="120"/>
        <w:ind w:left="0" w:right="0" w:firstLine="45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52"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directors or executive officers that adopted, terminated or modified plans or other arrangements during the quarter ended December 31,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0"/>
        </w:rPr>
        <w:t>ITEM 10.</w:t>
      </w:r>
      <w:r>
        <w:rPr>
          <w:color w:val="000000"/>
        </w:rPr>
        <w:t>    </w:t>
      </w:r>
      <w:r>
        <w:rPr>
          <w:rFonts w:ascii="Times New Roman;serif" w:hAnsi="Times New Roman;serif"/>
          <w:b/>
          <w:color w:val="000000"/>
          <w:sz w:val="20"/>
        </w:rPr>
        <w:t xml:space="preserve">DIRECTORS, EXECUTIVE OFFICERS AND CORPORATE GOVERNANCE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our directors and nominees, Audit Committee, Corporate Governance and Nominating Committee, and Compensation Committee will be included under the captions “Proposal No. 1—Election of Directors,” “Security Ownership of Certain Beneficial Owners” and “Corporate Governance” in our 2026 Proxy Statement, and incorporated herein by reference.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G(3) of Form 10-K, the information required by this item relating to our executive officers is included under the caption “Information About Our Executive Officers” in Part I of this Form 10-K.</w:t>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We have adopted a written Code of Conduct, which is posted on our Investor Relations website under “Ethics and Business Conduct” at </w:t>
      </w:r>
      <w:r>
        <w:rPr>
          <w:rFonts w:ascii="Times New Roman;serif" w:hAnsi="Times New Roman;serif"/>
          <w:b w:val="false"/>
          <w:color w:val="000000"/>
          <w:sz w:val="20"/>
          <w:u w:val="single"/>
        </w:rPr>
        <w:t>https://investor.verisign.com/corporate-governance</w:t>
      </w:r>
      <w:r>
        <w:rPr>
          <w:rFonts w:ascii="Times New Roman;serif" w:hAnsi="Times New Roman;serif"/>
          <w:b w:val="false"/>
          <w:color w:val="000000"/>
          <w:sz w:val="20"/>
        </w:rPr>
        <w:t>. The Code of Conduct applies to all of our directors, officers, and employees, including our principal executive officer, principal financial officer, and other senior accounting officers. We have also adopted the “Corporate Governance Principles for the Board of Directors,” which provide guidance to our directors on corporate practices that serve the best interests of our company and our stockholders.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satisfy any disclosure requirement under Item 5.05 of Form 8-K regarding an amendment to, or waiver from, a provision of the Code of Conduct, to the extent applicable to the principal executive officer, principal financial officer, or other senior accounting officers, by posting such information on our website, on the web page found by clicking through to “Ethics and Business Conduct” as specified above.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our insider trading policies and procedures will be included under the caption “Insider Trading Policy”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11.</w:t>
      </w:r>
      <w:r>
        <w:rPr>
          <w:color w:val="000000"/>
        </w:rPr>
        <w:t>    </w:t>
      </w:r>
      <w:r>
        <w:rPr>
          <w:rFonts w:ascii="Times New Roman;serif" w:hAnsi="Times New Roman;serif"/>
          <w:b/>
          <w:color w:val="000000"/>
          <w:sz w:val="20"/>
        </w:rPr>
        <w:t xml:space="preserve">EXECUTIVE COMPENSATION </w:t>
      </w:r>
    </w:p>
    <w:p>
      <w:pPr>
        <w:pStyle w:val="TextBody"/>
        <w:bidi w:val="0"/>
        <w:spacing w:lineRule="auto" w:line="288" w:before="0" w:after="0"/>
        <w:jc w:val="left"/>
        <w:rPr>
          <w:color w:val="000000"/>
        </w:rPr>
      </w:pPr>
      <w:r>
        <w:rPr>
          <w:color w:val="000000"/>
        </w:rPr>
        <w: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herein by reference to our 2026 Proxy Statement from the discussions under the captions “Compensation of Directors,” “Non-Employee Director Retainer Fees and Equity Compensation Information” and “Non-Employee Director Compensation Table for 2025,” “Executive Compensation” and “Executive Compensation Tables.”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12.</w:t>
      </w:r>
      <w:r>
        <w:rPr>
          <w:color w:val="000000"/>
        </w:rPr>
        <w:t>    </w:t>
      </w:r>
      <w:r>
        <w:rPr>
          <w:rFonts w:ascii="Times New Roman;serif" w:hAnsi="Times New Roman;serif"/>
          <w:b/>
          <w:color w:val="000000"/>
          <w:sz w:val="20"/>
        </w:rPr>
        <w:t>SECURITY OWNERSHIP OF CERTAIN BENEFICIAL OWNERS AND MANAGEMENT AND RELATED STOCKHOLDER MATTERS</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required by this item is incorporated herein by reference from the discussions under the captions “Security Ownership of Certain Beneficial Owners and Management” and “Equity Compensation Plan Information” in our 2026 Proxy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13.</w:t>
      </w:r>
      <w:r>
        <w:rPr>
          <w:color w:val="000000"/>
        </w:rPr>
        <w:t>    </w:t>
      </w:r>
      <w:r>
        <w:rPr>
          <w:rFonts w:ascii="Times New Roman;serif" w:hAnsi="Times New Roman;serif"/>
          <w:b/>
          <w:color w:val="000000"/>
          <w:sz w:val="20"/>
        </w:rPr>
        <w:t xml:space="preserve">CERTAIN RELATIONSHIPS AND RELATED TRANSACTIONS, AND DIRECTOR INDEPENDENCE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herein by reference to our 2026 Proxy Statement from the discussions under the captions “Policies and Procedures with Respect to Transactions with Related Persons,” “Certain Relationships and Related Transactions” and “Independence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14.</w:t>
      </w:r>
      <w:r>
        <w:rPr>
          <w:color w:val="000000"/>
        </w:rPr>
        <w:t>    </w:t>
      </w:r>
      <w:r>
        <w:rPr>
          <w:rFonts w:ascii="Times New Roman;serif" w:hAnsi="Times New Roman;serif"/>
          <w:b/>
          <w:color w:val="000000"/>
          <w:sz w:val="20"/>
        </w:rPr>
        <w:t xml:space="preserve">PRINCIPAL ACCOUNTANT FEES AND SERVICES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McLean, VA, Auditor Firm ID: 185.</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herein by reference to our 2026 Proxy Statement from the discussions under the captions “Principal Accountant Fees and Services” and “Policy on Audit Committee Pre-Approval of Audit and Permissible Non-Audit Services of Independent Auditors.”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0"/>
        </w:rPr>
        <w:t>ITEM 15.</w:t>
      </w:r>
      <w:r>
        <w:rPr>
          <w:color w:val="000000"/>
        </w:rPr>
        <w:t>    </w:t>
      </w:r>
      <w:r>
        <w:rPr>
          <w:rFonts w:ascii="Times New Roman;serif" w:hAnsi="Times New Roman;serif"/>
          <w:b/>
          <w:color w:val="000000"/>
          <w:sz w:val="20"/>
        </w:rPr>
        <w:t xml:space="preserve">EXHIBITS, FINANCIAL STATEMENT SCHEDULES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Documents filed as part of this report</w:t>
      </w:r>
    </w:p>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Financial statements </w:t>
      </w:r>
    </w:p>
    <w:p>
      <w:pPr>
        <w:pStyle w:val="TextBody"/>
        <w:bidi w:val="0"/>
        <w:spacing w:lineRule="auto" w:line="288" w:before="12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financial statements are set forth under Item 8 of this Form 10-K, as indexed below.</w:t>
      </w:r>
    </w:p>
    <w:tbl>
      <w:tblPr>
        <w:tblW w:w="5490" w:type="dxa"/>
        <w:jc w:val="left"/>
        <w:tblInd w:w="0" w:type="dxa"/>
        <w:tblLayout w:type="fixed"/>
        <w:tblCellMar>
          <w:top w:w="28" w:type="dxa"/>
          <w:left w:w="28" w:type="dxa"/>
          <w:bottom w:w="28" w:type="dxa"/>
          <w:right w:w="28" w:type="dxa"/>
        </w:tblCellMar>
      </w:tblPr>
      <w:tblGrid>
        <w:gridCol w:w="1802"/>
        <w:gridCol w:w="1584"/>
        <w:gridCol w:w="1593"/>
        <w:gridCol w:w="149"/>
        <w:gridCol w:w="149"/>
        <w:gridCol w:w="213"/>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4">
              <w:r>
                <w:rPr>
                  <w:rStyle w:val="InternetLink"/>
                  <w:rFonts w:ascii="Times New Roman;serif" w:hAnsi="Times New Roman;serif"/>
                  <w:b w:val="false"/>
                  <w:color w:val="0000FF"/>
                  <w:sz w:val="20"/>
                  <w:u w:val="single"/>
                </w:rPr>
                <w:t xml:space="preserve">Reports of Independent Registered Public Accounting Firm </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5f0824a78cd40128656bda5d24bc479_64">
              <w:r>
                <w:rPr>
                  <w:rStyle w:val="InternetLink"/>
                  <w:rFonts w:ascii="Times New Roman;serif" w:hAnsi="Times New Roman;serif"/>
                  <w:b w:val="false"/>
                  <w:color w:val="0000FF"/>
                  <w:sz w:val="20"/>
                  <w:u w:val="single"/>
                </w:rPr>
                <w:t>34</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67">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67">
              <w:r>
                <w:rPr>
                  <w:rStyle w:val="InternetLink"/>
                  <w:rFonts w:ascii="Times New Roman;serif" w:hAnsi="Times New Roman;serif"/>
                  <w:b w:val="false"/>
                  <w:color w:val="0000FF"/>
                  <w:sz w:val="20"/>
                  <w:u w:val="single"/>
                </w:rPr>
                <w:t>37</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3">
              <w:r>
                <w:rPr>
                  <w:rStyle w:val="InternetLink"/>
                  <w:rFonts w:ascii="Times New Roman;serif" w:hAnsi="Times New Roman;serif"/>
                  <w:b w:val="false"/>
                  <w:color w:val="0000FF"/>
                  <w:sz w:val="20"/>
                  <w:u w:val="single"/>
                </w:rPr>
                <w:t>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3">
              <w:r>
                <w:rPr>
                  <w:rStyle w:val="InternetLink"/>
                  <w:rFonts w:ascii="Times New Roman;serif" w:hAnsi="Times New Roman;serif"/>
                  <w:b w:val="false"/>
                  <w:color w:val="0000FF"/>
                  <w:sz w:val="20"/>
                  <w:u w:val="single"/>
                </w:rPr>
                <w:t>38</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6">
              <w:r>
                <w:rPr>
                  <w:rStyle w:val="InternetLink"/>
                  <w:rFonts w:ascii="Times New Roman;serif" w:hAnsi="Times New Roman;serif"/>
                  <w:b w:val="false"/>
                  <w:color w:val="0000FF"/>
                  <w:sz w:val="20"/>
                  <w:u w:val="single"/>
                </w:rPr>
                <w:t>Consolidated Statements of Stockholders’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6">
              <w:r>
                <w:rPr>
                  <w:rStyle w:val="InternetLink"/>
                  <w:rFonts w:ascii="Times New Roman;serif" w:hAnsi="Times New Roman;serif"/>
                  <w:b w:val="false"/>
                  <w:color w:val="0000FF"/>
                  <w:sz w:val="20"/>
                  <w:u w:val="single"/>
                </w:rPr>
                <w:t>39</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79">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79">
              <w:r>
                <w:rPr>
                  <w:rStyle w:val="InternetLink"/>
                  <w:rFonts w:ascii="Times New Roman;serif" w:hAnsi="Times New Roman;serif"/>
                  <w:b w:val="false"/>
                  <w:color w:val="0000FF"/>
                  <w:sz w:val="20"/>
                  <w:u w:val="single"/>
                </w:rPr>
                <w:t>40</w:t>
              </w:r>
            </w:hyperlink>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82">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f0824a78cd40128656bda5d24bc479_82">
              <w:r>
                <w:rPr>
                  <w:rStyle w:val="InternetLink"/>
                  <w:rFonts w:ascii="Times New Roman;serif" w:hAnsi="Times New Roman;serif"/>
                  <w:b w:val="false"/>
                  <w:color w:val="0000FF"/>
                  <w:sz w:val="20"/>
                  <w:u w:val="single"/>
                </w:rPr>
                <w:t>41</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Financial statement schedules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color w:val="000000"/>
        </w:rPr>
      </w:pPr>
      <w:r>
        <w:rPr>
          <w:color w:val="000000"/>
        </w:rPr>
        <w:t>    </w:t>
      </w:r>
      <w:r>
        <w:rPr>
          <w:rFonts w:ascii="Times New Roman;serif" w:hAnsi="Times New Roman;serif"/>
          <w:b w:val="false"/>
          <w:color w:val="000000"/>
          <w:sz w:val="20"/>
        </w:rPr>
        <w:t>Financial statement schedules are omitted because the information called for is not material or is shown either in the consolidated financial statements or the notes thereto.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color w:val="000000"/>
        </w:rPr>
      </w:pPr>
      <w:r>
        <w:rPr>
          <w:color w:val="000000"/>
        </w:rPr>
        <w:t>    </w:t>
      </w:r>
      <w:r>
        <w:rPr>
          <w:rFonts w:ascii="Times New Roman;serif" w:hAnsi="Times New Roman;serif"/>
          <w:b w:val="false"/>
          <w:i/>
          <w:color w:val="000000"/>
          <w:sz w:val="20"/>
        </w:rPr>
        <w:t xml:space="preserve">(a) Index to Exhibits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rules and regulations of the SEC, the Company has filed certain agreements as exhibits to this Form 10-K. These agreements may contain representations and warranties by the parties thereto. These representations and warranties have been made solely for the benefit of the other party or parties to such agreements and (1) may be intended not as statements of fact, but rather as a way of allocating the risk to one of the parties to such agreements if those statements prove to be inaccurate, (2) may have been qualified by disclosures that were made to such other party or parties and that either have been reflected in the Company’s filings or are not required to be disclosed in those filings, (3) may apply materiality standards different from what may be viewed as material to investors and (4) were made only as of the date of such agreements or such other date(s) as may be specified in such agreements and are subject to more recent developments. Accordingly, these representations and warranties may not describe the Company’s actual state of affairs at the date hereof or at any other time.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80"/>
        <w:gridCol w:w="1608"/>
        <w:gridCol w:w="1549"/>
        <w:gridCol w:w="109"/>
        <w:gridCol w:w="109"/>
        <w:gridCol w:w="109"/>
        <w:gridCol w:w="195"/>
        <w:gridCol w:w="195"/>
        <w:gridCol w:w="196"/>
        <w:gridCol w:w="125"/>
        <w:gridCol w:w="125"/>
        <w:gridCol w:w="125"/>
        <w:gridCol w:w="200"/>
        <w:gridCol w:w="200"/>
        <w:gridCol w:w="184"/>
        <w:gridCol w:w="125"/>
        <w:gridCol w:w="125"/>
        <w:gridCol w:w="125"/>
        <w:gridCol w:w="158"/>
        <w:gridCol w:w="158"/>
        <w:gridCol w:w="152"/>
        <w:gridCol w:w="109"/>
        <w:gridCol w:w="109"/>
        <w:gridCol w:w="109"/>
        <w:gridCol w:w="109"/>
        <w:gridCol w:w="109"/>
        <w:gridCol w:w="109"/>
        <w:gridCol w:w="281"/>
        <w:gridCol w:w="281"/>
        <w:gridCol w:w="40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of Restated Certificate of Incorporation of VeriSign,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5/22/25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Bylaws of VeriSign,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July 5, 2017, between VeriSign,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dated as of June 8, 2021, between VeriSign,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First Supplemental Indenture, dated as of June 8, 2021, between VeriSign,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Second Supplemental Indenture, dated as of March 11, 2025, between VeriSign,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66"/>
        <w:gridCol w:w="1389"/>
        <w:gridCol w:w="1395"/>
        <w:gridCol w:w="109"/>
        <w:gridCol w:w="109"/>
        <w:gridCol w:w="109"/>
        <w:gridCol w:w="214"/>
        <w:gridCol w:w="214"/>
        <w:gridCol w:w="215"/>
        <w:gridCol w:w="119"/>
        <w:gridCol w:w="119"/>
        <w:gridCol w:w="119"/>
        <w:gridCol w:w="185"/>
        <w:gridCol w:w="185"/>
        <w:gridCol w:w="167"/>
        <w:gridCol w:w="119"/>
        <w:gridCol w:w="119"/>
        <w:gridCol w:w="119"/>
        <w:gridCol w:w="199"/>
        <w:gridCol w:w="152"/>
        <w:gridCol w:w="152"/>
        <w:gridCol w:w="148"/>
        <w:gridCol w:w="148"/>
        <w:gridCol w:w="151"/>
        <w:gridCol w:w="109"/>
        <w:gridCol w:w="109"/>
        <w:gridCol w:w="109"/>
        <w:gridCol w:w="267"/>
        <w:gridCol w:w="267"/>
        <w:gridCol w:w="39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Description of Securities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2/19/21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Amendment No. Thirty (30) to Cooperative Agreement - Special Awards Conditions NCR-92-18742, between VeriSign and U.S. Department of Commerce managers.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Indemnity Agreement entered into by the Registrant with each of its directors and executive officers.</w:t>
              </w:r>
            </w:hyperlink>
            <w:r>
              <w:rPr>
                <w:color w:val="000000"/>
              </w:rPr>
              <w:t xml:space="preserve"> </w:t>
            </w:r>
            <w:r>
              <w:rPr>
                <w:rFonts w:ascii="Times New Roman;serif" w:hAnsi="Times New Roman;serif"/>
                <w:b w:val="false"/>
                <w:color w:val="000000"/>
                <w:sz w:val="20"/>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4/28/10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13">
              <w:r>
                <w:rPr>
                  <w:rStyle w:val="InternetLink"/>
                  <w:rFonts w:ascii="Times New Roman;serif" w:hAnsi="Times New Roman;serif"/>
                  <w:b w:val="false"/>
                  <w:color w:val="0000FF"/>
                  <w:sz w:val="20"/>
                  <w:u w:val="single"/>
                </w:rPr>
                <w:t>VeriSign, Inc. 2006 Equity Incentive Plan Form of Non-Employee Director Restricted Stock Unit Agreement.</w:t>
              </w:r>
            </w:hyperlink>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7/27/12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14">
              <w:r>
                <w:rPr>
                  <w:rStyle w:val="InternetLink"/>
                  <w:rFonts w:ascii="Times New Roman;serif" w:hAnsi="Times New Roman;serif"/>
                  <w:b w:val="false"/>
                  <w:color w:val="0000FF"/>
                  <w:sz w:val="20"/>
                  <w:u w:val="single"/>
                </w:rPr>
                <w:t>Amendment Number Thirty-Two (32) to the Cooperative Agreement between VeriSign, Inc. and Department of Commerce, entered into on November 29, 2012.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11/30/12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 xml:space="preserve">VeriSign, Inc. 2006 Equity Incentive Plan Form of Employee Restricted Stock Unit Agreement </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VeriSign, Inc. 2006 Equity Incentive Plan Performance-Based Restricted Stock Unit Agreement for awards granted in 2022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"https://www.sec.gov/Archives/edgar/data/1014473/000101447316000102/a2016definitiveproxystatem.htm" \l "s92812585CB5CECADF5E033E2599C6057"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VeriSign, Inc. 2006 Equity Incentive Plan, as amended and restated</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Amendment Number Thirty-Three (33) to the Cooperative Agreement between VeriSign, Inc. and Department of Commerce, entered into on October 20,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Number Thirty-Four (34) to the Cooperative Agreement between VeriSign, Inc. and Department of Commerce, entered into on October 20,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10/20/16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"https://www.sec.gov/Archives/edgar/data/1014473/000101447317000007/a2017definitiveproxystatem.htm" \l "sA765FD5437645CB4B0540407AE312D7C"</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2007 Employee Stock Purchase Plan, as adopted August 30, 2007, and amended May 25, 2017.</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 xml:space="preserve">Form of Amended and Restated Change-in-Control and Retention Agreement [CEO Form of Agreement]. </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7/27/17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Amended and Restated Change-in-Control and Retention Agreement.</w:t>
              </w:r>
            </w:hyperlink>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7/27/17</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Amendment Thirty-Five (35) to the Cooperative Agreement between VeriSign, Inc. and the U.S. Department of Commerce, entered into on October 26,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11/1/18</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.Net Registry Agreement between VeriSign, Inc. and the Internet Corporation for Assigned Names and Numbers.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FF"/>
                  <w:sz w:val="20"/>
                  <w:u w:val="single"/>
                </w:rPr>
                <w:t>Credit Agreement, dated as of December 6, 2023 among VeriSign, Inc., the borrowing subsidiaries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12/08/23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VeriSign, Inc. 2006 Equity Incentive Plan Performance-Based Restricted Stock Unit Agreement for awards granted in or after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.Com Registry Agreement between VeriSign, Inc. and the Internet Corporation for Assigned Names and Numbers, effective December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1901.htm">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X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30"/>
        <w:gridCol w:w="1526"/>
        <w:gridCol w:w="1531"/>
        <w:gridCol w:w="109"/>
        <w:gridCol w:w="109"/>
        <w:gridCol w:w="109"/>
        <w:gridCol w:w="195"/>
        <w:gridCol w:w="195"/>
        <w:gridCol w:w="196"/>
        <w:gridCol w:w="123"/>
        <w:gridCol w:w="123"/>
        <w:gridCol w:w="123"/>
        <w:gridCol w:w="184"/>
        <w:gridCol w:w="184"/>
        <w:gridCol w:w="168"/>
        <w:gridCol w:w="123"/>
        <w:gridCol w:w="123"/>
        <w:gridCol w:w="123"/>
        <w:gridCol w:w="149"/>
        <w:gridCol w:w="123"/>
        <w:gridCol w:w="123"/>
        <w:gridCol w:w="109"/>
        <w:gridCol w:w="109"/>
        <w:gridCol w:w="109"/>
        <w:gridCol w:w="109"/>
        <w:gridCol w:w="109"/>
        <w:gridCol w:w="109"/>
        <w:gridCol w:w="276"/>
        <w:gridCol w:w="276"/>
        <w:gridCol w:w="39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2301.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f0824a78cd40128656bda5d24bc479_163">
              <w:r>
                <w:rPr>
                  <w:rStyle w:val="InternetLink"/>
                  <w:rFonts w:ascii="Times New Roman;serif" w:hAnsi="Times New Roman;serif"/>
                  <w:b w:val="false"/>
                  <w:color w:val="0000FF"/>
                  <w:sz w:val="20"/>
                  <w:u w:val="single"/>
                </w:rPr>
                <w:t>Powers of Attorney (Included as part of the signature pages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3101.htm">
              <w:r>
                <w:rPr>
                  <w:rStyle w:val="InternetLink"/>
                  <w:rFonts w:ascii="Times New Roman;serif" w:hAnsi="Times New Roman;serif"/>
                  <w:b w:val="false"/>
                  <w:color w:val="0000FF"/>
                  <w:sz w:val="20"/>
                  <w:u w:val="single"/>
                </w:rPr>
                <w:t>Certification of Principal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3102.htm">
              <w:r>
                <w:rPr>
                  <w:rStyle w:val="InternetLink"/>
                  <w:rFonts w:ascii="Times New Roman;serif" w:hAnsi="Times New Roman;serif"/>
                  <w:b w:val="false"/>
                  <w:color w:val="0000FF"/>
                  <w:sz w:val="20"/>
                  <w:u w:val="single"/>
                </w:rPr>
                <w:t>Certification of Principal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3201.htm">
              <w:r>
                <w:rPr>
                  <w:rStyle w:val="InternetLink"/>
                  <w:rFonts w:ascii="Times New Roman;serif" w:hAnsi="Times New Roman;serif"/>
                  <w:b w:val="false"/>
                  <w:color w:val="0000FF"/>
                  <w:sz w:val="20"/>
                  <w:u w:val="single"/>
                </w:rPr>
                <w:t>Certification of Principal Executive Officer pursuant to Exchange Act Rule 13a-14(b) and Section 1350 of Chapter 63 of Title 18 of the U.S. Code (18 U.S.C. 1350).</w:t>
              </w:r>
            </w:hyperlink>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51231x10kxex3202.htm">
              <w:r>
                <w:rPr>
                  <w:rStyle w:val="InternetLink"/>
                  <w:rFonts w:ascii="Times New Roman;serif" w:hAnsi="Times New Roman;serif"/>
                  <w:b w:val="false"/>
                  <w:color w:val="0000FF"/>
                  <w:sz w:val="20"/>
                  <w:u w:val="single"/>
                </w:rPr>
                <w:t>Certification of Principal Financial Officer pursuant to Exchange Act Rule 13a-14(b) and Section 1350 of Chapter 63 of Title 18 of the U.S. Code (18 U.S.C. 1350).</w:t>
              </w:r>
            </w:hyperlink>
            <w:r>
              <w:rPr>
                <w:color w:val="000000"/>
              </w:rPr>
              <w:t xml:space="preserve">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Incentive-Based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contemplated by SEC Release No. 33-8212, these exhibits are furnished with this Form 10-K and are not deemed filed with the Securities and Exchange Commission and are not incorporated by reference in any filing of VeriSign, Inc. under the Securities Act of 1933 or the Securities Exchange Act of 1934, whether made before or after the date hereof and irrespective of any general incorporation language in such filings.</w:t>
            </w:r>
          </w:p>
        </w:tc>
      </w:tr>
    </w:tbl>
    <w:tbl>
      <w:tblPr>
        <w:tblW w:w="5501" w:type="dxa"/>
        <w:jc w:val="left"/>
        <w:tblInd w:w="0" w:type="dxa"/>
        <w:tblLayout w:type="fixed"/>
        <w:tblCellMar>
          <w:top w:w="28" w:type="dxa"/>
          <w:left w:w="28" w:type="dxa"/>
          <w:bottom w:w="28" w:type="dxa"/>
          <w:right w:w="28" w:type="dxa"/>
        </w:tblCellMar>
      </w:tblPr>
      <w:tblGrid>
        <w:gridCol w:w="124"/>
        <w:gridCol w:w="109"/>
        <w:gridCol w:w="109"/>
        <w:gridCol w:w="1510"/>
        <w:gridCol w:w="1510"/>
        <w:gridCol w:w="21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arrangement.</w:t>
            </w:r>
          </w:p>
        </w:tc>
      </w:tr>
    </w:tbl>
    <w:tbl>
      <w:tblPr>
        <w:tblW w:w="7647" w:type="dxa"/>
        <w:jc w:val="left"/>
        <w:tblInd w:w="0" w:type="dxa"/>
        <w:tblLayout w:type="fixed"/>
        <w:tblCellMar>
          <w:top w:w="28" w:type="dxa"/>
          <w:left w:w="28" w:type="dxa"/>
          <w:bottom w:w="28" w:type="dxa"/>
          <w:right w:w="28" w:type="dxa"/>
        </w:tblCellMar>
      </w:tblPr>
      <w:tblGrid>
        <w:gridCol w:w="124"/>
        <w:gridCol w:w="109"/>
        <w:gridCol w:w="109"/>
        <w:gridCol w:w="2138"/>
        <w:gridCol w:w="2138"/>
        <w:gridCol w:w="3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portions of this exhibit have been omitted pursuant to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pPr>
      <w:r>
        <w:rPr>
          <w:rFonts w:ascii="Times New Roman;serif" w:hAnsi="Times New Roman;serif"/>
          <w:b/>
          <w:color w:val="000000"/>
          <w:sz w:val="20"/>
        </w:rPr>
        <w:t>ITEM 16.</w:t>
      </w:r>
      <w:r>
        <w:rPr>
          <w:color w:val="000000"/>
        </w:rPr>
        <w:t>    </w:t>
      </w:r>
      <w:r>
        <w:rPr>
          <w:rFonts w:ascii="Times New Roman;serif" w:hAnsi="Times New Roman;serif"/>
          <w:b/>
          <w:color w:val="000000"/>
          <w:sz w:val="20"/>
        </w:rPr>
        <w:t xml:space="preserve">10-K SUMMARY </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5f0824a78cd40128656bda5d24bc4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6"/>
        </w:rPr>
        <w:t>Pursuant to the requirements of Section 13 or 15(d) of the Securities Exchange Act of 1934, the registrant has duly caused this report to be signed on its behalf by the undersigned, thereunto duly authorized, in the City of Reston, Commonwealth of Virginia, on the 5</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 xml:space="preserve">day of February 2026. </w:t>
      </w:r>
    </w:p>
    <w:p>
      <w:pPr>
        <w:pStyle w:val="TextBody"/>
        <w:bidi w:val="0"/>
        <w:spacing w:lineRule="auto" w:line="288" w:before="0" w:after="0"/>
        <w:jc w:val="left"/>
        <w:rPr/>
      </w:pPr>
      <w:r>
        <w:rPr>
          <w:color w:val="000000"/>
        </w:rPr>
        <w:t>                            </w:t>
      </w:r>
      <w:r>
        <w:rPr>
          <w:rFonts w:ascii="Times New Roman;serif" w:hAnsi="Times New Roman;serif"/>
          <w:b w:val="false"/>
          <w:color w:val="000000"/>
          <w:sz w:val="16"/>
        </w:rPr>
        <w:t>VERISIGN, INC</w:t>
      </w:r>
      <w:r>
        <w:rPr>
          <w:rFonts w:ascii="Times New Roman;serif" w:hAnsi="Times New Roman;serif"/>
          <w:b w:val="false"/>
          <w:color w:val="000000"/>
          <w:sz w:val="20"/>
        </w:rPr>
        <w:t>.</w:t>
      </w:r>
    </w:p>
    <w:tbl>
      <w:tblPr>
        <w:tblW w:w="3177" w:type="dxa"/>
        <w:jc w:val="left"/>
        <w:tblInd w:w="0" w:type="dxa"/>
        <w:tblLayout w:type="fixed"/>
        <w:tblCellMar>
          <w:top w:w="28" w:type="dxa"/>
          <w:left w:w="28" w:type="dxa"/>
          <w:bottom w:w="28" w:type="dxa"/>
          <w:right w:w="28" w:type="dxa"/>
        </w:tblCellMar>
      </w:tblPr>
      <w:tblGrid>
        <w:gridCol w:w="124"/>
        <w:gridCol w:w="109"/>
        <w:gridCol w:w="109"/>
        <w:gridCol w:w="115"/>
        <w:gridCol w:w="115"/>
        <w:gridCol w:w="115"/>
        <w:gridCol w:w="728"/>
        <w:gridCol w:w="728"/>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 JAMES BIDZOS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James Bidzos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(Principal Executive Officer)</w:t>
            </w:r>
          </w:p>
        </w:tc>
      </w:tr>
    </w:tbl>
    <w:p>
      <w:pPr>
        <w:pStyle w:val="TextBody"/>
        <w:bidi w:val="0"/>
        <w:spacing w:lineRule="auto" w:line="288" w:before="2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KNOW ALL PERSONS BY THESE PRESENTS that each individual whose signature appears below constitutes and appoints D. James Bidzos, John D. Calys, and Thomas C. Indelicarto, and each of them, his or her true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6"/>
        </w:rPr>
        <w:t>Pursuant to the requirements of the Securities Exchange Act of 1934, this report has been signed by the following persons on behalf of the registrant and in the capacities indicated on the 5</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 xml:space="preserve">day of February 2026. </w:t>
      </w:r>
    </w:p>
    <w:tbl>
      <w:tblPr>
        <w:tblW w:w="7632" w:type="dxa"/>
        <w:jc w:val="center"/>
        <w:tblInd w:w="0" w:type="dxa"/>
        <w:tblLayout w:type="fixed"/>
        <w:tblCellMar>
          <w:top w:w="28" w:type="dxa"/>
          <w:left w:w="28" w:type="dxa"/>
          <w:bottom w:w="28" w:type="dxa"/>
          <w:right w:w="28" w:type="dxa"/>
        </w:tblCellMar>
      </w:tblPr>
      <w:tblGrid>
        <w:gridCol w:w="1143"/>
        <w:gridCol w:w="1005"/>
        <w:gridCol w:w="1017"/>
        <w:gridCol w:w="109"/>
        <w:gridCol w:w="109"/>
        <w:gridCol w:w="109"/>
        <w:gridCol w:w="1205"/>
        <w:gridCol w:w="1205"/>
        <w:gridCol w:w="1730"/>
      </w:tblGrid>
      <w:tr>
        <w:trPr/>
        <w:tc>
          <w:tcPr>
            <w:tcW w:w="11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 JAMES BIDZOS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Executive Chairman and Director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(Principal Executive Officer)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 JAMES BIDZOS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(Principal Financial Officer and Principal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Accounting Officer)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D. CALYS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COURTNEY D.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COURTNEY D.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YEHUDA ARI BUCHALTER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YEHUDA ARI BUCHALTER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KATHLEEN A. COTE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KATHLEEN A. COTE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MATTHEW J. DESCH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MATTHEW J. DESCH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JAMIE S. GORELICK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JAMIE S. GORELICK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DEBRA W. MCCANN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DEBRA W. MCCANN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549F"/>
          <w:sz w:val="32"/>
        </w:rPr>
      </w:pPr>
      <w:r>
        <w:rPr>
          <w:rFonts w:ascii="Helvetica;sans-serif" w:hAnsi="Helvetica;sans-serif"/>
          <w:b/>
          <w:color w:val="00549F"/>
          <w:sz w:val="32"/>
        </w:rPr>
        <w:t>INSIDER TRADING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pPr>
      <w:r>
        <w:rPr>
          <w:rFonts w:ascii="Helvetica;sans-serif" w:hAnsi="Helvetica;sans-serif"/>
          <w:b/>
          <w:color w:val="4D4F53"/>
          <w:sz w:val="22"/>
        </w:rPr>
        <w:t xml:space="preserve">Effective Date: </w:t>
      </w:r>
      <w:r>
        <w:rPr>
          <w:rFonts w:ascii="Helvetica;sans-serif" w:hAnsi="Helvetica;sans-serif"/>
          <w:b w:val="false"/>
          <w:color w:val="4D4F53"/>
          <w:sz w:val="22"/>
        </w:rPr>
        <w:t>July 21, 2025</w:t>
      </w:r>
    </w:p>
    <w:p>
      <w:pPr>
        <w:pStyle w:val="TextBody"/>
        <w:bidi w:val="0"/>
        <w:spacing w:lineRule="auto" w:line="288" w:before="0" w:after="120"/>
        <w:jc w:val="left"/>
        <w:rPr/>
      </w:pPr>
      <w:r>
        <w:rPr>
          <w:rFonts w:ascii="Helvetica;sans-serif" w:hAnsi="Helvetica;sans-serif"/>
          <w:b/>
          <w:color w:val="4D4F53"/>
          <w:sz w:val="22"/>
        </w:rPr>
        <w:t xml:space="preserve">Version: </w:t>
      </w:r>
      <w:r>
        <w:rPr>
          <w:rFonts w:ascii="Helvetica;sans-serif" w:hAnsi="Helvetica;sans-serif"/>
          <w:b w:val="false"/>
          <w:color w:val="4D4F53"/>
          <w:sz w:val="22"/>
        </w:rPr>
        <w:t xml:space="preserve">4.2 </w:t>
      </w:r>
    </w:p>
    <w:p>
      <w:pPr>
        <w:pStyle w:val="TextBody"/>
        <w:bidi w:val="0"/>
        <w:spacing w:lineRule="auto" w:line="288" w:before="0" w:after="120"/>
        <w:jc w:val="left"/>
        <w:rPr/>
      </w:pPr>
      <w:r>
        <w:rPr>
          <w:rFonts w:ascii="Helvetica;sans-serif" w:hAnsi="Helvetica;sans-serif"/>
          <w:b/>
          <w:color w:val="4D4F53"/>
          <w:sz w:val="22"/>
        </w:rPr>
        <w:t xml:space="preserve">Owner: </w:t>
      </w:r>
      <w:r>
        <w:rPr>
          <w:rFonts w:ascii="Helvetica;sans-serif" w:hAnsi="Helvetica;sans-serif"/>
          <w:b w:val="false"/>
          <w:color w:val="000000"/>
          <w:sz w:val="22"/>
        </w:rPr>
        <w:t>Compliance Officer</w:t>
      </w:r>
    </w:p>
    <w:p>
      <w:pPr>
        <w:pStyle w:val="TextBody"/>
        <w:bidi w:val="0"/>
        <w:spacing w:lineRule="auto" w:line="288" w:before="0" w:after="120"/>
        <w:jc w:val="left"/>
        <w:rPr/>
      </w:pPr>
      <w:r>
        <w:rPr>
          <w:rFonts w:ascii="Helvetica;sans-serif" w:hAnsi="Helvetica;sans-serif"/>
          <w:b/>
          <w:color w:val="4D4F53"/>
          <w:sz w:val="22"/>
        </w:rPr>
        <w:t xml:space="preserve">Department: </w:t>
      </w:r>
      <w:r>
        <w:rPr>
          <w:rFonts w:ascii="Helvetica;sans-serif" w:hAnsi="Helvetica;sans-serif"/>
          <w:b w:val="false"/>
          <w:color w:val="000000"/>
          <w:sz w:val="22"/>
        </w:rPr>
        <w:t>Law Department</w:t>
      </w:r>
    </w:p>
    <w:p>
      <w:pPr>
        <w:pStyle w:val="TextBody"/>
        <w:bidi w:val="0"/>
        <w:spacing w:lineRule="auto" w:line="288" w:before="0" w:after="0"/>
        <w:jc w:val="left"/>
        <w:rPr/>
      </w:pPr>
      <w:r>
        <w:rPr>
          <w:rFonts w:ascii="Helvetica;sans-serif" w:hAnsi="Helvetica;sans-serif"/>
          <w:b/>
          <w:color w:val="4D4F53"/>
          <w:sz w:val="22"/>
        </w:rPr>
        <w:t xml:space="preserve">Review Cycle: </w:t>
      </w:r>
      <w:r>
        <w:rPr>
          <w:rFonts w:ascii="Helvetica;sans-serif" w:hAnsi="Helvetica;sans-serif"/>
          <w:b w:val="false"/>
          <w:color w:val="000000"/>
          <w:sz w:val="22"/>
        </w:rPr>
        <w:t>3 Years</w:t>
      </w:r>
    </w:p>
    <w:p>
      <w:pPr>
        <w:pStyle w:val="TextBody"/>
        <w:bidi w:val="0"/>
        <w:spacing w:before="0" w:after="0"/>
        <w:jc w:val="left"/>
        <w:rPr/>
      </w:pPr>
      <w:r>
        <w:rPr/>
      </w:r>
    </w:p>
    <w:p>
      <w:pPr>
        <w:pStyle w:val="TextBody"/>
        <w:bidi w:val="0"/>
        <w:spacing w:lineRule="auto" w:line="288" w:before="0" w:after="240"/>
        <w:ind w:left="0" w:right="0" w:hanging="360"/>
        <w:jc w:val="left"/>
        <w:rPr>
          <w:rFonts w:ascii="Helvetica;sans-serif" w:hAnsi="Helvetica;sans-serif"/>
          <w:b/>
          <w:color w:val="0070C0"/>
          <w:sz w:val="24"/>
        </w:rPr>
      </w:pPr>
      <w:r>
        <w:rPr>
          <w:rFonts w:ascii="Helvetica;sans-serif" w:hAnsi="Helvetica;sans-serif"/>
          <w:b/>
          <w:color w:val="0070C0"/>
          <w:sz w:val="24"/>
        </w:rPr>
        <w:t>1.Purpose</w: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The purpose of this Policy is to provide guidelines with respect to transactions in the securities of VeriSign, Inc. (“Verisign”). Federal and State securities laws prohibit any director, employee, or consultant of Verisign (collectively, referred to herein as “directors, employees, and consultants”) from trading in the securities of a company, directly or indirectly, while aware of material non-public information. These laws also prohibit any director, employee, or consultant of Verisign from conveying material non-public information to others who may trade on the basis of that information (a practice known as “tipping”). Verisign has adopted this Policy to comply with Federal and State securities laws that prohibit (i) trading in Verisign securities while aware of material non-public information, and (ii) tipping or disclosing material non-public information to outsiders, and to prevent the appearance of improper trading or tipping.</w:t>
      </w:r>
    </w:p>
    <w:p>
      <w:pPr>
        <w:pStyle w:val="TextBody"/>
        <w:bidi w:val="0"/>
        <w:spacing w:before="0" w:after="0"/>
        <w:jc w:val="both"/>
        <w:rPr/>
      </w:pPr>
      <w:r>
        <w:rPr/>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2.Scope</w: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This Policy applies to all directors, employees, and any consultants (as specified by the Compliance Officer, see “4.6 Special Rules for Consultants” below) of Verisign, members of their families who reside in their households and any others living in their households, any members of their families who do not reside in their household but whose transactions are subject to their influence or control, and entities (such as trusts and corporations) over which the directors, employees, or consultants have or share voting or investment control, or otherwise have influence over.</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This Policy applies to any and all transactions in Verisign’s securities, including purchases, sales, and gifts of its common stock, restricted stock units, and options to purchase common stock (as described in more detail under “4.3. Exempt Transactions”), and any other type of securities that Verisign may issue, such as preferred stock, convertible debentures, warrants and exchange-traded options or other derivative securities and any other publicly traded debt instruments of Verisign.</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This Policy is not limited to trading in Verisign’s securities and applies to trading in the securities of other companies with which Verisign has or may have a business relationship, such as Verisign’s customers, distributors, suppliers, registrars, or companies with which Verisign may be negotiating a major transaction. Information that is not material to Verisign may nevertheless be material to another company.</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0580"/>
                <wp:effectExtent l="0" t="0" r="0" b="0"/>
                <wp:wrapNone/>
                <wp:docPr id="65" name="Frame64"/>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 xml:space="preserve">3.Definitions </w:t>
      </w:r>
    </w:p>
    <w:p>
      <w:pPr>
        <w:pStyle w:val="TextBody"/>
        <w:bidi w:val="0"/>
        <w:spacing w:lineRule="auto" w:line="288" w:before="0" w:after="0"/>
        <w:jc w:val="left"/>
        <w:rPr/>
      </w:pPr>
      <w:r>
        <w:rPr>
          <w:rFonts w:ascii="Helvetica;sans-serif" w:hAnsi="Helvetica;sans-serif"/>
          <w:b/>
          <w:color w:val="000000"/>
          <w:sz w:val="22"/>
        </w:rPr>
        <w:t>Access Persons:</w:t>
      </w:r>
      <w:r>
        <w:rPr>
          <w:color w:val="000000"/>
        </w:rPr>
        <w:t xml:space="preserve"> </w:t>
      </w:r>
      <w:r>
        <w:rPr>
          <w:rFonts w:ascii="Helvetica;sans-serif" w:hAnsi="Helvetica;sans-serif"/>
          <w:b w:val="false"/>
          <w:color w:val="000000"/>
          <w:sz w:val="22"/>
        </w:rPr>
        <w:t xml:space="preserve">Verisign has designated persons (other than the directors and Section 16 Officers) who have regular access to material non-public information in the normal course of their duties for Verisign; each designated person is referred to herein as an “Access Person.” Verisign review its designations from time to time as necessary to reflect any persons becoming, or ceasing to be, Access Persons. Any person who has regular access to material non-public information in the normal course of such person’s duties and is uncertain as to whether he or she is or should be designated as an Access Person should assume that he or she is an Access Person and consult the Compliance Officer. Verisign will promptly notify any Access Person in writing (via email) if Verisign determines that such Access Person no longer has regular access to material non-public information about Verisign and such Access Person will automatically be deemed to be removed as an Access Person effective upon the date of such determination. If an Access Person ceases to be an employee of Verisign, such Access Person will automatically cease being an Access Person and be removed, or deemed removed, effective upon the date of termination of such Access Person’s employment with Verisign. If an Access Person is aware of material non-public information at the time of termination, the Access Person may not trade in Verisign’s securities until that information has been publicly disclosed or is no longer material. </w:t>
      </w:r>
    </w:p>
    <w:p>
      <w:pPr>
        <w:pStyle w:val="TextBody"/>
        <w:bidi w:val="0"/>
        <w:spacing w:before="0" w:after="0"/>
        <w:jc w:val="both"/>
        <w:rPr/>
      </w:pPr>
      <w:r>
        <w:rPr/>
      </w:r>
    </w:p>
    <w:p>
      <w:pPr>
        <w:pStyle w:val="TextBody"/>
        <w:bidi w:val="0"/>
        <w:spacing w:lineRule="auto" w:line="288" w:before="0" w:after="0"/>
        <w:jc w:val="left"/>
        <w:rPr/>
      </w:pPr>
      <w:r>
        <w:rPr>
          <w:rFonts w:ascii="Helvetica;sans-serif" w:hAnsi="Helvetica;sans-serif"/>
          <w:b/>
          <w:color w:val="000000"/>
          <w:sz w:val="22"/>
        </w:rPr>
        <w:t>Blackout Periods:</w:t>
      </w:r>
      <w:r>
        <w:rPr>
          <w:color w:val="000000"/>
        </w:rPr>
        <w:t xml:space="preserve"> </w:t>
      </w:r>
      <w:r>
        <w:rPr>
          <w:rFonts w:ascii="Helvetica;sans-serif" w:hAnsi="Helvetica;sans-serif"/>
          <w:b w:val="false"/>
          <w:color w:val="000000"/>
          <w:sz w:val="22"/>
        </w:rPr>
        <w:t>From time to time, an event may occur that may be material to Verisign and is known to only a few directors, employees, or consultants. In this situation, the Compliance Officer may notify these persons that they are not permitted to trade in Verisign’s securities (“Blackout Period”).</w:t>
      </w:r>
    </w:p>
    <w:p>
      <w:pPr>
        <w:pStyle w:val="TextBody"/>
        <w:bidi w:val="0"/>
        <w:spacing w:before="0" w:after="0"/>
        <w:jc w:val="both"/>
        <w:rPr/>
      </w:pPr>
      <w:r>
        <w:rPr/>
      </w:r>
    </w:p>
    <w:p>
      <w:pPr>
        <w:pStyle w:val="TextBody"/>
        <w:bidi w:val="0"/>
        <w:spacing w:lineRule="auto" w:line="288" w:before="0" w:after="0"/>
        <w:jc w:val="left"/>
        <w:rPr/>
      </w:pPr>
      <w:r>
        <w:rPr>
          <w:rFonts w:ascii="Helvetica;sans-serif" w:hAnsi="Helvetica;sans-serif"/>
          <w:b/>
          <w:color w:val="000000"/>
          <w:sz w:val="22"/>
        </w:rPr>
        <w:t>Material Information:</w:t>
      </w:r>
      <w:r>
        <w:rPr>
          <w:color w:val="000000"/>
        </w:rPr>
        <w:t xml:space="preserve"> </w:t>
      </w:r>
      <w:r>
        <w:rPr>
          <w:rFonts w:ascii="Helvetica;sans-serif" w:hAnsi="Helvetica;sans-serif"/>
          <w:b w:val="false"/>
          <w:color w:val="000000"/>
          <w:sz w:val="22"/>
        </w:rPr>
        <w:t>Information about a company is “material” if it would be expected to affect the investment or voting decisions of a reasonable stockholder or investor, or if the disclosure of the information would be expected to significantly alter the total mix of information in the marketplace about a company. In simple terms, material information is any type of information that could reasonably be expected to affect the market price of a company’s securities. Both positive and negative information may be material. While it is not possible to identify all information that would be deemed “material,” the following types of information ordinarily would be considered material:</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Significant changes to projections of financial results, including revenues and expenses.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Quarterly or annual earnings or losses prior to public disclosure.</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Significant changes in financial performance or liquidity, including a company restructuring or a change in a company’s credit rating.</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Potential significant mergers and acquisitions or significant sales of a company’s assets or subsidiaries.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Information about major contracts, including the gain or loss of a material customer or supplier.</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 xml:space="preserve">Significant changes to Verisign’s material agreements. </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Stock splits, public or private securities/debt offerings, significant securities repurchase transactions or changes in dividend policies or amounts.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Changes in senior management or the external auditor.</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New cybersecurity risks or incidents, including cyber-attacks and security breaches, whether known to be critical or potentially significant.</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2"/>
        </w:rPr>
        <w:t>Institution of, or developments in, major litigation, investigations, or regulatory actions or proceedings.</w:t>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0580"/>
                <wp:effectExtent l="0" t="0" r="0" b="0"/>
                <wp:wrapNone/>
                <wp:docPr id="66" name="Frame65"/>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Any director, employee or consultant who is unsure if information is material must consult with the Compliance Officer for guidance before trading.</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Non-Public Information:</w:t>
      </w:r>
      <w:r>
        <w:rPr>
          <w:color w:val="000000"/>
        </w:rPr>
        <w:t xml:space="preserve"> </w:t>
      </w:r>
      <w:r>
        <w:rPr>
          <w:rFonts w:ascii="Helvetica;sans-serif" w:hAnsi="Helvetica;sans-serif"/>
          <w:b w:val="false"/>
          <w:color w:val="000000"/>
          <w:sz w:val="22"/>
        </w:rPr>
        <w:t>Material information is “non-public” if it has (i) not been widely disseminated to the public, and (ii) the investing public has not had sufficient time to absorb and evaluate the information. For the purposes of this Policy, information will be considered public, that is, no longer “non-public” after 4:00 p.m. Eastern Time on the first full trading day following Verisign’s widespread public release of the information. For example, if an announcement is made on a Monday before the market opens (i.e., before 9:30 a.m.), a person would not be able to trade until after 4:00 p.m. on Monday. But if an announcement is made on a Monday at any time after the market opens (i.e., after 9:30 a.m.), a person would not be able to trade until after 4:00 p.m. on Tuesday. Any employees who are unsure whether the information they are aware of is non-public must consult the Compliance Officer for guidance before trading.</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Section 16 Officers:</w:t>
      </w:r>
      <w:r>
        <w:rPr>
          <w:color w:val="000000"/>
        </w:rPr>
        <w:t xml:space="preserve"> </w:t>
      </w:r>
      <w:r>
        <w:rPr>
          <w:rFonts w:ascii="Helvetica;sans-serif" w:hAnsi="Helvetica;sans-serif"/>
          <w:b w:val="false"/>
          <w:color w:val="000000"/>
          <w:sz w:val="22"/>
        </w:rPr>
        <w:t>Verisign has designated persons subject to the reporting provisions and trading restrictions of Section 16 of the Securities Exchange Act of 1934, as amended (the “Exchange Act”), and the underlying rules and regulations promulgated by the U.S. Securities and Exchange Commission (the “SEC”); each such designated person is referred to herein individually as a “Section 16 Officer,” and collectively as “Section 16 Officers.”</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 xml:space="preserve">Senior Executives: </w:t>
      </w:r>
      <w:r>
        <w:rPr>
          <w:rFonts w:ascii="Helvetica;sans-serif" w:hAnsi="Helvetica;sans-serif"/>
          <w:b w:val="false"/>
          <w:color w:val="000000"/>
          <w:sz w:val="22"/>
        </w:rPr>
        <w:t>All employees of Verisign who are Senior Vice Presidents or above whether or not such employee is a Section 16 Officer.</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 xml:space="preserve">Trading Window: </w:t>
      </w:r>
      <w:r>
        <w:rPr>
          <w:rFonts w:ascii="Helvetica;sans-serif" w:hAnsi="Helvetica;sans-serif"/>
          <w:b w:val="false"/>
          <w:color w:val="000000"/>
          <w:sz w:val="22"/>
        </w:rPr>
        <w:t>The Trading Window is the period beginning after 4:00 p.m. Eastern Time one full trading day following the later of (i) Verisign’s filing of its Annual Report on Form 10-K or Quarterly Report on Form 10-Q with the SEC and (ii) the widespread public release of quarterly or year-end earnings and ending at 4:00 p.m. Eastern Time on the second trading day of the third month of the then-current quarter.</w:t>
      </w:r>
    </w:p>
    <w:p>
      <w:pPr>
        <w:pStyle w:val="TextBody"/>
        <w:bidi w:val="0"/>
        <w:spacing w:before="0" w:after="0"/>
        <w:jc w:val="both"/>
        <w:rPr/>
      </w:pPr>
      <w:r>
        <w:rPr/>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 xml:space="preserve">4.Policy </w:t>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4.1Responsibility</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Directors, employees, and consultants are responsible for ensuring compliance with this Policy by their families and other members of their households and entities over which they exercise voting or investment control. In all cases, the responsibility for determining whether an individual is aware of material non-public information rests with that individual, and any action on the part of Verisign, the Compliance Officer, or any other employee or director pursuant to this Policy (or otherwise) does not in any way constitute legal advice or insulate an individual from liability under applicable securities laws. Therefore, under this Policy, a director, employee, or consultant is responsible for the transactions of these other persons and entities and therefore should make them aware of the need to confer with such director, employee, or consultant before trading in Verisign securities.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An individual could be subject to severe legal penalties and disciplinary action by Verisign for any conduct prohibited by this Policy or applicable securities laws, as described below in more detail under “6. Failure to Comply.”</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0580"/>
                <wp:effectExtent l="0" t="0" r="0" b="0"/>
                <wp:wrapNone/>
                <wp:docPr id="67" name="Frame66"/>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4.2    Terms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It is Verisign’s policy to comply with Federal and State securities laws governing (i) trading in Verisign securities while aware of material non-public information concerning Verisign and (ii) tipping or disclosing material non-public information to outsiders. The objectives of Verisign include prohibiting certain activities relating to trades in Verisign’s securities by directors, employees, and consultants and establishing Trading Windows and Blackout Periods.</w:t>
      </w:r>
    </w:p>
    <w:p>
      <w:pPr>
        <w:pStyle w:val="TextBody"/>
        <w:bidi w:val="0"/>
        <w:spacing w:before="0" w:after="0"/>
        <w:jc w:val="left"/>
        <w:rPr/>
      </w:pPr>
      <w:r>
        <w:rPr/>
      </w:r>
    </w:p>
    <w:p>
      <w:pPr>
        <w:pStyle w:val="TextBody"/>
        <w:bidi w:val="0"/>
        <w:spacing w:lineRule="auto" w:line="288" w:before="0" w:after="0"/>
        <w:ind w:left="0" w:right="0" w:hanging="450"/>
        <w:jc w:val="left"/>
        <w:rPr>
          <w:rFonts w:ascii="Helvetica;sans-serif" w:hAnsi="Helvetica;sans-serif"/>
          <w:b w:val="false"/>
          <w:color w:val="000000"/>
          <w:sz w:val="22"/>
        </w:rPr>
      </w:pPr>
      <w:r>
        <w:rPr>
          <w:rFonts w:ascii="Helvetica;sans-serif" w:hAnsi="Helvetica;sans-serif"/>
          <w:b w:val="false"/>
          <w:color w:val="000000"/>
          <w:sz w:val="22"/>
        </w:rPr>
        <w:t>4.2.1No director, employee, or consultant may trade in Verisign securities (i) while aware of material non-public information concerning Verisign or (ii) during a Blackout Period applicable to such director, employee, or consultant designated by the Compliance Officer. No director, employee, or consultant may disclose to any outside third party or other employees, who are not subject to the blackout, that a Blackout Period has been designated. It does not matter that there is an independent, justifiable reason for a purchase or sale; if the director, employee, or consultant is aware of material non-public information or is subject to a Blackout Period, the prohibition still applies.</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4.2.2Directors, Section 16 Officers, and Access Persons may only trade in Verisign securities during an applicable Trading Window; provided that no director, Section 16 Officer, or Access Person may trade in Verisign securities even during a Trading Window if a Blackout Period applicable to such director, Section 16 Officer or Access Person has been designated by the Compliance Officer or such director, Section 16 Officer, or Access Person is aware of material non-public information. See “4.4 Special Rules for Directors, Section 16 Officers, and Senior Executives” below.</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4.2.3No director, Section 16 Officer (other than the Compliance Officer) or Senior Executive may trade in Verisign securities unless the trade has been approved by the Compliance Officer. See “4.4 Special Rules for Directors, Section 16 Officers, and Senior Executives” below.</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4.2.4The Compliance Officer may not trade in Verisign securities unless the trade has been approved by Verisign’s Chief Executive Officer or Chief Financial Officer. See “4.4 Special Rules for Directors, Section 16 Officers, and Senior Executives” below.</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 xml:space="preserve">4.2.5No director, employee, or consultant may disclose material non-public information concerning Verisign to any outside person (including family members, analysts, individual investors, members of the investment community, and news media), unless required as part of that director’s, employee’s, or consultant’s regular duties for Verisign or authorized by the Compliance Officer. In any instance in which such information is, or will be, disclosed to outsiders, Verisign will take such steps as are necessary to preserve the confidentiality of the information, including requiring the outsider to agree in writing to comply with the terms of this Policy and/or sign a confidentiality agreement or otherwise comply with all applicable Federal and State securities laws. All inquiries from outsiders regarding material non-public information about Verisign must be provided to the Compliance Officer.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0580"/>
                <wp:effectExtent l="0" t="0" r="0" b="0"/>
                <wp:wrapNone/>
                <wp:docPr id="68" name="Frame67"/>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 xml:space="preserve">4.2.6No director, employee, or consultant may give trading advice of any kind about Verisign to anyone while aware of material non-public information about Verisign; except that directors, employees, and consultants should advise others not to trade if doing so might violate the law or this Policy. Verisign strongly discourages all directors, employees, and consultants from giving trading advice concerning Verisign to third parties even when such directors, employees, or consultants are not aware of material non-public information about Verisign. </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4.2.7No director, employee, or consultant may trade in any interest or position relating to the future price of Verisign securities, such as a put, call, or short sale (including a short sale “against the box“) other than a broker-assisted cashless exercise conducted in accordance with Regulation T of the Federal Reserve System.</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4.2.8No director, employee, or consultant may engage in hedging or monetization transaction using Company securities, including through the use of financial instruments such as prepaid variable forwards, equity swaps, collars, and exchange funds.</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 xml:space="preserve">4.2.9Directors, employees, and consultants are prohibited from holding Company securities in a margin account or otherwise pledging Company securities as collateral. </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4.2.10The Policy’s restrictions, including the Trading Window and Compliance Officer approval of trades by directors, Section 16 Officers, and Senior Executives, apply to a director’s, employee’s or consultant’s transactions in exchange traded funds and mutual funds where Verisign represents greater than 10% of the fund’s value.</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4.2.11No director, employee, or consultant may (i) trade in the securities of any other public company while aware of material non-public information concerning that company obtained in the course of service as an director, employee, or consultant (ii) “tip” or disclose such material non-public information concerning such other public company to anyone, or (iii) give trading advice of any kind to anyone concerning such other public company while aware of such material non-public information about that company.</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4.2.12No director, employee, or consultant may gift or make any other transfer of securities without consideration during a period when that director, employee, or consultant is not permitted to trade.</w:t>
      </w:r>
    </w:p>
    <w:p>
      <w:pPr>
        <w:pStyle w:val="TextBody"/>
        <w:bidi w:val="0"/>
        <w:spacing w:before="0" w:after="0"/>
        <w:jc w:val="both"/>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4.3    Exempt Transactions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This Policy does not apply in the case of the following transactions, except as specifically noted: </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Helvetica;sans-serif" w:hAnsi="Helvetica;sans-serif"/>
          <w:b w:val="false"/>
          <w:color w:val="000000"/>
          <w:sz w:val="22"/>
        </w:rPr>
        <w:t>4.3.1.</w:t>
      </w:r>
      <w:r>
        <w:rPr>
          <w:rFonts w:ascii="Helvetica;sans-serif" w:hAnsi="Helvetica;sans-serif"/>
          <w:b w:val="false"/>
          <w:color w:val="000000"/>
          <w:sz w:val="22"/>
          <w:u w:val="single"/>
        </w:rPr>
        <w:t>Employee Stock Purchase Plan</w:t>
      </w:r>
      <w:r>
        <w:rPr>
          <w:color w:val="000000"/>
        </w:rPr>
        <w:t xml:space="preserve"> </w:t>
      </w:r>
      <w:r>
        <w:rPr>
          <w:rFonts w:ascii="Helvetica;sans-serif" w:hAnsi="Helvetica;sans-serif"/>
          <w:b w:val="false"/>
          <w:color w:val="000000"/>
          <w:sz w:val="22"/>
        </w:rPr>
        <w:t xml:space="preserve">- The trading prohibitions and restrictions set forth in this Policy do not apply to transactions under Verisign’s employee stock purchase plan, which is used to purchase Company securities pursuant to the employee’s advance instructions. However, no employee may alter his or her instructions regarding the level of withholding under such plan while aware of material non-public information. Section 16 Officers and Access Persons may only alter their instructions regarding the level of withholding under such plan during a Trading </w:t>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0580"/>
                <wp:effectExtent l="0" t="0" r="0" b="0"/>
                <wp:wrapNone/>
                <wp:docPr id="69" name="Frame68"/>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Window. Any sale of securities acquired under such plan is subject to the prohibitions and restrictions of this Policy.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Helvetica;sans-serif" w:hAnsi="Helvetica;sans-serif"/>
          <w:b w:val="false"/>
          <w:color w:val="000000"/>
          <w:sz w:val="22"/>
        </w:rPr>
        <w:t>4.3.2.</w:t>
      </w:r>
      <w:r>
        <w:rPr>
          <w:rFonts w:ascii="Helvetica;sans-serif" w:hAnsi="Helvetica;sans-serif"/>
          <w:b w:val="false"/>
          <w:color w:val="000000"/>
          <w:sz w:val="22"/>
          <w:u w:val="single"/>
        </w:rPr>
        <w:t>Equity Incentive Plan</w:t>
      </w:r>
      <w:r>
        <w:rPr>
          <w:color w:val="000000"/>
        </w:rPr>
        <w:t xml:space="preserve"> </w:t>
      </w:r>
      <w:r>
        <w:rPr>
          <w:rFonts w:ascii="Helvetica;sans-serif" w:hAnsi="Helvetica;sans-serif"/>
          <w:b w:val="false"/>
          <w:color w:val="000000"/>
          <w:sz w:val="22"/>
        </w:rPr>
        <w:t>- The trading prohibitions and restrictions of this Policy apply to all sales of securities acquired through the exercise of stock options (including as a result of a broker-assisted cashless exercise) and the vesting of restricted stock units and other equity-based incentive awards granted by Verisign under its equity incentive plans, but not to the acquisition of the securities through such exercises or vesting. Notwithstanding the foregoing, the trading prohibitions and restrictions set forth in this Policy do not apply to the withholding of stock by Verisign upon the vesting of restricted stock units or exercise of stock options in satisfaction of tax withholding obligations.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Helvetica;sans-serif" w:hAnsi="Helvetica;sans-serif"/>
          <w:b w:val="false"/>
          <w:color w:val="000000"/>
          <w:sz w:val="22"/>
        </w:rPr>
        <w:t>4.3.3.</w:t>
      </w:r>
      <w:r>
        <w:rPr>
          <w:rFonts w:ascii="Helvetica;sans-serif" w:hAnsi="Helvetica;sans-serif"/>
          <w:b w:val="false"/>
          <w:color w:val="000000"/>
          <w:sz w:val="22"/>
          <w:u w:val="single"/>
        </w:rPr>
        <w:t>Rule 10b5-1 Plan</w:t>
      </w:r>
      <w:r>
        <w:rPr>
          <w:color w:val="000000"/>
        </w:rPr>
        <w:t xml:space="preserve"> </w:t>
      </w:r>
      <w:r>
        <w:rPr>
          <w:rFonts w:ascii="Helvetica;sans-serif" w:hAnsi="Helvetica;sans-serif"/>
          <w:b w:val="false"/>
          <w:color w:val="000000"/>
          <w:sz w:val="22"/>
        </w:rPr>
        <w:t>- Transactions effected pursuant to a pre-cleared and fully executed Rule 10b5-1 Plan do not require further pre-clearance at the time of the transaction and can occur outside of a Trading Window or during a Blackout Period. See “4.5 Rule 10b5-1 Plans” below.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Helvetica;sans-serif" w:hAnsi="Helvetica;sans-serif"/>
          <w:b w:val="false"/>
          <w:color w:val="000000"/>
          <w:sz w:val="22"/>
        </w:rPr>
        <w:t>4.3.4.</w:t>
      </w:r>
      <w:r>
        <w:rPr>
          <w:rFonts w:ascii="Helvetica;sans-serif" w:hAnsi="Helvetica;sans-serif"/>
          <w:b w:val="false"/>
          <w:color w:val="000000"/>
          <w:sz w:val="22"/>
          <w:u w:val="single"/>
        </w:rPr>
        <w:t>Dividend Reinvestment Plans</w:t>
      </w:r>
      <w:r>
        <w:rPr>
          <w:color w:val="000000"/>
        </w:rPr>
        <w:t xml:space="preserve"> </w:t>
      </w:r>
      <w:r>
        <w:rPr>
          <w:rFonts w:ascii="Helvetica;sans-serif" w:hAnsi="Helvetica;sans-serif"/>
          <w:b w:val="false"/>
          <w:color w:val="000000"/>
          <w:sz w:val="22"/>
        </w:rPr>
        <w:t>- This Policy’s trading restrictions do not apply to purchases of Company stock made under an established broker Dividend Reinvestment Plan.  The trading restrictions do apply, however, to an election to participate in an established broker Dividend Reinvestment Plan.  Thus, such an election may not be made if the participant is aware of material non-public information and, if an Access Person, unless made during an open trading window.  All trading restrictions under this Policy apply to the reinvestment of dividend payments in Company stock when not made pursuant to an established broker Dividend Reinvestment Plan.  Company stock acquired under an established broker Dividend Reinvestment Plan or otherwise is treated under this Policy the same as other Company stock and the sale of such Company stock must comply with all provisions of this Policy. A Dividend Reinvestment Plan allows the participant to automatically reinvest their cash dividends into additional shares of the underlying stock</w:t>
      </w:r>
    </w:p>
    <w:p>
      <w:pPr>
        <w:pStyle w:val="TextBody"/>
        <w:bidi w:val="0"/>
        <w:spacing w:before="0" w:after="0"/>
        <w:jc w:val="both"/>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4.4    Special Rules for Directors, Section 16 Officers, and Senior Executives</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No director, Section 16 Officer, or Senior Executive may trade in Company securities, unless and until:</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4.4.1.The person trading has notified the Compliance Officer in writing of the amount or maximum number of shares or other securities to be traded and nature of the proposed trade(s);</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4.4.2.The person trading has certified to the Compliance Officer in writing prior to the proposed trade(s) that:</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A.such person is not aware of material non-public information about Verisign;</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 xml:space="preserve">B.the proposed trade(s) comply with the requirements of Section 16 of the Exchange Act and Rule 144 of the Securities Act, including the volume limitations, manner of sale, and notice requirements of Rule 144, to the extent </w:t>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0580"/>
                <wp:effectExtent l="0" t="0" r="0" b="0"/>
                <wp:wrapNone/>
                <wp:docPr id="70" name="Frame69"/>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applicable and that no opposite way transactions have occurred in the last six months (or are likely to occur in the next six months);</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C.the shares subject to the proposed trade(s) are not restricted, or if restricted, the applicable holding period has been met; and</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D.that Verisign is not advancing money to him or her;</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4.4.3.The Compliance Officer has approved the trade(s) and has certified his/her approval in writing (if the person trading is the Compliance Officer, then the trade must be approved by the Chief Executive Officer or Chief Financial Officer); and</w:t>
      </w:r>
    </w:p>
    <w:p>
      <w:pPr>
        <w:pStyle w:val="TextBody"/>
        <w:bidi w:val="0"/>
        <w:spacing w:before="0" w:after="0"/>
        <w:jc w:val="left"/>
        <w:rPr/>
      </w:pPr>
      <w:r>
        <w:rPr/>
      </w:r>
    </w:p>
    <w:p>
      <w:pPr>
        <w:pStyle w:val="TextBody"/>
        <w:bidi w:val="0"/>
        <w:spacing w:lineRule="auto" w:line="288" w:before="0" w:after="0"/>
        <w:ind w:left="0" w:right="0" w:hanging="360"/>
        <w:jc w:val="left"/>
        <w:rPr>
          <w:rFonts w:ascii="Helvetica;sans-serif" w:hAnsi="Helvetica;sans-serif"/>
          <w:b w:val="false"/>
          <w:color w:val="000000"/>
          <w:sz w:val="22"/>
        </w:rPr>
      </w:pPr>
      <w:r>
        <w:rPr>
          <w:rFonts w:ascii="Helvetica;sans-serif" w:hAnsi="Helvetica;sans-serif"/>
          <w:b w:val="false"/>
          <w:color w:val="000000"/>
          <w:sz w:val="22"/>
        </w:rPr>
        <w:t>4.4.4.The certifications made to the Compliance Officer are true and correct at the time any such trade or trades are executed.</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If a transaction is approved, the transaction must be executed within five trading days after the approval is obtained, but regardless may not be executed by the director, Section 16 Officer, or Access Person if he or she becomes aware of material non-public information concerning Verisign during that time. If a transaction is not completed within the period described above, the transaction must be approved again before it may be executed.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If a proposed transaction is not approved, the person requesting the transaction must refrain from initiating any transaction in Company securities and must not inform anyone within or outside of Verisign of the restriction.</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To facilitate documentation of these actions, Verisign utilizes a pre-approval form that can be obtained from the Compliance Officer. A director, Section 16 Officer, or Senior Executive may only make elections to participate in a Dividend Reinvestment Plan during an open trading window and when not aware of material non-public information. Pre-approval is not required. </w:t>
      </w:r>
    </w:p>
    <w:p>
      <w:pPr>
        <w:pStyle w:val="TextBody"/>
        <w:bidi w:val="0"/>
        <w:spacing w:before="0" w:after="0"/>
        <w:jc w:val="both"/>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4.5    Rule 10b5-1 Plans</w:t>
      </w:r>
    </w:p>
    <w:p>
      <w:pPr>
        <w:pStyle w:val="TextBody"/>
        <w:bidi w:val="0"/>
        <w:spacing w:before="0" w:after="0"/>
        <w:jc w:val="both"/>
        <w:rPr/>
      </w:pPr>
      <w:r>
        <w:rPr/>
      </w:r>
    </w:p>
    <w:p>
      <w:pPr>
        <w:pStyle w:val="TextBody"/>
        <w:bidi w:val="0"/>
        <w:spacing w:lineRule="auto" w:line="288" w:before="0" w:after="0"/>
        <w:jc w:val="left"/>
        <w:rPr/>
      </w:pPr>
      <w:r>
        <w:rPr>
          <w:rFonts w:ascii="Helvetica;sans-serif" w:hAnsi="Helvetica;sans-serif"/>
          <w:b w:val="false"/>
          <w:color w:val="000000"/>
          <w:sz w:val="22"/>
        </w:rPr>
        <w:t xml:space="preserve">Any director, employee or consultant who wishes to implement a Rule 10b5-1 Plan must first pre-clear such plan with the Compliance Officer. The requirements for implementing a Rule 10b5-1 Plan are set forth in </w:t>
      </w:r>
      <w:r>
        <w:rPr>
          <w:rFonts w:ascii="Helvetica;sans-serif" w:hAnsi="Helvetica;sans-serif"/>
          <w:b w:val="false"/>
          <w:color w:val="000000"/>
          <w:sz w:val="22"/>
          <w:u w:val="single"/>
        </w:rPr>
        <w:t>Appendix – 10b5-1 Plan Requirements</w:t>
      </w:r>
      <w:r>
        <w:rPr>
          <w:rFonts w:ascii="Helvetica;sans-serif" w:hAnsi="Helvetica;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4.6    Special Rules for Consultants</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Written notice must be provided to the Compliance Officer by any resource manager who is retaining a consultant, contractor, contingent worker, or vendor (collectively, a “consultant”) who may have access to material non-public information. The Compliance Officer will determine whether such consultant should be subject to this Policy.</w:t>
      </w:r>
    </w:p>
    <w:p>
      <w:pPr>
        <w:pStyle w:val="TextBody"/>
        <w:bidi w:val="0"/>
        <w:spacing w:before="0" w:after="0"/>
        <w:jc w:val="both"/>
        <w:rPr/>
      </w:pPr>
      <w:r>
        <w:rPr/>
      </w:r>
    </w:p>
    <w:p>
      <w:pPr>
        <w:pStyle w:val="TextBody"/>
        <w:bidi w:val="0"/>
        <w:spacing w:lineRule="auto" w:line="288" w:before="0" w:after="0"/>
        <w:ind w:left="0" w:right="0" w:hanging="720"/>
        <w:jc w:val="both"/>
        <w:rPr>
          <w:rFonts w:ascii="Helvetica;sans-serif" w:hAnsi="Helvetica;sans-serif"/>
          <w:b/>
          <w:color w:val="0070C0"/>
          <w:sz w:val="22"/>
        </w:rPr>
      </w:pPr>
      <w:r>
        <w:rPr>
          <w:rFonts w:ascii="Helvetica;sans-serif" w:hAnsi="Helvetica;sans-serif"/>
          <w:b/>
          <w:color w:val="0070C0"/>
          <w:sz w:val="22"/>
        </w:rPr>
        <w:t>4.7    Administration of the Policy</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The Compliance Officer, or another employee designated by the Compliance Officer, is responsible for the implementation and administration of this Policy. If the Board of Directors or an applicable Committee of the Board of Directors has not designated a Compliance Officer, the General Counsel shall be responsible for the implementation and administration of this Policy. </w:t>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0580"/>
                <wp:effectExtent l="0" t="0" r="0" b="0"/>
                <wp:wrapNone/>
                <wp:docPr id="71" name="Frame70"/>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All determinations and interpretations under this Policy by the Compliance Officer shall be final and not subject to further review.</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Helvetica;sans-serif" w:hAnsi="Helvetica;sans-serif"/>
          <w:b/>
          <w:color w:val="0070C0"/>
          <w:sz w:val="22"/>
        </w:rPr>
        <w:t>5.</w:t>
      </w:r>
      <w:r>
        <w:rPr>
          <w:rFonts w:ascii="Helvetica;sans-serif" w:hAnsi="Helvetica;sans-serif"/>
          <w:b/>
          <w:color w:val="0070C0"/>
          <w:sz w:val="24"/>
        </w:rPr>
        <w:t xml:space="preserve">Policy Review </w: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Verisign reserves the right to review, amend, modify, or suspend this Policy in its sole discretion at any time. </w:t>
      </w:r>
    </w:p>
    <w:p>
      <w:pPr>
        <w:pStyle w:val="TextBody"/>
        <w:bidi w:val="0"/>
        <w:spacing w:before="0" w:after="0"/>
        <w:ind w:left="0" w:right="0" w:hanging="360"/>
        <w:jc w:val="left"/>
        <w:rPr/>
      </w:pPr>
      <w:r>
        <w:rPr/>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 xml:space="preserve">6.Failure to Comply </w: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The consequences of engaging in prohibited insider trading or tipping can be severe, including significant fines and imprisonment. The Company and/or the supervisors of the person violating the rules may also be required to pay civil or criminal penalties and could, under certain circumstances, be subject to private lawsuits for damages suffered as a result of illegal insider trading or tipping by persons under Verisign’s control.</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Violation of this Policy or Federal or State insider trading laws by any employee may subject him or her to disciplinary action by Verisign up to and including termination for cause. A violation of this Policy is not necessarily the same as a violation of law. The Company reserves the right to determine, in its own discretion and on the basis of the information available to it, whether this Policy has been violated. The Company may determine that specific conduct violates the Policy, whether or not the conduct also violates the law. It is not necessary for Verisign to await filing or conclusion of a civil or criminal action against the alleged violator before taking disciplinary action. </w:t>
      </w:r>
    </w:p>
    <w:p>
      <w:pPr>
        <w:pStyle w:val="TextBody"/>
        <w:bidi w:val="0"/>
        <w:spacing w:before="0" w:after="0"/>
        <w:jc w:val="both"/>
        <w:rPr/>
      </w:pPr>
      <w:r>
        <w:rPr/>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 xml:space="preserve">7.Exceptions </w:t>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Any exception requests to this Policy must be made to the Compliance Officer in advance and in writing. The Compliance Officer shall promptly report all such granted exception requests to the Board of Directors.</w:t>
      </w:r>
    </w:p>
    <w:p>
      <w:pPr>
        <w:pStyle w:val="TextBody"/>
        <w:bidi w:val="0"/>
        <w:spacing w:before="0" w:after="0"/>
        <w:ind w:left="0" w:right="0" w:hanging="360"/>
        <w:jc w:val="left"/>
        <w:rPr/>
      </w:pPr>
      <w:r>
        <w:rPr/>
      </w:r>
    </w:p>
    <w:p>
      <w:pPr>
        <w:pStyle w:val="TextBody"/>
        <w:bidi w:val="0"/>
        <w:spacing w:lineRule="auto" w:line="288" w:before="0" w:after="240"/>
        <w:ind w:left="0" w:right="0" w:hanging="360"/>
        <w:jc w:val="both"/>
        <w:rPr>
          <w:rFonts w:ascii="Helvetica;sans-serif" w:hAnsi="Helvetica;sans-serif"/>
          <w:b/>
          <w:color w:val="0070C0"/>
          <w:sz w:val="24"/>
        </w:rPr>
      </w:pPr>
      <w:r>
        <w:rPr>
          <w:rFonts w:ascii="Helvetica;sans-serif" w:hAnsi="Helvetica;sans-serif"/>
          <w:b/>
          <w:color w:val="0070C0"/>
          <w:sz w:val="24"/>
        </w:rPr>
        <w:t xml:space="preserve">8.Related Documents </w:t>
      </w:r>
    </w:p>
    <w:p>
      <w:pPr>
        <w:pStyle w:val="TextBody"/>
        <w:bidi w:val="0"/>
        <w:spacing w:lineRule="auto" w:line="288" w:before="0" w:after="0"/>
        <w:ind w:left="0" w:right="0" w:hanging="360"/>
        <w:jc w:val="left"/>
        <w:rPr/>
      </w:pPr>
      <w:r>
        <w:rPr>
          <w:color w:val="4D4F53"/>
        </w:rPr>
        <w:t>•</w:t>
      </w:r>
      <w:r>
        <w:rPr>
          <w:rFonts w:ascii="Helvetica;sans-serif" w:hAnsi="Helvetica;sans-serif"/>
          <w:b w:val="false"/>
          <w:color w:val="4D4F53"/>
          <w:sz w:val="22"/>
        </w:rPr>
        <w:t>Procedures for Rule 10b5-1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0580"/>
                <wp:effectExtent l="0" t="0" r="0" b="0"/>
                <wp:wrapNone/>
                <wp:docPr id="72" name="Frame71"/>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r>
                                    <w:br w:type="page"/>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tbl>
                      <w:tblPr>
                        <w:tblW w:w="1019" w:type="dxa"/>
                        <w:jc w:val="left"/>
                        <w:tblInd w:w="0" w:type="dxa"/>
                        <w:tblLayout w:type="fixed"/>
                        <w:tblCellMar>
                          <w:top w:w="28" w:type="dxa"/>
                          <w:left w:w="28" w:type="dxa"/>
                          <w:bottom w:w="28" w:type="dxa"/>
                          <w:right w:w="28" w:type="dxa"/>
                        </w:tblCellMar>
                      </w:tblPr>
                      <w:tblGrid>
                        <w:gridCol w:w="326"/>
                        <w:gridCol w:w="287"/>
                        <w:gridCol w:w="40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op w:val="single" w:sz="4" w:space="0" w:color="7F7F7F"/>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color w:val="000000"/>
                              </w:rPr>
                              <w:t>    </w:t>
                            </w:r>
                            <w:r>
                              <w:rPr>
                                <w:rFonts w:ascii="Helvetica;sans-serif" w:hAnsi="Helvetica;sans-serif"/>
                                <w:b w:val="false"/>
                                <w:color w:val="000000"/>
                                <w:sz w:val="20"/>
                              </w:rPr>
                              <w:t>Page 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70C0"/>
          <w:sz w:val="24"/>
        </w:rPr>
      </w:pPr>
      <w:r>
        <w:rPr>
          <w:rFonts w:ascii="Helvetica;sans-serif" w:hAnsi="Helvetica;sans-serif"/>
          <w:b/>
          <w:color w:val="0070C0"/>
          <w:sz w:val="24"/>
        </w:rPr>
        <w:t>Appendix</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70C0"/>
          <w:sz w:val="24"/>
        </w:rPr>
      </w:pPr>
      <w:r>
        <w:rPr>
          <w:rFonts w:ascii="Helvetica;sans-serif" w:hAnsi="Helvetica;sans-serif"/>
          <w:b/>
          <w:color w:val="0070C0"/>
          <w:sz w:val="24"/>
        </w:rPr>
        <w:t>10b5-1 Plan Requirements</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Approval Required Before Entering into a Plan</w:t>
      </w:r>
      <w:r>
        <w:rPr>
          <w:rFonts w:ascii="Helvetica;sans-serif" w:hAnsi="Helvetica;sans-serif"/>
          <w:b w:val="false"/>
          <w:color w:val="000000"/>
          <w:sz w:val="22"/>
        </w:rPr>
        <w:t xml:space="preserve">: Any director, Section 16 Officer, employee, or consultant who wishes to implement a plan must first pre-clear such plan with the Compliance Officer. </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When You May Enter into a Plan</w:t>
      </w:r>
      <w:r>
        <w:rPr>
          <w:rFonts w:ascii="Helvetica;sans-serif" w:hAnsi="Helvetica;sans-serif"/>
          <w:b w:val="false"/>
          <w:color w:val="000000"/>
          <w:sz w:val="22"/>
        </w:rPr>
        <w:t xml:space="preserve">: A director, Section 16 Officer, employee, or consultant may only enter into a plan if that plan is entered into in good faith while that person is not aware of any material non-public information about the Company and not during a Blackout Period. Additionally, a director, Section 16 Officer, or Access Person may not enter into a plan outside of a Trading Window. </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Plan Parameters</w:t>
      </w:r>
      <w:r>
        <w:rPr>
          <w:rFonts w:ascii="Helvetica;sans-serif" w:hAnsi="Helvetica;sans-serif"/>
          <w:b w:val="false"/>
          <w:color w:val="000000"/>
          <w:sz w:val="22"/>
        </w:rPr>
        <w:t>: A director, Section 16 Officer, employee, or consultant may only enter into a plan meeting all of the following parameters: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1.</w:t>
      </w:r>
      <w:r>
        <w:rPr>
          <w:rFonts w:ascii="Helvetica;sans-serif" w:hAnsi="Helvetica;sans-serif"/>
          <w:b w:val="false"/>
          <w:color w:val="000000"/>
          <w:sz w:val="22"/>
          <w:u w:val="single"/>
        </w:rPr>
        <w:t>Eligible Brokers</w:t>
      </w:r>
      <w:r>
        <w:rPr>
          <w:rFonts w:ascii="Helvetica;sans-serif" w:hAnsi="Helvetica;sans-serif"/>
          <w:b w:val="false"/>
          <w:color w:val="000000"/>
          <w:sz w:val="22"/>
        </w:rPr>
        <w:t xml:space="preserve">: Directors, Section 16 Officers, employees, or consultants may only establish a plan with third parties approved by the Compliance Officer, which, in the case of employees other than directors and Section 16 Officers, is E*TRADE Securities LLC.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2.</w:t>
      </w:r>
      <w:r>
        <w:rPr>
          <w:rFonts w:ascii="Helvetica;sans-serif" w:hAnsi="Helvetica;sans-serif"/>
          <w:b w:val="false"/>
          <w:color w:val="000000"/>
          <w:sz w:val="22"/>
          <w:u w:val="single"/>
        </w:rPr>
        <w:t>Representations</w:t>
      </w:r>
      <w:r>
        <w:rPr>
          <w:rFonts w:ascii="Helvetica;sans-serif" w:hAnsi="Helvetica;sans-serif"/>
          <w:b w:val="false"/>
          <w:color w:val="000000"/>
          <w:sz w:val="22"/>
        </w:rPr>
        <w:t>: The plan must include a representation by the director, Section 16 Officer, employee, or consultant that (i) such person is not aware of any material non-public information concerning the Company and (ii) is adopting or modifying the plan in good faith and not as part of a plan or scheme to evade the prohibitions of Exchange Act Rule 10b5-1.</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3.</w:t>
      </w:r>
      <w:r>
        <w:rPr>
          <w:rFonts w:ascii="Helvetica;sans-serif" w:hAnsi="Helvetica;sans-serif"/>
          <w:b w:val="false"/>
          <w:color w:val="000000"/>
          <w:sz w:val="22"/>
          <w:u w:val="single"/>
        </w:rPr>
        <w:t>Company Termination</w:t>
      </w:r>
      <w:r>
        <w:rPr>
          <w:rFonts w:ascii="Helvetica;sans-serif" w:hAnsi="Helvetica;sans-serif"/>
          <w:b w:val="false"/>
          <w:color w:val="000000"/>
          <w:sz w:val="22"/>
        </w:rPr>
        <w:t>: The plan must permit the Company to terminate the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4.</w:t>
      </w:r>
      <w:r>
        <w:rPr>
          <w:rFonts w:ascii="Helvetica;sans-serif" w:hAnsi="Helvetica;sans-serif"/>
          <w:b w:val="false"/>
          <w:color w:val="000000"/>
          <w:sz w:val="22"/>
          <w:u w:val="single"/>
        </w:rPr>
        <w:t>Section 16 Compliance</w:t>
      </w:r>
      <w:r>
        <w:rPr>
          <w:rFonts w:ascii="Helvetica;sans-serif" w:hAnsi="Helvetica;sans-serif"/>
          <w:b w:val="false"/>
          <w:color w:val="000000"/>
          <w:sz w:val="22"/>
        </w:rPr>
        <w:t>: All trades to be made pursuant to the plan must be made in compliance with Section 16 under the Exchange Act and Rule 144 under the Securities Act, including the volume limitations, manner of sale and notice requirements of Rule 144, to the extent applicable.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5.</w:t>
      </w:r>
      <w:r>
        <w:rPr>
          <w:rFonts w:ascii="Helvetica;sans-serif" w:hAnsi="Helvetica;sans-serif"/>
          <w:b w:val="false"/>
          <w:color w:val="000000"/>
          <w:sz w:val="22"/>
          <w:u w:val="single"/>
        </w:rPr>
        <w:t>10b5-1 Compliance</w:t>
      </w:r>
      <w:r>
        <w:rPr>
          <w:rFonts w:ascii="Helvetica;sans-serif" w:hAnsi="Helvetica;sans-serif"/>
          <w:b w:val="false"/>
          <w:color w:val="000000"/>
          <w:sz w:val="22"/>
        </w:rPr>
        <w:t>: The plan must comply with all of the requirements of Rule 10b5-1.</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6.</w:t>
      </w:r>
      <w:r>
        <w:rPr>
          <w:rFonts w:ascii="Helvetica;sans-serif" w:hAnsi="Helvetica;sans-serif"/>
          <w:b w:val="false"/>
          <w:color w:val="000000"/>
          <w:sz w:val="22"/>
          <w:u w:val="single"/>
        </w:rPr>
        <w:t>Duration of Plan</w:t>
      </w:r>
      <w:r>
        <w:rPr>
          <w:rFonts w:ascii="Helvetica;sans-serif" w:hAnsi="Helvetica;sans-serif"/>
          <w:b w:val="false"/>
          <w:color w:val="000000"/>
          <w:sz w:val="22"/>
        </w:rPr>
        <w:t>: The duration of plan shall not be for less than six months or more than two years.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Helvetica;sans-serif" w:hAnsi="Helvetica;sans-serif"/>
          <w:b w:val="false"/>
          <w:color w:val="000000"/>
          <w:sz w:val="22"/>
        </w:rPr>
        <w:t>7.</w:t>
      </w:r>
      <w:r>
        <w:rPr>
          <w:rFonts w:ascii="Helvetica;sans-serif" w:hAnsi="Helvetica;sans-serif"/>
          <w:b w:val="false"/>
          <w:color w:val="000000"/>
          <w:sz w:val="22"/>
          <w:u w:val="single"/>
        </w:rPr>
        <w:t>Waiting Period Under a Plan</w:t>
      </w:r>
      <w:r>
        <w:rPr>
          <w:rFonts w:ascii="Helvetica;sans-serif" w:hAnsi="Helvetica;sans-serif"/>
          <w:b w:val="false"/>
          <w:color w:val="000000"/>
          <w:sz w:val="22"/>
        </w:rPr>
        <w:t>: For directors and Section 16 Officers, the first trade under a plan may not occur until the later of 90 days after the adoption of the plan, or two business days following the disclosure of the Company’s financial results in a Form 10-K or Form 10-Q relating to the fiscal quarter in which the plan was adopted. In no event shall the waiting period exceed 120 days from the adoption of the plan. For employees (other than Section 16 Officers), the first trade under the plan may not occur until 30 days after the adoption of the plan.</w:t>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color w:val="00549F"/>
          <w:sz w:val="24"/>
        </w:rPr>
      </w:pPr>
      <w:r>
        <w:rPr>
          <w:rFonts w:ascii="Helvetica;sans-serif" w:hAnsi="Helvetica;sans-serif"/>
          <w:b/>
          <w:color w:val="00549F"/>
          <w:sz w:val="24"/>
        </w:rPr>
        <w:t>VERISIGN, INC.</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55320"/>
                <wp:effectExtent l="0" t="0" r="0" b="0"/>
                <wp:wrapNone/>
                <wp:docPr id="73" name="Frame72"/>
                <a:graphic xmlns:a="http://schemas.openxmlformats.org/drawingml/2006/main">
                  <a:graphicData uri="http://schemas.microsoft.com/office/word/2010/wordprocessingShape">
                    <wps:wsp>
                      <wps:cNvSpPr txBox="1"/>
                      <wps:spPr>
                        <a:xfrm>
                          <a:off x="0" y="0"/>
                          <a:ext cx="6480175" cy="655320"/>
                        </a:xfrm>
                        <a:prstGeom prst="rect"/>
                        <a:solidFill>
                          <a:srgbClr val="FFFFFF"/>
                        </a:solidFill>
                      </wps:spPr>
                      <wps:txbx>
                        <w:txbxContent>
                          <w:tbl>
                            <w:tblPr>
                              <w:tblW w:w="1215" w:type="dxa"/>
                              <w:jc w:val="left"/>
                              <w:tblInd w:w="0" w:type="dxa"/>
                              <w:tblLayout w:type="fixed"/>
                              <w:tblCellMar>
                                <w:top w:w="28" w:type="dxa"/>
                                <w:left w:w="28" w:type="dxa"/>
                                <w:bottom w:w="28" w:type="dxa"/>
                                <w:right w:w="28" w:type="dxa"/>
                              </w:tblCellMar>
                            </w:tblPr>
                            <w:tblGrid>
                              <w:gridCol w:w="389"/>
                              <w:gridCol w:w="342"/>
                              <w:gridCol w:w="484"/>
                            </w:tblGrid>
                            <w:tr>
                              <w:trPr/>
                              <w:tc>
                                <w:tcPr>
                                  <w:tcW w:w="389" w:type="dxa"/>
                                  <w:tcBorders/>
                                  <w:vAlign w:val="center"/>
                                </w:tcPr>
                                <w:p>
                                  <w:pPr>
                                    <w:pStyle w:val="TableContents"/>
                                    <w:bidi w:val="0"/>
                                    <w:spacing w:before="0" w:after="283"/>
                                    <w:jc w:val="left"/>
                                    <w:rPr>
                                      <w:sz w:val="4"/>
                                      <w:szCs w:val="4"/>
                                    </w:rPr>
                                  </w:pPr>
                                  <w:r>
                                    <w:rPr>
                                      <w:sz w:val="4"/>
                                      <w:szCs w:val="4"/>
                                    </w:rPr>
                                  </w:r>
                                  <w:r>
                                    <w:br w:type="page"/>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4" w:space="0" w:color="7F7F7F"/>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Helvetica;sans-serif" w:hAnsi="Helvetica;sans-serif"/>
                                      <w:b w:val="false"/>
                                      <w:color w:val="000000"/>
                                      <w:sz w:val="20"/>
                                    </w:rPr>
                                    <w:t>Page 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pt;mso-wrap-distance-left:0pt;mso-wrap-distance-right:0pt;mso-wrap-distance-top:0pt;mso-wrap-distance-bottom:0pt;margin-top:0pt;mso-position-vertical:top;mso-position-vertical-relative:text;margin-left:0pt;mso-position-horizontal:left;mso-position-horizontal-relative:text">
                <v:textbox>
                  <w:txbxContent>
                    <w:tbl>
                      <w:tblPr>
                        <w:tblW w:w="1215" w:type="dxa"/>
                        <w:jc w:val="left"/>
                        <w:tblInd w:w="0" w:type="dxa"/>
                        <w:tblLayout w:type="fixed"/>
                        <w:tblCellMar>
                          <w:top w:w="28" w:type="dxa"/>
                          <w:left w:w="28" w:type="dxa"/>
                          <w:bottom w:w="28" w:type="dxa"/>
                          <w:right w:w="28" w:type="dxa"/>
                        </w:tblCellMar>
                      </w:tblPr>
                      <w:tblGrid>
                        <w:gridCol w:w="389"/>
                        <w:gridCol w:w="342"/>
                        <w:gridCol w:w="484"/>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4" w:space="0" w:color="7F7F7F"/>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Helvetica;sans-serif" w:hAnsi="Helvetica;sans-serif"/>
                                <w:b w:val="false"/>
                                <w:color w:val="000000"/>
                                <w:sz w:val="20"/>
                              </w:rPr>
                              <w:t>Page 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Helvetica;sans-serif" w:hAnsi="Helvetica;sans-serif"/>
          <w:b w:val="false"/>
          <w:color w:val="000000"/>
          <w:sz w:val="22"/>
        </w:rPr>
        <w:t>8.</w:t>
      </w:r>
      <w:r>
        <w:rPr>
          <w:rFonts w:ascii="Helvetica;sans-serif" w:hAnsi="Helvetica;sans-serif"/>
          <w:b w:val="false"/>
          <w:color w:val="000000"/>
          <w:sz w:val="22"/>
          <w:u w:val="single"/>
        </w:rPr>
        <w:t>Trading Instructions</w:t>
      </w:r>
      <w:r>
        <w:rPr>
          <w:rFonts w:ascii="Helvetica;sans-serif" w:hAnsi="Helvetica;sans-serif"/>
          <w:b w:val="false"/>
          <w:color w:val="000000"/>
          <w:sz w:val="22"/>
        </w:rPr>
        <w:t xml:space="preserve">: The plan must be a non-discretionary plan in the form of a written, binding contract and shall specify: the amount or number of shares to be traded at a particular date and a limit price at which a certain number of shares are to be traded. Single-trade plans (i.e., plans that designed to execute only a single transaction) are generally prohibited. </w:t>
      </w:r>
    </w:p>
    <w:p>
      <w:pPr>
        <w:pStyle w:val="TextBody"/>
        <w:bidi w:val="0"/>
        <w:spacing w:before="0" w:after="0"/>
        <w:jc w:val="both"/>
        <w:rPr/>
      </w:pPr>
      <w:r>
        <w:rPr/>
      </w:r>
    </w:p>
    <w:p>
      <w:pPr>
        <w:pStyle w:val="TextBody"/>
        <w:bidi w:val="0"/>
        <w:spacing w:lineRule="auto" w:line="288" w:before="0" w:after="100"/>
        <w:ind w:left="0" w:right="0" w:hanging="360"/>
        <w:jc w:val="both"/>
        <w:rPr/>
      </w:pPr>
      <w:r>
        <w:rPr>
          <w:rFonts w:ascii="Helvetica;sans-serif" w:hAnsi="Helvetica;sans-serif"/>
          <w:b w:val="false"/>
          <w:color w:val="000000"/>
          <w:sz w:val="22"/>
        </w:rPr>
        <w:t>9.</w:t>
      </w:r>
      <w:r>
        <w:rPr>
          <w:rFonts w:ascii="Helvetica;sans-serif" w:hAnsi="Helvetica;sans-serif"/>
          <w:b w:val="false"/>
          <w:color w:val="000000"/>
          <w:sz w:val="22"/>
          <w:u w:val="single"/>
        </w:rPr>
        <w:t>Prohibition on Multiple Overlapping Plans</w:t>
      </w:r>
      <w:r>
        <w:rPr>
          <w:rFonts w:ascii="Helvetica;sans-serif" w:hAnsi="Helvetica;sans-serif"/>
          <w:b w:val="false"/>
          <w:color w:val="000000"/>
          <w:sz w:val="22"/>
        </w:rPr>
        <w:t>: Directors, Section 16 Officers, employees, or consultants are generally prohibited from having more than one plan for open market purchases or sales of the Company securities at a time.</w:t>
      </w:r>
    </w:p>
    <w:p>
      <w:pPr>
        <w:pStyle w:val="TextBody"/>
        <w:bidi w:val="0"/>
        <w:spacing w:lineRule="auto" w:line="288" w:before="0" w:after="0"/>
        <w:jc w:val="left"/>
        <w:rPr/>
      </w:pPr>
      <w:r>
        <w:rPr>
          <w:rFonts w:ascii="Helvetica;sans-serif" w:hAnsi="Helvetica;sans-serif"/>
          <w:b/>
          <w:color w:val="000000"/>
          <w:sz w:val="22"/>
        </w:rPr>
        <w:t>Amendment or Modification of a Plan</w:t>
      </w:r>
      <w:r>
        <w:rPr>
          <w:rFonts w:ascii="Helvetica;sans-serif" w:hAnsi="Helvetica;sans-serif"/>
          <w:b w:val="false"/>
          <w:color w:val="000000"/>
          <w:sz w:val="22"/>
        </w:rPr>
        <w:t>: Amendments or modifications:</w:t>
      </w:r>
    </w:p>
    <w:p>
      <w:pPr>
        <w:pStyle w:val="TextBody"/>
        <w:bidi w:val="0"/>
        <w:spacing w:before="0" w:after="0"/>
        <w:jc w:val="left"/>
        <w:rPr/>
      </w:pPr>
      <w:r>
        <w:rPr/>
      </w:r>
    </w:p>
    <w:p>
      <w:pPr>
        <w:pStyle w:val="TextBody"/>
        <w:bidi w:val="0"/>
        <w:spacing w:lineRule="auto" w:line="288" w:before="0" w:after="0"/>
        <w:ind w:left="0" w:right="0" w:hanging="360"/>
        <w:jc w:val="both"/>
        <w:rPr>
          <w:rFonts w:ascii="Helvetica;sans-serif" w:hAnsi="Helvetica;sans-serif"/>
          <w:b w:val="false"/>
          <w:color w:val="000000"/>
          <w:sz w:val="22"/>
        </w:rPr>
      </w:pPr>
      <w:r>
        <w:rPr>
          <w:rFonts w:ascii="Helvetica;sans-serif" w:hAnsi="Helvetica;sans-serif"/>
          <w:b w:val="false"/>
          <w:color w:val="000000"/>
          <w:sz w:val="22"/>
        </w:rPr>
        <w:t>1.must be pre-cleared in writing by the Compliance Officer.</w:t>
      </w:r>
    </w:p>
    <w:p>
      <w:pPr>
        <w:pStyle w:val="TextBody"/>
        <w:bidi w:val="0"/>
        <w:spacing w:before="0" w:after="0"/>
        <w:jc w:val="left"/>
        <w:rPr/>
      </w:pPr>
      <w:r>
        <w:rPr/>
      </w:r>
    </w:p>
    <w:p>
      <w:pPr>
        <w:pStyle w:val="TextBody"/>
        <w:bidi w:val="0"/>
        <w:spacing w:lineRule="auto" w:line="288" w:before="0" w:after="0"/>
        <w:ind w:left="0" w:right="0" w:hanging="360"/>
        <w:jc w:val="both"/>
        <w:rPr>
          <w:rFonts w:ascii="Helvetica;sans-serif" w:hAnsi="Helvetica;sans-serif"/>
          <w:b w:val="false"/>
          <w:color w:val="000000"/>
          <w:sz w:val="22"/>
        </w:rPr>
      </w:pPr>
      <w:r>
        <w:rPr>
          <w:rFonts w:ascii="Helvetica;sans-serif" w:hAnsi="Helvetica;sans-serif"/>
          <w:b w:val="false"/>
          <w:color w:val="000000"/>
          <w:sz w:val="22"/>
        </w:rPr>
        <w:t>2.may only be entered into if the amendment or modification is entered into in good faith while that person is not aware of any material non-public information about the Company and is not subject to a Blackout Period; and</w:t>
      </w:r>
    </w:p>
    <w:p>
      <w:pPr>
        <w:pStyle w:val="TextBody"/>
        <w:bidi w:val="0"/>
        <w:spacing w:before="0" w:after="0"/>
        <w:jc w:val="left"/>
        <w:rPr/>
      </w:pPr>
      <w:r>
        <w:rPr/>
      </w:r>
    </w:p>
    <w:p>
      <w:pPr>
        <w:pStyle w:val="TextBody"/>
        <w:bidi w:val="0"/>
        <w:spacing w:lineRule="auto" w:line="288" w:before="0" w:after="0"/>
        <w:ind w:left="0" w:right="0" w:hanging="360"/>
        <w:jc w:val="both"/>
        <w:rPr>
          <w:rFonts w:ascii="Helvetica;sans-serif" w:hAnsi="Helvetica;sans-serif"/>
          <w:b w:val="false"/>
          <w:color w:val="000000"/>
          <w:sz w:val="22"/>
        </w:rPr>
      </w:pPr>
      <w:r>
        <w:rPr>
          <w:rFonts w:ascii="Helvetica;sans-serif" w:hAnsi="Helvetica;sans-serif"/>
          <w:b w:val="false"/>
          <w:color w:val="000000"/>
          <w:sz w:val="22"/>
        </w:rPr>
        <w:t xml:space="preserve">3.will be treated as a termination of the current plan and creation of a new plan and will be subject to all requirements regarding establishment of new plans, including a new waiting period.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2"/>
        </w:rPr>
      </w:pPr>
      <w:r>
        <w:rPr>
          <w:rFonts w:ascii="Helvetica;sans-serif" w:hAnsi="Helvetica;sans-serif"/>
          <w:b w:val="false"/>
          <w:color w:val="000000"/>
          <w:sz w:val="22"/>
        </w:rPr>
        <w:t xml:space="preserve">Additionally, a director, Section 16 Officer, or an Access Person may not amend or modify a plan outside of a Trading Window. </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Terminations of a Plan</w:t>
      </w:r>
      <w:r>
        <w:rPr>
          <w:rFonts w:ascii="Helvetica;sans-serif" w:hAnsi="Helvetica;sans-serif"/>
          <w:b w:val="false"/>
          <w:color w:val="000000"/>
          <w:sz w:val="22"/>
        </w:rPr>
        <w:t>: If a director, Section 16 Officer, employee, or consultant wishes to terminate their plan, they must notify the Compliance Officer in advance.</w:t>
      </w:r>
    </w:p>
    <w:p>
      <w:pPr>
        <w:pStyle w:val="TextBody"/>
        <w:bidi w:val="0"/>
        <w:spacing w:before="0" w:after="0"/>
        <w:jc w:val="left"/>
        <w:rPr/>
      </w:pPr>
      <w:r>
        <w:rPr/>
      </w:r>
    </w:p>
    <w:p>
      <w:pPr>
        <w:pStyle w:val="TextBody"/>
        <w:bidi w:val="0"/>
        <w:spacing w:lineRule="auto" w:line="288" w:before="0" w:after="0"/>
        <w:jc w:val="left"/>
        <w:rPr/>
      </w:pPr>
      <w:r>
        <w:rPr>
          <w:rFonts w:ascii="Helvetica;sans-serif" w:hAnsi="Helvetica;sans-serif"/>
          <w:b/>
          <w:color w:val="000000"/>
          <w:sz w:val="22"/>
        </w:rPr>
        <w:t>Disclosure of Plans</w:t>
      </w:r>
      <w:r>
        <w:rPr>
          <w:rFonts w:ascii="Helvetica;sans-serif" w:hAnsi="Helvetica;sans-serif"/>
          <w:b w:val="false"/>
          <w:color w:val="000000"/>
          <w:sz w:val="22"/>
        </w:rPr>
        <w:t>: The Company will disclose in its Forms 10-Q and 10-K, any director or Section 16 Officer that adopted, modified or terminated a plan during the prior quarter as well as the material terms of the plan, including the name and title of the director or Section 16 Officer, the date of the adoption, modification or termination, the duration of the trading plan and the aggregate number of shares to be sold or purchased under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55320"/>
                <wp:effectExtent l="0" t="0" r="0" b="0"/>
                <wp:wrapNone/>
                <wp:docPr id="74" name="Frame73"/>
                <a:graphic xmlns:a="http://schemas.openxmlformats.org/drawingml/2006/main">
                  <a:graphicData uri="http://schemas.microsoft.com/office/word/2010/wordprocessingShape">
                    <wps:wsp>
                      <wps:cNvSpPr txBox="1"/>
                      <wps:spPr>
                        <a:xfrm>
                          <a:off x="0" y="0"/>
                          <a:ext cx="6480175" cy="655320"/>
                        </a:xfrm>
                        <a:prstGeom prst="rect"/>
                        <a:solidFill>
                          <a:srgbClr val="FFFFFF"/>
                        </a:solidFill>
                      </wps:spPr>
                      <wps:txbx>
                        <w:txbxContent>
                          <w:tbl>
                            <w:tblPr>
                              <w:tblW w:w="1215" w:type="dxa"/>
                              <w:jc w:val="left"/>
                              <w:tblInd w:w="0" w:type="dxa"/>
                              <w:tblLayout w:type="fixed"/>
                              <w:tblCellMar>
                                <w:top w:w="28" w:type="dxa"/>
                                <w:left w:w="28" w:type="dxa"/>
                                <w:bottom w:w="28" w:type="dxa"/>
                                <w:right w:w="28" w:type="dxa"/>
                              </w:tblCellMar>
                            </w:tblPr>
                            <w:tblGrid>
                              <w:gridCol w:w="389"/>
                              <w:gridCol w:w="342"/>
                              <w:gridCol w:w="484"/>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4" w:space="0" w:color="7F7F7F"/>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Helvetica;sans-serif" w:hAnsi="Helvetica;sans-serif"/>
                                      <w:b w:val="false"/>
                                      <w:color w:val="000000"/>
                                      <w:sz w:val="20"/>
                                    </w:rPr>
                                    <w:t>Page A-2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pt;mso-wrap-distance-left:0pt;mso-wrap-distance-right:0pt;mso-wrap-distance-top:0pt;mso-wrap-distance-bottom:0pt;margin-top:0pt;mso-position-vertical:top;mso-position-vertical-relative:text;margin-left:0pt;mso-position-horizontal:left;mso-position-horizontal-relative:text">
                <v:textbox>
                  <w:txbxContent>
                    <w:tbl>
                      <w:tblPr>
                        <w:tblW w:w="1215" w:type="dxa"/>
                        <w:jc w:val="left"/>
                        <w:tblInd w:w="0" w:type="dxa"/>
                        <w:tblLayout w:type="fixed"/>
                        <w:tblCellMar>
                          <w:top w:w="28" w:type="dxa"/>
                          <w:left w:w="28" w:type="dxa"/>
                          <w:bottom w:w="28" w:type="dxa"/>
                          <w:right w:w="28" w:type="dxa"/>
                        </w:tblCellMar>
                      </w:tblPr>
                      <w:tblGrid>
                        <w:gridCol w:w="389"/>
                        <w:gridCol w:w="342"/>
                        <w:gridCol w:w="484"/>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4" w:space="0" w:color="7F7F7F"/>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Helvetica;sans-serif" w:hAnsi="Helvetica;sans-serif"/>
                                <w:b w:val="false"/>
                                <w:color w:val="000000"/>
                                <w:sz w:val="20"/>
                              </w:rPr>
                              <w:t>Page A-2</w:t>
                            </w:r>
                          </w:p>
                        </w:tc>
                      </w:tr>
                    </w:tbl>
                    <w:p>
                      <w:pPr>
                        <w:pStyle w:val="TextBody"/>
                        <w:bidi w:val="0"/>
                        <w:spacing w:before="0" w:after="283"/>
                        <w:jc w:val="left"/>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23.01 </w:t>
      </w:r>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(Nos. 333-39212, 333-45237, 333-46803, 333-59458, 333-69818, 333-75236, 333-82941, 333-86178, 333-86188, 333-106395, 333-117908, 333-126352, 333-144590, 333-147136, and 333-223107) on Form S-8, the registration statements (Nos. 333-256347, 333-72222, 333-285483, and 333-288995) on Form S-3, and the registration statements (Nos. 333-190732, 333-204485, and 333-219525) on Form S-4 of our reports dated February 5, 2026, with respect to the consolidated financial statements of VeriSign, Inc. and the effectiveness of internal control over financial reporting.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McLean, Virginia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5,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certify that: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VeriSign, Inc.;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ind w:left="0" w:right="0" w:hanging="270"/>
        <w:jc w:val="left"/>
        <w:rPr/>
      </w:pPr>
      <w:r>
        <w:rPr/>
      </w:r>
    </w:p>
    <w:tbl>
      <w:tblPr>
        <w:tblW w:w="4888" w:type="dxa"/>
        <w:jc w:val="center"/>
        <w:tblInd w:w="0" w:type="dxa"/>
        <w:tblLayout w:type="fixed"/>
        <w:tblCellMar>
          <w:top w:w="28" w:type="dxa"/>
          <w:left w:w="28" w:type="dxa"/>
          <w:bottom w:w="28" w:type="dxa"/>
          <w:right w:w="28" w:type="dxa"/>
        </w:tblCellMar>
      </w:tblPr>
      <w:tblGrid>
        <w:gridCol w:w="716"/>
        <w:gridCol w:w="630"/>
        <w:gridCol w:w="634"/>
        <w:gridCol w:w="134"/>
        <w:gridCol w:w="134"/>
        <w:gridCol w:w="136"/>
        <w:gridCol w:w="731"/>
        <w:gridCol w:w="731"/>
        <w:gridCol w:w="1042"/>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certify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VeriSign, Inc.;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100"/>
        <w:jc w:val="left"/>
        <w:rPr/>
      </w:pPr>
      <w:r>
        <w:rPr/>
      </w:r>
    </w:p>
    <w:tbl>
      <w:tblPr>
        <w:tblW w:w="4903" w:type="dxa"/>
        <w:jc w:val="center"/>
        <w:tblInd w:w="0" w:type="dxa"/>
        <w:tblLayout w:type="fixed"/>
        <w:tblCellMar>
          <w:top w:w="28" w:type="dxa"/>
          <w:left w:w="28" w:type="dxa"/>
          <w:bottom w:w="28" w:type="dxa"/>
          <w:right w:w="28" w:type="dxa"/>
        </w:tblCellMar>
      </w:tblPr>
      <w:tblGrid>
        <w:gridCol w:w="716"/>
        <w:gridCol w:w="630"/>
        <w:gridCol w:w="634"/>
        <w:gridCol w:w="134"/>
        <w:gridCol w:w="134"/>
        <w:gridCol w:w="136"/>
        <w:gridCol w:w="735"/>
        <w:gridCol w:w="735"/>
        <w:gridCol w:w="104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Chief Executive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the Annual Report on Form 10-K of the Company for the fiscal year ended December 31, 2025,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4484" w:type="dxa"/>
        <w:jc w:val="center"/>
        <w:tblInd w:w="0" w:type="dxa"/>
        <w:tblLayout w:type="fixed"/>
        <w:tblCellMar>
          <w:top w:w="28" w:type="dxa"/>
          <w:left w:w="28" w:type="dxa"/>
          <w:bottom w:w="28" w:type="dxa"/>
          <w:right w:w="28" w:type="dxa"/>
        </w:tblCellMar>
      </w:tblPr>
      <w:tblGrid>
        <w:gridCol w:w="716"/>
        <w:gridCol w:w="630"/>
        <w:gridCol w:w="634"/>
        <w:gridCol w:w="731"/>
        <w:gridCol w:w="731"/>
        <w:gridCol w:w="1042"/>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Chief Financial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 the Annual Report on Form 10-K of the Company for the fiscal year ended December 31, 2025,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4499" w:type="dxa"/>
        <w:jc w:val="center"/>
        <w:tblInd w:w="0" w:type="dxa"/>
        <w:tblLayout w:type="fixed"/>
        <w:tblCellMar>
          <w:top w:w="28" w:type="dxa"/>
          <w:left w:w="28" w:type="dxa"/>
          <w:bottom w:w="28" w:type="dxa"/>
          <w:right w:w="28" w:type="dxa"/>
        </w:tblCellMar>
      </w:tblPr>
      <w:tblGrid>
        <w:gridCol w:w="716"/>
        <w:gridCol w:w="630"/>
        <w:gridCol w:w="634"/>
        <w:gridCol w:w="735"/>
        <w:gridCol w:w="735"/>
        <w:gridCol w:w="104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4473/000101447317000004/vrsn-20161231x10kxex301.htm" TargetMode="External"/><Relationship Id="rId4" Type="http://schemas.openxmlformats.org/officeDocument/2006/relationships/hyperlink" Target="https://www.sec.gov/Archives/edgar/data/1014473/000101447325000026/vrsnform8-k5222025xex301.htm" TargetMode="External"/><Relationship Id="rId5" Type="http://schemas.openxmlformats.org/officeDocument/2006/relationships/hyperlink" Target="https://www.sec.gov/Archives/edgar/data/1014473/000101447325000046/exhibit31verisignbylaws10-.htm" TargetMode="External"/><Relationship Id="rId6" Type="http://schemas.openxmlformats.org/officeDocument/2006/relationships/hyperlink" Target="https://www.sec.gov/Archives/edgar/data/1014473/000101447317000021/form8-k7517xex41.htm" TargetMode="External"/><Relationship Id="rId7" Type="http://schemas.openxmlformats.org/officeDocument/2006/relationships/hyperlink" Target="https://www.sec.gov/Archives/edgar/data/1014473/000114036121020169/brhc10025490_ex4-1.htm" TargetMode="External"/><Relationship Id="rId8" Type="http://schemas.openxmlformats.org/officeDocument/2006/relationships/hyperlink" Target="https://www.sec.gov/Archives/edgar/data/1014473/000114036121020169/brhc10025490_ex4-2.htm" TargetMode="External"/><Relationship Id="rId9" Type="http://schemas.openxmlformats.org/officeDocument/2006/relationships/hyperlink" Target="https://www.sec.gov/Archives/edgar/data/1014473/000114036125008108/ny20044677x6_ex4-1.htm" TargetMode="External"/><Relationship Id="rId10" Type="http://schemas.openxmlformats.org/officeDocument/2006/relationships/hyperlink" Target="https://www.sec.gov/Archives/edgar/data/1014473/000101447321000005/vrsn-20201231x10kxex404.htm" TargetMode="External"/><Relationship Id="rId11" Type="http://schemas.openxmlformats.org/officeDocument/2006/relationships/hyperlink" Target="https://www.sec.gov/Archives/edgar/data/1014473/000119312507154202/dex1027.htm" TargetMode="External"/><Relationship Id="rId12" Type="http://schemas.openxmlformats.org/officeDocument/2006/relationships/hyperlink" Target="https://www.sec.gov/Archives/edgar/data/1014473/000119312510096731/dex1001.htm" TargetMode="External"/><Relationship Id="rId13" Type="http://schemas.openxmlformats.org/officeDocument/2006/relationships/hyperlink" Target="https://www.sec.gov/Archives/edgar/data/1014473/000101447312000011/vrsn-2012630x10qxex1003.htm" TargetMode="External"/><Relationship Id="rId14" Type="http://schemas.openxmlformats.org/officeDocument/2006/relationships/hyperlink" Target="https://www.sec.gov/Archives/edgar/data/1014473/000101447312000030/exhibit102.htm" TargetMode="External"/><Relationship Id="rId15" Type="http://schemas.openxmlformats.org/officeDocument/2006/relationships/hyperlink" Target="https://www.sec.gov/Archives/edgar/data/1014473/000101447316000086/vrsn-20151231x10kxex1070.htm" TargetMode="External"/><Relationship Id="rId16" Type="http://schemas.openxmlformats.org/officeDocument/2006/relationships/hyperlink" Target="https://www.sec.gov/Archives/edgar/data/1014473/000101447316000101/vrsn-2016630x10qxex1001.htm" TargetMode="External"/><Relationship Id="rId17" Type="http://schemas.openxmlformats.org/officeDocument/2006/relationships/hyperlink" Target="https://www.sec.gov/Archives/edgar/data/1014473/000101447316000113/a102-amendment32tocooperat.htm" TargetMode="External"/><Relationship Id="rId18" Type="http://schemas.openxmlformats.org/officeDocument/2006/relationships/hyperlink" Target="https://www.sec.gov/Archives/edgar/data/1014473/000101447316000113/a103-amendment34tocooperat.htm" TargetMode="External"/><Relationship Id="rId19" Type="http://schemas.openxmlformats.org/officeDocument/2006/relationships/hyperlink" Target="https://www.sec.gov/Archives/edgar/data/1014473/000101447317000029/vrsn-2017630x10qxex1001.htm" TargetMode="External"/><Relationship Id="rId20" Type="http://schemas.openxmlformats.org/officeDocument/2006/relationships/hyperlink" Target="https://www.sec.gov/Archives/edgar/data/1014473/000101447317000029/vrsn-2017630x10qxex1002.htm" TargetMode="External"/><Relationship Id="rId21" Type="http://schemas.openxmlformats.org/officeDocument/2006/relationships/hyperlink" Target="https://www.sec.gov/Archives/edgar/data/1014473/000101447318000042/exhibit101-amendment35.htm" TargetMode="External"/><Relationship Id="rId22" Type="http://schemas.openxmlformats.org/officeDocument/2006/relationships/hyperlink" Target="https://www.sec.gov/ix?doc=/Archives/edgar/data/1014473/000101447323000028/vrsn-20230629.htm" TargetMode="External"/><Relationship Id="rId23" Type="http://schemas.openxmlformats.org/officeDocument/2006/relationships/hyperlink" Target="https://www.sec.gov/Archives/edgar/data/1014473/000101447323000040/vrsn8-kx12823xex101.htm" TargetMode="External"/><Relationship Id="rId24" Type="http://schemas.openxmlformats.org/officeDocument/2006/relationships/hyperlink" Target="https://www.sec.gov/ix?doc=/Archives/edgar/data/1014473/000101447324000006/vrsn-20231231.htm" TargetMode="External"/><Relationship Id="rId25" Type="http://schemas.openxmlformats.org/officeDocument/2006/relationships/hyperlink" Target="https://www.sec.gov/Archives/edgar/data/1014473/000101447324000044/vrsnform8-kcomraxexx1001.htm" TargetMode="External"/><Relationship Id="rId26" Type="http://schemas.openxmlformats.org/officeDocument/2006/relationships/hyperlink" Target="https://www.sec.gov/Archives/edgar/data/1014473/000101447325000006/vrsn-20241231x10kxex2101.htm" TargetMode="External"/><Relationship Id="rId27" Type="http://schemas.openxmlformats.org/officeDocument/2006/relationships/hyperlink" Target="https://www.sec.gov/Archives/edgar/data/1014473/000101447324000006/vrsn-20231231x10kxex97.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40967</Words>
  <Characters>228662</Characters>
  <CharactersWithSpaces>268162</CharactersWithSpaces>
  <Paragraphs>3052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