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jc w:val="center"/>
        <w:rPr/>
      </w:pPr>
      <w:r>
        <w:rPr>
          <w:rFonts w:ascii="Times New Roman;sans-serif" w:hAnsi="Times New Roman;sans-serif"/>
          <w:b/>
          <w:color w:val="000000"/>
          <w:sz w:val="28"/>
        </w:rPr>
        <w:t>FORM 10-Q</w:t>
      </w:r>
      <w:r>
        <w:rPr>
          <w:color w:val="000000"/>
        </w:rPr>
        <w:t xml:space="preserve">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2024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val="false"/>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val="false"/>
          <w:color w:val="000000"/>
          <w:sz w:val="20"/>
        </w:rPr>
        <w:t xml:space="preserve">to </w:t>
      </w:r>
      <w:r>
        <w:rPr>
          <w:color w:val="000000"/>
          <w:u w:val="single"/>
        </w:rPr>
        <w:t>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000-23593  </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 xml:space="preserve">VERISIGN,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94-3221585</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12061 Bluemont 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Reston,</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(703) 948-3200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VRSN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6895" w:type="dxa"/>
        <w:jc w:val="left"/>
        <w:tblInd w:w="0" w:type="dxa"/>
        <w:tblLayout w:type="fixed"/>
        <w:tblCellMar>
          <w:top w:w="28" w:type="dxa"/>
          <w:left w:w="28" w:type="dxa"/>
          <w:bottom w:w="28" w:type="dxa"/>
          <w:right w:w="28" w:type="dxa"/>
        </w:tblCellMar>
      </w:tblPr>
      <w:tblGrid>
        <w:gridCol w:w="1287"/>
        <w:gridCol w:w="1135"/>
        <w:gridCol w:w="1147"/>
        <w:gridCol w:w="109"/>
        <w:gridCol w:w="109"/>
        <w:gridCol w:w="109"/>
        <w:gridCol w:w="876"/>
        <w:gridCol w:w="876"/>
        <w:gridCol w:w="1247"/>
      </w:tblGrid>
      <w:tr>
        <w:trPr/>
        <w:tc>
          <w:tcPr>
            <w:tcW w:w="12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Shares Outstanding as of July 19, 2024</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97.6 million</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e282ccc8c4404788af2e78781d6497_10">
              <w:r>
                <w:rPr>
                  <w:rStyle w:val="InternetLink"/>
                  <w:rFonts w:ascii="Times New Roman;sans-serif" w:hAnsi="Times New Roman;sans-serif"/>
                  <w:b/>
                  <w:color w:val="0000FF"/>
                  <w:sz w:val="20"/>
                  <w:u w:val="single"/>
                </w:rPr>
                <w:t>PART I—FINANCIAL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10">
              <w:r>
                <w:rPr>
                  <w:rStyle w:val="InternetLink"/>
                  <w:rFonts w:ascii="Times New Roman;sans-serif" w:hAnsi="Times New Roman;sans-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10">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13">
              <w:r>
                <w:rPr>
                  <w:rStyle w:val="InternetLink"/>
                  <w:rFonts w:ascii="Times New Roman;sans-serif" w:hAnsi="Times New Roman;sans-serif"/>
                  <w:b w:val="false"/>
                  <w:color w:val="000080"/>
                  <w:sz w:val="20"/>
                  <w:u w:val="single"/>
                </w:rPr>
                <w:t xml:space="preserve">Condensed Consolidated Balance Sheets as of </w:t>
              </w:r>
            </w:hyperlink>
            <w:hyperlink w:anchor="id5e282ccc8c4404788af2e78781d6497_13">
              <w:r>
                <w:rPr>
                  <w:rStyle w:val="InternetLink"/>
                  <w:rFonts w:ascii="Times New Roman;sans-serif" w:hAnsi="Times New Roman;sans-serif"/>
                  <w:b w:val="false"/>
                  <w:color w:val="000080"/>
                  <w:sz w:val="20"/>
                  <w:u w:val="single"/>
                </w:rPr>
                <w:t>June 30</w:t>
              </w:r>
            </w:hyperlink>
            <w:hyperlink w:anchor="id5e282ccc8c4404788af2e78781d6497_13">
              <w:r>
                <w:rPr>
                  <w:rStyle w:val="InternetLink"/>
                  <w:rFonts w:ascii="Times New Roman;sans-serif" w:hAnsi="Times New Roman;sans-serif"/>
                  <w:b w:val="false"/>
                  <w:color w:val="000080"/>
                  <w:sz w:val="20"/>
                  <w:u w:val="single"/>
                </w:rPr>
                <w:t>, 2024 and December 31,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19">
              <w:r>
                <w:rPr>
                  <w:rStyle w:val="InternetLink"/>
                  <w:rFonts w:ascii="Times New Roman;sans-serif" w:hAnsi="Times New Roman;sans-serif"/>
                  <w:b w:val="false"/>
                  <w:color w:val="000080"/>
                  <w:sz w:val="20"/>
                  <w:u w:val="single"/>
                </w:rPr>
                <w:t xml:space="preserve">Condensed Consolidated Statements of Comprehensive Income for the Three </w:t>
              </w:r>
            </w:hyperlink>
            <w:hyperlink w:anchor="id5e282ccc8c4404788af2e78781d6497_19">
              <w:r>
                <w:rPr>
                  <w:rStyle w:val="InternetLink"/>
                  <w:rFonts w:ascii="Times New Roman;sans-serif" w:hAnsi="Times New Roman;sans-serif"/>
                  <w:b w:val="false"/>
                  <w:color w:val="000080"/>
                  <w:sz w:val="20"/>
                  <w:u w:val="single"/>
                </w:rPr>
                <w:t xml:space="preserve">and Six </w:t>
              </w:r>
            </w:hyperlink>
            <w:hyperlink w:anchor="id5e282ccc8c4404788af2e78781d6497_19">
              <w:r>
                <w:rPr>
                  <w:rStyle w:val="InternetLink"/>
                  <w:rFonts w:ascii="Times New Roman;sans-serif" w:hAnsi="Times New Roman;sans-serif"/>
                  <w:b w:val="false"/>
                  <w:color w:val="000080"/>
                  <w:sz w:val="20"/>
                  <w:u w:val="single"/>
                </w:rPr>
                <w:t xml:space="preserve">Months Ended </w:t>
              </w:r>
            </w:hyperlink>
            <w:hyperlink w:anchor="id5e282ccc8c4404788af2e78781d6497_19">
              <w:r>
                <w:rPr>
                  <w:rStyle w:val="InternetLink"/>
                  <w:rFonts w:ascii="Times New Roman;sans-serif" w:hAnsi="Times New Roman;sans-serif"/>
                  <w:b w:val="false"/>
                  <w:color w:val="000080"/>
                  <w:sz w:val="20"/>
                  <w:u w:val="single"/>
                </w:rPr>
                <w:t>June 30</w:t>
              </w:r>
            </w:hyperlink>
            <w:hyperlink w:anchor="id5e282ccc8c4404788af2e78781d6497_19">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19">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22">
              <w:r>
                <w:rPr>
                  <w:rStyle w:val="InternetLink"/>
                  <w:rFonts w:ascii="Times New Roman;sans-serif" w:hAnsi="Times New Roman;sans-serif"/>
                  <w:b w:val="false"/>
                  <w:color w:val="000080"/>
                  <w:sz w:val="20"/>
                  <w:u w:val="single"/>
                </w:rPr>
                <w:t xml:space="preserve">Condensed Consolidated Statements of Stockholders’ Deficit for the Three </w:t>
              </w:r>
            </w:hyperlink>
            <w:hyperlink w:anchor="id5e282ccc8c4404788af2e78781d6497_22">
              <w:r>
                <w:rPr>
                  <w:rStyle w:val="InternetLink"/>
                  <w:rFonts w:ascii="Times New Roman;sans-serif" w:hAnsi="Times New Roman;sans-serif"/>
                  <w:b w:val="false"/>
                  <w:color w:val="000080"/>
                  <w:sz w:val="20"/>
                  <w:u w:val="single"/>
                </w:rPr>
                <w:t xml:space="preserve">and Six </w:t>
              </w:r>
            </w:hyperlink>
            <w:hyperlink w:anchor="id5e282ccc8c4404788af2e78781d6497_22">
              <w:r>
                <w:rPr>
                  <w:rStyle w:val="InternetLink"/>
                  <w:rFonts w:ascii="Times New Roman;sans-serif" w:hAnsi="Times New Roman;sans-serif"/>
                  <w:b w:val="false"/>
                  <w:color w:val="000080"/>
                  <w:sz w:val="20"/>
                  <w:u w:val="single"/>
                </w:rPr>
                <w:t xml:space="preserve">Months Ended </w:t>
              </w:r>
            </w:hyperlink>
            <w:hyperlink w:anchor="id5e282ccc8c4404788af2e78781d6497_22">
              <w:r>
                <w:rPr>
                  <w:rStyle w:val="InternetLink"/>
                  <w:rFonts w:ascii="Times New Roman;sans-serif" w:hAnsi="Times New Roman;sans-serif"/>
                  <w:b w:val="false"/>
                  <w:color w:val="000080"/>
                  <w:sz w:val="20"/>
                  <w:u w:val="single"/>
                </w:rPr>
                <w:t>June 30</w:t>
              </w:r>
            </w:hyperlink>
            <w:hyperlink w:anchor="id5e282ccc8c4404788af2e78781d6497_22">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22">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25">
              <w:r>
                <w:rPr>
                  <w:rStyle w:val="InternetLink"/>
                  <w:rFonts w:ascii="Times New Roman;sans-serif" w:hAnsi="Times New Roman;sans-serif"/>
                  <w:b w:val="false"/>
                  <w:color w:val="000080"/>
                  <w:sz w:val="20"/>
                  <w:u w:val="single"/>
                </w:rPr>
                <w:t xml:space="preserve">Condensed Consolidated Statements of Cash Flows for the </w:t>
              </w:r>
            </w:hyperlink>
            <w:hyperlink w:anchor="id5e282ccc8c4404788af2e78781d6497_25">
              <w:r>
                <w:rPr>
                  <w:rStyle w:val="InternetLink"/>
                  <w:rFonts w:ascii="Times New Roman;sans-serif" w:hAnsi="Times New Roman;sans-serif"/>
                  <w:b w:val="false"/>
                  <w:color w:val="000080"/>
                  <w:sz w:val="20"/>
                  <w:u w:val="single"/>
                </w:rPr>
                <w:t>Six</w:t>
              </w:r>
            </w:hyperlink>
            <w:hyperlink w:anchor="id5e282ccc8c4404788af2e78781d6497_25">
              <w:r>
                <w:rPr>
                  <w:rStyle w:val="InternetLink"/>
                  <w:rFonts w:ascii="Times New Roman;sans-serif" w:hAnsi="Times New Roman;sans-serif"/>
                  <w:b w:val="false"/>
                  <w:color w:val="000080"/>
                  <w:sz w:val="20"/>
                  <w:u w:val="single"/>
                </w:rPr>
                <w:t xml:space="preserve"> Months Ended </w:t>
              </w:r>
            </w:hyperlink>
            <w:hyperlink w:anchor="id5e282ccc8c4404788af2e78781d6497_25">
              <w:r>
                <w:rPr>
                  <w:rStyle w:val="InternetLink"/>
                  <w:rFonts w:ascii="Times New Roman;sans-serif" w:hAnsi="Times New Roman;sans-serif"/>
                  <w:b w:val="false"/>
                  <w:color w:val="000080"/>
                  <w:sz w:val="20"/>
                  <w:u w:val="single"/>
                </w:rPr>
                <w:t>Jun</w:t>
              </w:r>
            </w:hyperlink>
            <w:hyperlink w:anchor="id5e282ccc8c4404788af2e78781d6497_25">
              <w:r>
                <w:rPr>
                  <w:rStyle w:val="InternetLink"/>
                  <w:rFonts w:ascii="Times New Roman;sans-serif" w:hAnsi="Times New Roman;sans-serif"/>
                  <w:b w:val="false"/>
                  <w:color w:val="000080"/>
                  <w:sz w:val="20"/>
                  <w:u w:val="single"/>
                </w:rPr>
                <w:t>e 30</w:t>
              </w:r>
            </w:hyperlink>
            <w:hyperlink w:anchor="id5e282ccc8c4404788af2e78781d6497_25">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25">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28">
              <w:r>
                <w:rPr>
                  <w:rStyle w:val="InternetLink"/>
                  <w:rFonts w:ascii="Times New Roman;sans-serif" w:hAnsi="Times New Roman;sans-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28">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58">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5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58">
              <w:r>
                <w:rPr>
                  <w:rStyle w:val="InternetLink"/>
                  <w:rFonts w:ascii="Times New Roman;sans-serif" w:hAnsi="Times New Roman;sans-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70">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70">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70">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73">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73">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73">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e282ccc8c4404788af2e78781d6497_76">
              <w:r>
                <w:rPr>
                  <w:rStyle w:val="InternetLink"/>
                  <w:rFonts w:ascii="Times New Roman;sans-serif" w:hAnsi="Times New Roman;sans-serif"/>
                  <w:b/>
                  <w:color w:val="0000FF"/>
                  <w:sz w:val="20"/>
                  <w:u w:val="single"/>
                </w:rPr>
                <w:t>PART II—OTHER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79">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79">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79">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82">
              <w:r>
                <w:rPr>
                  <w:rStyle w:val="InternetLink"/>
                  <w:rFonts w:ascii="Times New Roman;sans-serif" w:hAnsi="Times New Roman;sans-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82">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82">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85">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85">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85">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88">
              <w:r>
                <w:rPr>
                  <w:rStyle w:val="InternetLink"/>
                  <w:rFonts w:ascii="Times New Roman;sans-serif" w:hAnsi="Times New Roman;sans-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88">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88">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91">
              <w:r>
                <w:rPr>
                  <w:rStyle w:val="InternetLink"/>
                  <w:rFonts w:ascii="Times New Roman;sans-serif" w:hAnsi="Times New Roman;sans-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91">
              <w:r>
                <w:rPr>
                  <w:rStyle w:val="InternetLink"/>
                  <w:rFonts w:ascii="Times New Roman;sans-serif" w:hAnsi="Times New Roman;sans-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91">
              <w:r>
                <w:rPr>
                  <w:rStyle w:val="InternetLink"/>
                  <w:rFonts w:ascii="Times New Roman;sans-serif" w:hAnsi="Times New Roman;sans-serif"/>
                  <w:b w:val="false"/>
                  <w:color w:val="0000FF"/>
                  <w:sz w:val="20"/>
                  <w:u w:val="single"/>
                </w:rPr>
                <w:t>20</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e282ccc8c4404788af2e78781d6497_94">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82ccc8c4404788af2e78781d6497_94">
              <w:r>
                <w:rPr>
                  <w:rStyle w:val="InternetLink"/>
                  <w:rFonts w:ascii="Times New Roman;sans-serif" w:hAnsi="Times New Roman;sans-serif"/>
                  <w:b w:val="false"/>
                  <w:color w:val="0000FF"/>
                  <w:sz w:val="20"/>
                  <w:u w:val="single"/>
                </w:rPr>
                <w:t>21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VERISIGN,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80"/>
        <w:gridCol w:w="2336"/>
        <w:gridCol w:w="2241"/>
        <w:gridCol w:w="211"/>
        <w:gridCol w:w="766"/>
        <w:gridCol w:w="109"/>
        <w:gridCol w:w="109"/>
        <w:gridCol w:w="109"/>
        <w:gridCol w:w="109"/>
        <w:gridCol w:w="211"/>
        <w:gridCol w:w="767"/>
        <w:gridCol w:w="157"/>
      </w:tblGrid>
      <w:tr>
        <w:trPr/>
        <w:tc>
          <w:tcPr>
            <w:tcW w:w="308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to acquire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LIABILITIES AND STOCKHOLDERS’ DEFICIT</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and 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stock—par value $.001 per share; Authorized shares: 5.0; Issued and outstanding shares: none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capital—par value $.001 per share; Authorized shares: 1,000; Issued shares: 355.1 at June 30, 2024 and 354.9 at December 31, 2023; Outstanding shares: 98.0 at June 30, 2024 and 101.3 at December 31,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VERISIGN,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8357" w:type="dxa"/>
        <w:jc w:val="left"/>
        <w:tblInd w:w="0" w:type="dxa"/>
        <w:tblLayout w:type="fixed"/>
        <w:tblCellMar>
          <w:top w:w="28" w:type="dxa"/>
          <w:left w:w="28" w:type="dxa"/>
          <w:bottom w:w="28" w:type="dxa"/>
          <w:right w:w="28" w:type="dxa"/>
        </w:tblCellMar>
      </w:tblPr>
      <w:tblGrid>
        <w:gridCol w:w="1277"/>
        <w:gridCol w:w="1119"/>
        <w:gridCol w:w="112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net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earnings per share</w:t>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VERISIGN,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44" w:type="dxa"/>
        <w:jc w:val="center"/>
        <w:tblInd w:w="0" w:type="dxa"/>
        <w:tblLayout w:type="fixed"/>
        <w:tblCellMar>
          <w:top w:w="28" w:type="dxa"/>
          <w:left w:w="28" w:type="dxa"/>
          <w:bottom w:w="28" w:type="dxa"/>
          <w:right w:w="28" w:type="dxa"/>
        </w:tblCellMar>
      </w:tblPr>
      <w:tblGrid>
        <w:gridCol w:w="1438"/>
        <w:gridCol w:w="1265"/>
        <w:gridCol w:w="127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stock plans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Excise tax on 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 end of period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(1,617.9)</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VERISIGN,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8963" w:type="dxa"/>
        <w:jc w:val="left"/>
        <w:tblInd w:w="0" w:type="dxa"/>
        <w:tblLayout w:type="fixed"/>
        <w:tblCellMar>
          <w:top w:w="28" w:type="dxa"/>
          <w:left w:w="28" w:type="dxa"/>
          <w:bottom w:w="28" w:type="dxa"/>
          <w:right w:w="28" w:type="dxa"/>
        </w:tblCellMar>
      </w:tblPr>
      <w:tblGrid>
        <w:gridCol w:w="2431"/>
        <w:gridCol w:w="2141"/>
        <w:gridCol w:w="2147"/>
        <w:gridCol w:w="211"/>
        <w:gridCol w:w="616"/>
        <w:gridCol w:w="109"/>
        <w:gridCol w:w="109"/>
        <w:gridCol w:w="109"/>
        <w:gridCol w:w="109"/>
        <w:gridCol w:w="211"/>
        <w:gridCol w:w="61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on investments in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sales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stock purchase plan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disclosures: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received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VERISIGN,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bidi w:val="0"/>
        <w:spacing w:lineRule="auto" w:line="288" w:before="6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Financial Statements</w:t>
      </w:r>
    </w:p>
    <w:p>
      <w:pPr>
        <w:pStyle w:val="TextBody"/>
        <w:bidi w:val="0"/>
        <w:spacing w:lineRule="auto" w:line="288" w:before="9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by VeriSign, Inc. (“Verisign” or the “Company”) in accordance with the instructions to Form 10-Q pursuant to the rules and regulations of the Securities and Exchange Commission (“SEC”) and, therefore, do not include all information and notes normally provided in audited financial statements. In the opinion of management, all adjustments (consisting of normal recurring accruals and other adjustments) considered necessary for a fair presentation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Verisign’s Annual Report on Form 10-K for the year ended December 31, 2023 (the “2023 Form 10-K”) filed with the SEC on February 15, 2024.</w:t>
      </w:r>
    </w:p>
    <w:p>
      <w:pPr>
        <w:pStyle w:val="TextBody"/>
        <w:bidi w:val="0"/>
        <w:spacing w:lineRule="auto" w:line="288" w:before="9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9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current period presentation. Such reclassifications have no effect on net income as previously reported.</w:t>
      </w:r>
    </w:p>
    <w:p>
      <w:pPr>
        <w:pStyle w:val="TextBody"/>
        <w:bidi w:val="0"/>
        <w:spacing w:lineRule="auto" w:line="288" w:before="9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90" w:after="283"/>
        <w:ind w:left="0" w:right="0" w:firstLine="450"/>
        <w:jc w:val="left"/>
        <w:rPr/>
      </w:pPr>
      <w:r>
        <w:rPr>
          <w:rFonts w:ascii="Times New Roman;sans-serif" w:hAnsi="Times New Roman;sans-serif"/>
          <w:b w:val="false"/>
          <w:color w:val="000000"/>
          <w:sz w:val="20"/>
        </w:rPr>
        <w:t xml:space="preserve">In November 2023, the Financial Accounting Standards Board (FASB) issued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additional disclosure of significant segment expenses on an annual and interim basis. This guidance will be applied retrospectively and will be effective for our 2024 Form 10-K, and for interim periods beginning in 2025. We do not expect the adoption of this guidance to have a material impact on our consolidated financial statements.</w:t>
      </w:r>
    </w:p>
    <w:p>
      <w:pPr>
        <w:pStyle w:val="TextBody"/>
        <w:bidi w:val="0"/>
        <w:spacing w:lineRule="auto" w:line="288" w:before="90" w:after="283"/>
        <w:ind w:left="0" w:right="0" w:firstLine="450"/>
        <w:jc w:val="left"/>
        <w:rPr/>
      </w:pPr>
      <w:r>
        <w:rPr>
          <w:rFonts w:ascii="Times New Roman;sans-serif" w:hAnsi="Times New Roman;sans-serif"/>
          <w:b w:val="false"/>
          <w:color w:val="000000"/>
          <w:sz w:val="20"/>
        </w:rPr>
        <w:t>In December 2023, the FASB issued ASU No.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This guidance will be effective for our 2025 Form 10-K. We do not expect the adoption of this guidance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Financial Instruments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Marketable Securities</w:t>
      </w:r>
    </w:p>
    <w:p>
      <w:pPr>
        <w:pStyle w:val="TextBody"/>
        <w:bidi w:val="0"/>
        <w:spacing w:lineRule="auto" w:line="288" w:before="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cash equivalents, and marketable securities and the fair value categorization of the financial instruments measured at fair value on a recurring basis:</w:t>
      </w:r>
    </w:p>
    <w:tbl>
      <w:tblPr>
        <w:tblW w:w="6737" w:type="dxa"/>
        <w:jc w:val="left"/>
        <w:tblInd w:w="0" w:type="dxa"/>
        <w:tblLayout w:type="fixed"/>
        <w:tblCellMar>
          <w:top w:w="28" w:type="dxa"/>
          <w:left w:w="28" w:type="dxa"/>
          <w:bottom w:w="28" w:type="dxa"/>
          <w:right w:w="28" w:type="dxa"/>
        </w:tblCellMar>
      </w:tblPr>
      <w:tblGrid>
        <w:gridCol w:w="1561"/>
        <w:gridCol w:w="1373"/>
        <w:gridCol w:w="1400"/>
        <w:gridCol w:w="211"/>
        <w:gridCol w:w="616"/>
        <w:gridCol w:w="109"/>
        <w:gridCol w:w="109"/>
        <w:gridCol w:w="109"/>
        <w:gridCol w:w="109"/>
        <w:gridCol w:w="245"/>
        <w:gridCol w:w="716"/>
        <w:gridCol w:w="179"/>
      </w:tblGrid>
      <w:tr>
        <w:trPr/>
        <w:tc>
          <w:tcPr>
            <w:tcW w:w="15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(Level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issued by the U.S. Treasury (Level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long-term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gross and net unrealized gains and losses included in the fair value of the debt securities were not significant for the periods presented. All of the debt securities held as of June 30, 2024 are scheduled to mature in less than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the Company’s foreign currency forward contracts is based on foreign currency rates quoted by banks or foreign currency dealers and other public data sources. The fair value of all of these financial instruments are classified as Level 1 in the fair value hierarchy.</w:t>
      </w:r>
    </w:p>
    <w:p>
      <w:pPr>
        <w:pStyle w:val="TextBody"/>
        <w:bidi w:val="0"/>
        <w:spacing w:lineRule="auto" w:line="288" w:before="12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Company’s other financial instruments include cash, accounts receivable, restricted cash, and accounts payable whose carrying values approximated their face values. The aggregate fair value of the Company’s senior notes is $1.67 billion and $1.69 billion as of June 30, 2024 and December 31, 2023, respectively. The fair values of these debt instruments are based on available market information from public data sources and are classified as Level 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3. Selected Balance Sheet Items</w:t>
      </w:r>
    </w:p>
    <w:p>
      <w:pPr>
        <w:pStyle w:val="TextBody"/>
        <w:bidi w:val="0"/>
        <w:spacing w:lineRule="auto" w:line="288" w:before="100" w:after="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Current Assets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Other current assets consist of the following:</w:t>
      </w:r>
      <w:r>
        <w:rPr>
          <w:color w:val="000000"/>
        </w:rPr>
        <w:t> </w:t>
      </w:r>
    </w:p>
    <w:tbl>
      <w:tblPr>
        <w:tblW w:w="4442" w:type="dxa"/>
        <w:jc w:val="left"/>
        <w:tblInd w:w="0" w:type="dxa"/>
        <w:tblLayout w:type="fixed"/>
        <w:tblCellMar>
          <w:top w:w="28" w:type="dxa"/>
          <w:left w:w="28" w:type="dxa"/>
          <w:bottom w:w="28" w:type="dxa"/>
          <w:right w:w="28" w:type="dxa"/>
        </w:tblCellMar>
      </w:tblPr>
      <w:tblGrid>
        <w:gridCol w:w="777"/>
        <w:gridCol w:w="681"/>
        <w:gridCol w:w="687"/>
        <w:gridCol w:w="211"/>
        <w:gridCol w:w="511"/>
        <w:gridCol w:w="109"/>
        <w:gridCol w:w="109"/>
        <w:gridCol w:w="109"/>
        <w:gridCol w:w="109"/>
        <w:gridCol w:w="274"/>
        <w:gridCol w:w="665"/>
        <w:gridCol w:w="200"/>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registry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receivable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Long-Term Assets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Other long-term assets consist of the following:</w:t>
      </w:r>
      <w:r>
        <w:rPr>
          <w:color w:val="000000"/>
        </w:rPr>
        <w:t> </w:t>
      </w:r>
    </w:p>
    <w:tbl>
      <w:tblPr>
        <w:tblW w:w="5102" w:type="dxa"/>
        <w:jc w:val="center"/>
        <w:tblInd w:w="0" w:type="dxa"/>
        <w:tblLayout w:type="fixed"/>
        <w:tblCellMar>
          <w:top w:w="28" w:type="dxa"/>
          <w:left w:w="28" w:type="dxa"/>
          <w:bottom w:w="28" w:type="dxa"/>
          <w:right w:w="28" w:type="dxa"/>
        </w:tblCellMar>
      </w:tblPr>
      <w:tblGrid>
        <w:gridCol w:w="1016"/>
        <w:gridCol w:w="892"/>
        <w:gridCol w:w="897"/>
        <w:gridCol w:w="211"/>
        <w:gridCol w:w="511"/>
        <w:gridCol w:w="109"/>
        <w:gridCol w:w="109"/>
        <w:gridCol w:w="109"/>
        <w:gridCol w:w="109"/>
        <w:gridCol w:w="274"/>
        <w:gridCol w:w="665"/>
        <w:gridCol w:w="200"/>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registry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prepaid registry fees in the tables above relate to the fees the Company pays to ICANN for each annual term of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domain name registrations and renewals which are deferred and amortized over the domain name registration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6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Liabilities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Accounts payable and accrued liabilities consist of the following:</w:t>
      </w:r>
      <w:r>
        <w:rPr>
          <w:color w:val="000000"/>
        </w:rPr>
        <w:t> </w:t>
      </w:r>
    </w:p>
    <w:tbl>
      <w:tblPr>
        <w:tblW w:w="6258" w:type="dxa"/>
        <w:jc w:val="left"/>
        <w:tblInd w:w="0" w:type="dxa"/>
        <w:tblLayout w:type="fixed"/>
        <w:tblCellMar>
          <w:top w:w="28" w:type="dxa"/>
          <w:left w:w="28" w:type="dxa"/>
          <w:bottom w:w="28" w:type="dxa"/>
          <w:right w:w="28" w:type="dxa"/>
        </w:tblCellMar>
      </w:tblPr>
      <w:tblGrid>
        <w:gridCol w:w="1397"/>
        <w:gridCol w:w="1227"/>
        <w:gridCol w:w="1231"/>
        <w:gridCol w:w="211"/>
        <w:gridCol w:w="616"/>
        <w:gridCol w:w="109"/>
        <w:gridCol w:w="109"/>
        <w:gridCol w:w="109"/>
        <w:gridCol w:w="109"/>
        <w:gridCol w:w="245"/>
        <w:gridCol w:w="716"/>
        <w:gridCol w:w="179"/>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registry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incentives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 and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balance of customer deposits varies from period to period due to the timing of payments from certain large customers. Taxes payable reflects amounts accrued for the income tax provision and payments made during the period. This balance fluctuates from period to period due to the timing of income tax payments in the Company’s major tax jurisdictions. Accrued employee compensation primarily consists of liabilities for employee leave, salaries, payroll taxes, employee contributions to the employee stock purchase plan, and incentive compensation. Accrued employee incentive compensation as of December 31, 2023 was paid during the six months ended June 30, 2024. The liability related to the unrealized loss on foreign currency forward contracts as of December 31, 2023 was remeasured and paid upon settlement of the forward contract during the six months ended June 30, 2024.</w:t>
      </w:r>
    </w:p>
    <w:p>
      <w:pPr>
        <w:pStyle w:val="TextBody"/>
        <w:bidi w:val="0"/>
        <w:spacing w:lineRule="auto" w:line="288" w:before="120" w:after="6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Tax and Other Liabilities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and other liabilities consist of the following:</w:t>
      </w:r>
    </w:p>
    <w:tbl>
      <w:tblPr>
        <w:tblW w:w="5372" w:type="dxa"/>
        <w:jc w:val="left"/>
        <w:tblInd w:w="0" w:type="dxa"/>
        <w:tblLayout w:type="fixed"/>
        <w:tblCellMar>
          <w:top w:w="28" w:type="dxa"/>
          <w:left w:w="28" w:type="dxa"/>
          <w:bottom w:w="28" w:type="dxa"/>
          <w:right w:w="28" w:type="dxa"/>
        </w:tblCellMar>
      </w:tblPr>
      <w:tblGrid>
        <w:gridCol w:w="1112"/>
        <w:gridCol w:w="980"/>
        <w:gridCol w:w="983"/>
        <w:gridCol w:w="211"/>
        <w:gridCol w:w="511"/>
        <w:gridCol w:w="109"/>
        <w:gridCol w:w="109"/>
        <w:gridCol w:w="109"/>
        <w:gridCol w:w="109"/>
        <w:gridCol w:w="274"/>
        <w:gridCol w:w="665"/>
        <w:gridCol w:w="200"/>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 as of June 30, 2024 reflects a $24.1 million reclassification to current liabilities of the final installment of the transition tax liability on accumulated foreign earnings resulting from the 2017 Tax Cuts and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Share Repurchases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27, 2023, the Company’s Board of Directors authorized the repurchase of its common stock in the amount of $1.14 billion, in addition to the $356.1 million that remained available for repurchases under the share repurchase program, for a total authorization of up to $1.50 billion under the program. The program has no expiration date. Purchases made under the program could be effected through open market transactions, block purchases, accelerated share repurchase agreements or other negotiated transactions. As of June 30, 2024 there was approximately $471.6 million remaining available for repurchases under the program. Effective July 25, 2024, the Company’s Board of Directors authorized the repurchase of its common stock in the amount of $1.11 billion, in addition to the $388.0 million that remained available for repurchases under the share repurchase program, for a total repurchase authorization of up to $1.50 billion under the program.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share repurchases are as following. Amounts may not add up due to rounding: </w:t>
      </w:r>
    </w:p>
    <w:tbl>
      <w:tblPr>
        <w:tblW w:w="10205" w:type="dxa"/>
        <w:jc w:val="center"/>
        <w:tblInd w:w="0" w:type="dxa"/>
        <w:tblLayout w:type="fixed"/>
        <w:tblCellMar>
          <w:top w:w="28" w:type="dxa"/>
          <w:left w:w="28" w:type="dxa"/>
          <w:bottom w:w="28" w:type="dxa"/>
          <w:right w:w="28" w:type="dxa"/>
        </w:tblCellMar>
      </w:tblPr>
      <w:tblGrid>
        <w:gridCol w:w="1076"/>
        <w:gridCol w:w="904"/>
        <w:gridCol w:w="910"/>
        <w:gridCol w:w="209"/>
        <w:gridCol w:w="204"/>
        <w:gridCol w:w="205"/>
        <w:gridCol w:w="109"/>
        <w:gridCol w:w="109"/>
        <w:gridCol w:w="109"/>
        <w:gridCol w:w="211"/>
        <w:gridCol w:w="616"/>
        <w:gridCol w:w="109"/>
        <w:gridCol w:w="109"/>
        <w:gridCol w:w="109"/>
        <w:gridCol w:w="109"/>
        <w:gridCol w:w="224"/>
        <w:gridCol w:w="766"/>
        <w:gridCol w:w="115"/>
        <w:gridCol w:w="109"/>
        <w:gridCol w:w="109"/>
        <w:gridCol w:w="109"/>
        <w:gridCol w:w="203"/>
        <w:gridCol w:w="203"/>
        <w:gridCol w:w="196"/>
        <w:gridCol w:w="109"/>
        <w:gridCol w:w="109"/>
        <w:gridCol w:w="109"/>
        <w:gridCol w:w="211"/>
        <w:gridCol w:w="616"/>
        <w:gridCol w:w="109"/>
        <w:gridCol w:w="109"/>
        <w:gridCol w:w="109"/>
        <w:gridCol w:w="109"/>
        <w:gridCol w:w="224"/>
        <w:gridCol w:w="766"/>
        <w:gridCol w:w="115"/>
        <w:gridCol w:w="109"/>
        <w:gridCol w:w="109"/>
        <w:gridCol w:w="160"/>
      </w:tblGrid>
      <w:tr>
        <w:trPr/>
        <w:tc>
          <w:tcPr>
            <w:tcW w:w="107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average price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repurchases under the repurchase plans</w:t>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repurchases for tax withholdings</w:t>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repurchases</w:t>
            </w:r>
          </w:p>
        </w:tc>
        <w:tc>
          <w:tcPr>
            <w:tcW w:w="4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the Company has repurchased 257.1 million shares of its common stock for an aggregate cost of $14.31 billion, which is recorded as a reduction of Additional paid-in capital. The share repurchase and authorization amounts disclosed in this Form 10-Q exclude the excise tax on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Calculation of Earnings per Share </w:t>
      </w:r>
    </w:p>
    <w:p>
      <w:pPr>
        <w:pStyle w:val="TextBody"/>
        <w:bidi w:val="0"/>
        <w:spacing w:lineRule="auto" w:line="288" w:before="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weighted-average shares used in the calculation of basic and diluted earnings per share:</w:t>
      </w:r>
    </w:p>
    <w:tbl>
      <w:tblPr>
        <w:tblW w:w="10139" w:type="dxa"/>
        <w:jc w:val="left"/>
        <w:tblInd w:w="0" w:type="dxa"/>
        <w:tblLayout w:type="fixed"/>
        <w:tblCellMar>
          <w:top w:w="28" w:type="dxa"/>
          <w:left w:w="28" w:type="dxa"/>
          <w:bottom w:w="28" w:type="dxa"/>
          <w:right w:w="28" w:type="dxa"/>
        </w:tblCellMar>
      </w:tblPr>
      <w:tblGrid>
        <w:gridCol w:w="1973"/>
        <w:gridCol w:w="1732"/>
        <w:gridCol w:w="1739"/>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shares of common stock outstanding:</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and ESPP</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diluted earnings per share</w:t>
            </w:r>
          </w:p>
        </w:tc>
        <w:tc>
          <w:tcPr>
            <w:tcW w:w="7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r>
    </w:tbl>
    <w:p>
      <w:pPr>
        <w:pStyle w:val="TextBody"/>
        <w:bidi w:val="0"/>
        <w:spacing w:lineRule="auto" w:line="288" w:before="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diluted weighted average shares outstanding excludes performance-based RSUs granted by the Company for which the relevant performance criteria have not been achieved and any awards that are antidilutive. The number of potential shares excluded from the calculation was not significant in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6. Revenues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revenues in the U.S.; Europe, the Middle East and Africa (“EMEA”); China; and certain other countries, including Canada, Japan, and Singapore.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geography, based on the billing addresses of our customers:</w:t>
      </w:r>
    </w:p>
    <w:tbl>
      <w:tblPr>
        <w:tblW w:w="6152" w:type="dxa"/>
        <w:jc w:val="center"/>
        <w:tblInd w:w="0" w:type="dxa"/>
        <w:tblLayout w:type="fixed"/>
        <w:tblCellMar>
          <w:top w:w="28" w:type="dxa"/>
          <w:left w:w="28" w:type="dxa"/>
          <w:bottom w:w="28" w:type="dxa"/>
          <w:right w:w="28" w:type="dxa"/>
        </w:tblCellMar>
      </w:tblPr>
      <w:tblGrid>
        <w:gridCol w:w="475"/>
        <w:gridCol w:w="417"/>
        <w:gridCol w:w="42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payments for domain name registrations and renewals are due in advance of our performance, we record these amounts as deferred revenues. The increase in the deferred revenues balance for the six months ended June 30, 2024 was primarily driven by amounts billed in the six months ended June 30, 2024 for domain name registrations and renewals to be recognized as revenues in future periods, offset by refunds for domain name renewals deleted during the 45-day grace period, and $606.7 million of revenues recognized that were included in the deferred revenues balance at December 31, 2023. The balance of deferred revenues as of June 30, 2024 represents our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ten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Stock-based Compensation</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classified in the Condensed Consolidated Statements of Comprehensive Income in the same expense line items as cash compensation. The following table presents the classification of stock-based compensation:</w:t>
      </w:r>
    </w:p>
    <w:tbl>
      <w:tblPr>
        <w:tblW w:w="9427" w:type="dxa"/>
        <w:jc w:val="left"/>
        <w:tblInd w:w="0" w:type="dxa"/>
        <w:tblLayout w:type="fixed"/>
        <w:tblCellMar>
          <w:top w:w="28" w:type="dxa"/>
          <w:left w:w="28" w:type="dxa"/>
          <w:bottom w:w="28" w:type="dxa"/>
          <w:right w:w="28" w:type="dxa"/>
        </w:tblCellMar>
      </w:tblPr>
      <w:tblGrid>
        <w:gridCol w:w="1708"/>
        <w:gridCol w:w="1504"/>
        <w:gridCol w:w="1512"/>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170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24"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(included in Property and equipment,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left"/>
        <w:rPr/>
      </w:pPr>
      <w:r>
        <w:rPr/>
      </w:r>
    </w:p>
    <w:p>
      <w:pPr>
        <w:pStyle w:val="TextBody"/>
        <w:bidi w:val="0"/>
        <w:spacing w:lineRule="auto" w:line="288" w:before="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nature of the Company’s total stock-based compensation:</w:t>
      </w:r>
    </w:p>
    <w:tbl>
      <w:tblPr>
        <w:tblW w:w="7448" w:type="dxa"/>
        <w:jc w:val="left"/>
        <w:tblInd w:w="0" w:type="dxa"/>
        <w:tblLayout w:type="fixed"/>
        <w:tblCellMar>
          <w:top w:w="28" w:type="dxa"/>
          <w:left w:w="28" w:type="dxa"/>
          <w:bottom w:w="28" w:type="dxa"/>
          <w:right w:w="28" w:type="dxa"/>
        </w:tblCellMar>
      </w:tblPr>
      <w:tblGrid>
        <w:gridCol w:w="995"/>
        <w:gridCol w:w="869"/>
        <w:gridCol w:w="881"/>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99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RSUs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Non-operating Income, Net</w:t>
      </w:r>
    </w:p>
    <w:p>
      <w:pPr>
        <w:pStyle w:val="TextBody"/>
        <w:bidi w:val="0"/>
        <w:spacing w:lineRule="auto" w:line="288" w:before="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Non-operating income, net, primarily consists of interest income from the Company’s surplus cash balances and marketable securities. Interest income was $9.7 million and $21.7 million during the three and six months ended June 30, 2024, respectively, compared to $11.5 million and $22.2 million during the same periods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Income tax expense and the effective tax rate:</w:t>
      </w:r>
    </w:p>
    <w:tbl>
      <w:tblPr>
        <w:tblW w:w="6933" w:type="dxa"/>
        <w:jc w:val="left"/>
        <w:tblInd w:w="0" w:type="dxa"/>
        <w:tblLayout w:type="fixed"/>
        <w:tblCellMar>
          <w:top w:w="28" w:type="dxa"/>
          <w:left w:w="28" w:type="dxa"/>
          <w:bottom w:w="28" w:type="dxa"/>
          <w:right w:w="28" w:type="dxa"/>
        </w:tblCellMar>
      </w:tblPr>
      <w:tblGrid>
        <w:gridCol w:w="625"/>
        <w:gridCol w:w="548"/>
        <w:gridCol w:w="552"/>
        <w:gridCol w:w="211"/>
        <w:gridCol w:w="511"/>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each of the periods in the table above differed from the statutory federal rate of 21%, due to state income taxes and U.S. taxes on foreign earnings, net of foreign tax credits, partially offset by a lower foreign effective tax rate.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in conjunction with the 2023 Form 10-K and the interim unaudited Condensed Consolidated Financial Statements and related notes included in Part I, Item I of this Quarterly Report on Form 10-Q.</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contains forward-looking statements within the meaning of Section 27A of the Securities Act of 1933, as amended, and Section 21E of the Securities Exchange Act of 1934, as amended (the “Exchange Act”). These forward-looking statements are based on current expectations and assumptions and involve risks and uncertainties, including, among other things, statements regarding our expectations about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the section titled “Risk Factors” in Part I, Item 1A of the 2023 Form 10-K. You should also carefully review the risks described in other documents we file from time to time with the Securities and Exchange Commission, including the Quarterly Reports on Form 10-Q or Current Reports on Form 8-K that we file in 2024. You are cautioned not to place undue reliance on the forward-looking statements, which speak only as of the date of this Quarterly Report on Form 10-Q. We undertake no obligation to update publicly or revise such statements, whether as a result of new information, future events, or otherwise, except as required by law.</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Quarterly Report on Form 10-Q, the terms “Verisign,” “the Company,” “we,” “us,” and “our” refer to VeriSign,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We are a global provider of critical internet infrastructure and domain name registry services, enabling internet navigation for many of the world’s most recognized domain names. We help enable the security, stability, and resiliency of the Domain Name System and the internet by providing Root Zone Maintainer Services, operating two of the thirteen global internet root servers, and providing registration services and authoritative resolution for the .</w:t>
      </w:r>
      <w:r>
        <w:rPr>
          <w:rFonts w:ascii="Times New Roman;sans-serif" w:hAnsi="Times New Roman;sans-serif"/>
          <w:b w:val="false"/>
          <w:i/>
          <w:color w:val="000000"/>
          <w:sz w:val="20"/>
        </w:rPr>
        <w:t>com</w:t>
      </w:r>
      <w:r>
        <w:rPr>
          <w:color w:val="000000"/>
        </w:rPr>
        <w:t> </w:t>
      </w:r>
      <w:r>
        <w:rPr>
          <w:rFonts w:ascii="Times New Roman;sans-serif" w:hAnsi="Times New Roman;sans-serif"/>
          <w:b w:val="false"/>
          <w:color w:val="000000"/>
          <w:sz w:val="20"/>
        </w:rPr>
        <w:t>and .</w:t>
      </w:r>
      <w:r>
        <w:rPr>
          <w:rFonts w:ascii="Times New Roman;sans-serif" w:hAnsi="Times New Roman;sans-serif"/>
          <w:b w:val="false"/>
          <w:i/>
          <w:color w:val="000000"/>
          <w:sz w:val="20"/>
        </w:rPr>
        <w:t>net</w:t>
      </w:r>
      <w:r>
        <w:rPr>
          <w:color w:val="000000"/>
        </w:rPr>
        <w:t> </w:t>
      </w:r>
      <w:r>
        <w:rPr>
          <w:rFonts w:ascii="Times New Roman;sans-serif" w:hAnsi="Times New Roman;sans-serif"/>
          <w:b w:val="false"/>
          <w:color w:val="000000"/>
          <w:sz w:val="20"/>
        </w:rPr>
        <w:t>generic top-level domains (“gTLDs”), which support the majority of global e-commerce.</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As of June 30, 2024, we had 170.6 million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 xml:space="preserve">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country code top-level domains (“ccTLDs”), other gTLDs, services that offer alternatives for an online presence, such as social media,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 </w:t>
      </w:r>
    </w:p>
    <w:p>
      <w:pPr>
        <w:pStyle w:val="TextBody"/>
        <w:bidi w:val="0"/>
        <w:spacing w:lineRule="auto" w:line="288" w:before="180" w:after="12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Business Highlights and Trends</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We recorded revenues of $387.1 million and $771.4 million during the three and six months ended June 30, 2024, which represents an increase of 4% and 5%, respectively, compared to the same periods in 2023.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We recorded operating income of $266.2 million and $525.1 million during the three and six months ended June 30, 2024, which represents an increase of 7% compared to the same periods in 2023.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As of June 30, 2024, we had 170.6 million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registrations in the domain name base, which represents a 2.2% decrease from June 30, 2023, and a net decrease of 1.8 million domain name registrations from March 31, 2024.</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During the three months ended June 30, 2024, we processed 9.2 million new domain name registrations for </w:t>
      </w:r>
      <w:r>
        <w:rPr>
          <w:rFonts w:ascii="Times New Roman;sans-serif" w:hAnsi="Times New Roman;sans-serif"/>
          <w:b w:val="false"/>
          <w:i/>
          <w:color w:val="000000"/>
          <w:sz w:val="20"/>
        </w:rPr>
        <w:t xml:space="preserve">.com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compared to 10.2 million for the same period in 2023.</w:t>
      </w:r>
      <w:r>
        <w:rPr>
          <w:color w:val="000000"/>
        </w:rPr>
        <w:t xml:space="preserve">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The final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 xml:space="preserve">renewal rate for the first quarter of 2024 was 74.1% compared to 75.5% for the first quarter of 2023. Renewal rates are not fully measurable until 45 days after the end of the quarter.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We generated cash flows from operating activities of $417.7 million during the six months ended June 30, 2024, compared to $404.3 million for the same period in 2023.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During the three months ended June 30, 2024, we repurchased 2.2 million shares of our common stock for an aggregate cost of $388.0 million. Effective July 25, 2024, our Board of Directors authorized the repurchase of our common stock in the amount of $1.11 billion, in addition to the $388.0 million that remained available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repurchases under the share repurchase program, for a total repurchase authorization of up to $1.50 billion under the program. </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 xml:space="preserve">Pursuant to our agreements with ICANN, we make available files containing all active domain names registered in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registries. Further, we also make available a summary of the active zone count registered in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registries and the number of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domain name registrations in the domain name base. The zone counts and information on how to obtain access to the zone files can be found at https://www.Verisign.com/zone.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daily. The update times may vary each day. The number of domain names provided in this Form 10-Q are as of midnight of the date reported.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our results of operations as a percentage of revenues:</w:t>
      </w:r>
    </w:p>
    <w:tbl>
      <w:tblPr>
        <w:tblW w:w="8682" w:type="dxa"/>
        <w:jc w:val="left"/>
        <w:tblInd w:w="0" w:type="dxa"/>
        <w:tblLayout w:type="fixed"/>
        <w:tblCellMar>
          <w:top w:w="28" w:type="dxa"/>
          <w:left w:w="28" w:type="dxa"/>
          <w:bottom w:w="28" w:type="dxa"/>
          <w:right w:w="28" w:type="dxa"/>
        </w:tblCellMar>
      </w:tblPr>
      <w:tblGrid>
        <w:gridCol w:w="1071"/>
        <w:gridCol w:w="938"/>
        <w:gridCol w:w="946"/>
        <w:gridCol w:w="308"/>
        <w:gridCol w:w="308"/>
        <w:gridCol w:w="470"/>
        <w:gridCol w:w="189"/>
        <w:gridCol w:w="189"/>
        <w:gridCol w:w="189"/>
        <w:gridCol w:w="308"/>
        <w:gridCol w:w="308"/>
        <w:gridCol w:w="470"/>
        <w:gridCol w:w="109"/>
        <w:gridCol w:w="109"/>
        <w:gridCol w:w="109"/>
        <w:gridCol w:w="308"/>
        <w:gridCol w:w="308"/>
        <w:gridCol w:w="424"/>
        <w:gridCol w:w="170"/>
        <w:gridCol w:w="170"/>
        <w:gridCol w:w="170"/>
        <w:gridCol w:w="308"/>
        <w:gridCol w:w="308"/>
        <w:gridCol w:w="495"/>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621"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revenues are primarily derived from registrations for domain names in the</w:t>
      </w:r>
      <w:r>
        <w:rPr>
          <w:color w:val="000000"/>
        </w:rPr>
        <w:t xml:space="preserv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domain name registries. We also derive revenues from operating domain name registries and technical systems for several other gTLDs and one ccTLD, all of which are not significant in relation to our consolidated revenues. For domain names registered in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registries, we receive a fee from registrars per annual registration that is determined pursuant to our agreements with ICANN. Individual customers, called registrants, contract directly with registrars or their resellers, and the registrars, who are our direct customers,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Department of Commerce.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Under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Registry Agreement, we are permitted to increase the price of a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domain name registration by up to 7% in each of the final four years of each six-year period beginning on October 26, 2018. We increased the annual registry-level wholesale fee for each new and renewal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domain name registration from $8.97 to $9.59 effective September 1, 2023. On February 8, 2024, we announced that we will increase the annual registry-level wholesale fee for each new and</w:t>
      </w:r>
    </w:p>
    <w:p>
      <w:pPr>
        <w:pStyle w:val="TextBody"/>
        <w:bidi w:val="0"/>
        <w:spacing w:lineRule="auto" w:line="288" w:before="0" w:after="0"/>
        <w:jc w:val="left"/>
        <w:rPr/>
      </w:pPr>
      <w:r>
        <w:rPr>
          <w:rFonts w:ascii="Times New Roman;sans-serif" w:hAnsi="Times New Roman;sans-serif"/>
          <w:b w:val="false"/>
          <w:color w:val="000000"/>
          <w:sz w:val="20"/>
        </w:rPr>
        <w:t>renewal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domain name registration from $9.59 to $10.26, effective September 1, 2024. Under the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 xml:space="preserve">Registry Agreement which renewed in June 2023, we are permitted to increase the price of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 xml:space="preserve">domain name registrations by up to 10% each year during the term of our agreement with ICANN, through June 30, 2029. We increased the annual registry-level wholesale fee for each new and renewal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domain name registration from $9.02 to $9.92 effective February 1, 2023 and from $9.92 to $10.91 effective February 1, 2024. All fees paid to us for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registrations are in U.S. dollars.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comparison of revenues is presented below:</w:t>
      </w:r>
    </w:p>
    <w:tbl>
      <w:tblPr>
        <w:tblW w:w="8082" w:type="dxa"/>
        <w:jc w:val="left"/>
        <w:tblInd w:w="0" w:type="dxa"/>
        <w:tblLayout w:type="fixed"/>
        <w:tblCellMar>
          <w:top w:w="28" w:type="dxa"/>
          <w:left w:w="28" w:type="dxa"/>
          <w:bottom w:w="28" w:type="dxa"/>
          <w:right w:w="28" w:type="dxa"/>
        </w:tblCellMar>
      </w:tblPr>
      <w:tblGrid>
        <w:gridCol w:w="332"/>
        <w:gridCol w:w="291"/>
        <w:gridCol w:w="293"/>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The following table compares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domain name registrations in the domain name base:</w:t>
      </w:r>
    </w:p>
    <w:tbl>
      <w:tblPr>
        <w:tblW w:w="9457" w:type="dxa"/>
        <w:jc w:val="left"/>
        <w:tblInd w:w="0" w:type="dxa"/>
        <w:tblLayout w:type="fixed"/>
        <w:tblCellMar>
          <w:top w:w="28" w:type="dxa"/>
          <w:left w:w="28" w:type="dxa"/>
          <w:bottom w:w="28" w:type="dxa"/>
          <w:right w:w="28" w:type="dxa"/>
        </w:tblCellMar>
      </w:tblPr>
      <w:tblGrid>
        <w:gridCol w:w="1978"/>
        <w:gridCol w:w="1736"/>
        <w:gridCol w:w="1745"/>
        <w:gridCol w:w="404"/>
        <w:gridCol w:w="404"/>
        <w:gridCol w:w="406"/>
        <w:gridCol w:w="109"/>
        <w:gridCol w:w="109"/>
        <w:gridCol w:w="109"/>
        <w:gridCol w:w="290"/>
        <w:gridCol w:w="290"/>
        <w:gridCol w:w="291"/>
        <w:gridCol w:w="109"/>
        <w:gridCol w:w="109"/>
        <w:gridCol w:w="109"/>
        <w:gridCol w:w="368"/>
        <w:gridCol w:w="368"/>
        <w:gridCol w:w="523"/>
      </w:tblGrid>
      <w:tr>
        <w:trPr/>
        <w:tc>
          <w:tcPr>
            <w:tcW w:w="197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domain name registrations in the domain name base</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million</w:t>
            </w:r>
          </w:p>
        </w:tc>
      </w:tr>
    </w:tbl>
    <w:p>
      <w:pPr>
        <w:pStyle w:val="TextBody"/>
        <w:bidi w:val="0"/>
        <w:spacing w:lineRule="auto" w:line="288" w:before="120" w:after="120"/>
        <w:ind w:left="0" w:right="0" w:firstLine="495"/>
        <w:jc w:val="left"/>
        <w:rPr/>
      </w:pPr>
      <w:r>
        <w:rPr>
          <w:rFonts w:ascii="Times New Roman;sans-serif" w:hAnsi="Times New Roman;sans-serif"/>
          <w:b w:val="false"/>
          <w:color w:val="000000"/>
          <w:sz w:val="20"/>
        </w:rPr>
        <w:t>Revenues increased during the three and six months ended June 30, 2024, as compared to the same periods last year, primarily due to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price increases that became effective September 1, 2023 and 2022 and the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 xml:space="preserve">price increases that became effective February 1, 2024 and 2023, partially offset by a decline in the </w:t>
      </w:r>
      <w:r>
        <w:rPr>
          <w:rFonts w:ascii="Times New Roman;sans-serif" w:hAnsi="Times New Roman;sans-serif"/>
          <w:b w:val="false"/>
          <w:i/>
          <w:color w:val="000000"/>
          <w:sz w:val="20"/>
        </w:rPr>
        <w:t xml:space="preserve">.com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domain name base, and the elimination of revenue from the operation of the .</w:t>
      </w:r>
      <w:r>
        <w:rPr>
          <w:rFonts w:ascii="Times New Roman;sans-serif" w:hAnsi="Times New Roman;sans-serif"/>
          <w:b w:val="false"/>
          <w:i/>
          <w:color w:val="000000"/>
          <w:sz w:val="20"/>
        </w:rPr>
        <w:t>gov</w:t>
      </w:r>
      <w:r>
        <w:rPr>
          <w:color w:val="000000"/>
        </w:rPr>
        <w:t xml:space="preserve"> </w:t>
      </w:r>
      <w:r>
        <w:rPr>
          <w:rFonts w:ascii="Times New Roman;sans-serif" w:hAnsi="Times New Roman;sans-serif"/>
          <w:b w:val="false"/>
          <w:color w:val="000000"/>
          <w:sz w:val="20"/>
        </w:rPr>
        <w:t>gTLD, which was transitioned to another service provider in the fourth quarter of 2023.</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Demand for domain names has been primarily driven by continued internet growth and marketing activities carried out by us and our registrars. However, competitive pressure from ccTLDs, other gTLDs, services that offer alternatives for an online presence, such as social media, ongoing changes in internet practices and behaviors of consumers and business, as well as the motivation of existing domain name registrants managing their investment in domain names, such as for resale at increased prices or for revenue generation through website advertising, and global economic conditions, has limited the demand for domain names and may continue to do so in the future. While the core value proposition of a domain name remains strong, challenging economic and regulatory conditions have continued to weaken demand for domain name registrations in China, and some registrars, particularly in the U.S., have shifted their focus to increasing profitability through higher retail pricing and a decrease in marketing activities targeting new customer acquisition. The combination of these factors has negatively impacted our renewal rates and the volume of new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 xml:space="preserve">net </w:t>
      </w:r>
      <w:r>
        <w:rPr>
          <w:rFonts w:ascii="Times New Roman;sans-serif" w:hAnsi="Times New Roman;sans-serif"/>
          <w:b w:val="false"/>
          <w:color w:val="000000"/>
          <w:sz w:val="20"/>
        </w:rPr>
        <w:t>domain name registrations, resulting in a decline in our domain name base.</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Geographic revenues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revenues in the U.S.; Europe, the Middle East and Africa (“EMEA”); China; and certain other countries, including Canada, Japan, and Singapore.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comparison of our geographic revenues:</w:t>
      </w:r>
    </w:p>
    <w:tbl>
      <w:tblPr>
        <w:tblW w:w="8485" w:type="dxa"/>
        <w:jc w:val="left"/>
        <w:tblInd w:w="0" w:type="dxa"/>
        <w:tblLayout w:type="fixed"/>
        <w:tblCellMar>
          <w:top w:w="28" w:type="dxa"/>
          <w:left w:w="28" w:type="dxa"/>
          <w:bottom w:w="28" w:type="dxa"/>
          <w:right w:w="28" w:type="dxa"/>
        </w:tblCellMar>
      </w:tblPr>
      <w:tblGrid>
        <w:gridCol w:w="475"/>
        <w:gridCol w:w="417"/>
        <w:gridCol w:w="427"/>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The majority of our revenue growth was generated from registrars based in the U.S., EMEA and certain other countries, while revenues from registrars based in China declined in the three and six months ended June 30, 2024 compared to the same periods of the prior year due to the lower demand noted above.</w:t>
      </w:r>
    </w:p>
    <w:p>
      <w:pPr>
        <w:pStyle w:val="TextBody"/>
        <w:bidi w:val="0"/>
        <w:spacing w:lineRule="auto" w:line="288" w:before="18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consist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comparison of cost of revenues is presented below:</w:t>
      </w:r>
    </w:p>
    <w:tbl>
      <w:tblPr>
        <w:tblW w:w="8320" w:type="dxa"/>
        <w:jc w:val="left"/>
        <w:tblInd w:w="0" w:type="dxa"/>
        <w:tblLayout w:type="fixed"/>
        <w:tblCellMar>
          <w:top w:w="28" w:type="dxa"/>
          <w:left w:w="28" w:type="dxa"/>
          <w:bottom w:w="28" w:type="dxa"/>
          <w:right w:w="28" w:type="dxa"/>
        </w:tblCellMar>
      </w:tblPr>
      <w:tblGrid>
        <w:gridCol w:w="531"/>
        <w:gridCol w:w="468"/>
        <w:gridCol w:w="470"/>
        <w:gridCol w:w="211"/>
        <w:gridCol w:w="511"/>
        <w:gridCol w:w="109"/>
        <w:gridCol w:w="109"/>
        <w:gridCol w:w="109"/>
        <w:gridCol w:w="109"/>
        <w:gridCol w:w="290"/>
        <w:gridCol w:w="290"/>
        <w:gridCol w:w="291"/>
        <w:gridCol w:w="109"/>
        <w:gridCol w:w="109"/>
        <w:gridCol w:w="109"/>
        <w:gridCol w:w="211"/>
        <w:gridCol w:w="511"/>
        <w:gridCol w:w="109"/>
        <w:gridCol w:w="109"/>
        <w:gridCol w:w="109"/>
        <w:gridCol w:w="109"/>
        <w:gridCol w:w="211"/>
        <w:gridCol w:w="511"/>
        <w:gridCol w:w="109"/>
        <w:gridCol w:w="109"/>
        <w:gridCol w:w="109"/>
        <w:gridCol w:w="109"/>
        <w:gridCol w:w="290"/>
        <w:gridCol w:w="290"/>
        <w:gridCol w:w="291"/>
        <w:gridCol w:w="109"/>
        <w:gridCol w:w="109"/>
        <w:gridCol w:w="109"/>
        <w:gridCol w:w="211"/>
        <w:gridCol w:w="61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decreased slightly during the three months ended June 30, 2024, compared to the same period last year, due to a combination of individually insignificant factors.</w:t>
      </w:r>
    </w:p>
    <w:p>
      <w:pPr>
        <w:pStyle w:val="TextBody"/>
        <w:bidi w:val="0"/>
        <w:spacing w:lineRule="auto" w:line="288" w:before="8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decreased during the six months ended June 30, 2024, compared to the same period last year, due to decreases in depreciation expenses and telecommunication expenses. Depreciation expenses decreased by $3.9 million due to a decrease in capital expenditures in recent periods. Telecommunication expenses decreased by $2.5 million primarily due to savings on renewals of colocation agreements.</w:t>
      </w:r>
    </w:p>
    <w:p>
      <w:pPr>
        <w:pStyle w:val="TextBody"/>
        <w:bidi w:val="0"/>
        <w:spacing w:lineRule="auto" w:line="288" w:before="180" w:after="12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comparison of research and development expenses is presented below:</w:t>
      </w:r>
    </w:p>
    <w:tbl>
      <w:tblPr>
        <w:tblW w:w="9055" w:type="dxa"/>
        <w:jc w:val="left"/>
        <w:tblInd w:w="0" w:type="dxa"/>
        <w:tblLayout w:type="fixed"/>
        <w:tblCellMar>
          <w:top w:w="28" w:type="dxa"/>
          <w:left w:w="28" w:type="dxa"/>
          <w:bottom w:w="28" w:type="dxa"/>
          <w:right w:w="28" w:type="dxa"/>
        </w:tblCellMar>
      </w:tblPr>
      <w:tblGrid>
        <w:gridCol w:w="837"/>
        <w:gridCol w:w="734"/>
        <w:gridCol w:w="738"/>
        <w:gridCol w:w="211"/>
        <w:gridCol w:w="511"/>
        <w:gridCol w:w="109"/>
        <w:gridCol w:w="109"/>
        <w:gridCol w:w="109"/>
        <w:gridCol w:w="109"/>
        <w:gridCol w:w="290"/>
        <w:gridCol w:w="290"/>
        <w:gridCol w:w="291"/>
        <w:gridCol w:w="109"/>
        <w:gridCol w:w="109"/>
        <w:gridCol w:w="109"/>
        <w:gridCol w:w="211"/>
        <w:gridCol w:w="511"/>
        <w:gridCol w:w="109"/>
        <w:gridCol w:w="109"/>
        <w:gridCol w:w="109"/>
        <w:gridCol w:w="109"/>
        <w:gridCol w:w="211"/>
        <w:gridCol w:w="511"/>
        <w:gridCol w:w="109"/>
        <w:gridCol w:w="109"/>
        <w:gridCol w:w="109"/>
        <w:gridCol w:w="109"/>
        <w:gridCol w:w="290"/>
        <w:gridCol w:w="290"/>
        <w:gridCol w:w="291"/>
        <w:gridCol w:w="109"/>
        <w:gridCol w:w="109"/>
        <w:gridCol w:w="109"/>
        <w:gridCol w:w="211"/>
        <w:gridCol w:w="51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slightly during the three and six months ended June 30, 2024, compared to the same periods last year, due to a combination of individually insignificant factors.</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0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comparison of selling, general and administrative expenses is presented below:</w:t>
      </w:r>
    </w:p>
    <w:tbl>
      <w:tblPr>
        <w:tblW w:w="9806" w:type="dxa"/>
        <w:jc w:val="left"/>
        <w:tblInd w:w="0" w:type="dxa"/>
        <w:tblLayout w:type="fixed"/>
        <w:tblCellMar>
          <w:top w:w="28" w:type="dxa"/>
          <w:left w:w="28" w:type="dxa"/>
          <w:bottom w:w="28" w:type="dxa"/>
          <w:right w:w="28" w:type="dxa"/>
        </w:tblCellMar>
      </w:tblPr>
      <w:tblGrid>
        <w:gridCol w:w="1071"/>
        <w:gridCol w:w="941"/>
        <w:gridCol w:w="943"/>
        <w:gridCol w:w="211"/>
        <w:gridCol w:w="511"/>
        <w:gridCol w:w="109"/>
        <w:gridCol w:w="109"/>
        <w:gridCol w:w="109"/>
        <w:gridCol w:w="109"/>
        <w:gridCol w:w="290"/>
        <w:gridCol w:w="290"/>
        <w:gridCol w:w="291"/>
        <w:gridCol w:w="109"/>
        <w:gridCol w:w="109"/>
        <w:gridCol w:w="109"/>
        <w:gridCol w:w="211"/>
        <w:gridCol w:w="511"/>
        <w:gridCol w:w="109"/>
        <w:gridCol w:w="109"/>
        <w:gridCol w:w="109"/>
        <w:gridCol w:w="109"/>
        <w:gridCol w:w="211"/>
        <w:gridCol w:w="616"/>
        <w:gridCol w:w="109"/>
        <w:gridCol w:w="109"/>
        <w:gridCol w:w="109"/>
        <w:gridCol w:w="109"/>
        <w:gridCol w:w="290"/>
        <w:gridCol w:w="290"/>
        <w:gridCol w:w="291"/>
        <w:gridCol w:w="109"/>
        <w:gridCol w:w="109"/>
        <w:gridCol w:w="109"/>
        <w:gridCol w:w="211"/>
        <w:gridCol w:w="51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remained consistent during the three and six months ended June 30, 2024, compared to the same periods last year.</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remained consistent during the three and six months ended June 30, 2024 compared to the same periods last year. </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Non-operating income, net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remained consistent during the three and six months ended June 30, 2024, compared to the same periods last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10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Income tax expense and the effective tax rate:</w:t>
      </w:r>
    </w:p>
    <w:tbl>
      <w:tblPr>
        <w:tblW w:w="6933" w:type="dxa"/>
        <w:jc w:val="left"/>
        <w:tblInd w:w="0" w:type="dxa"/>
        <w:tblLayout w:type="fixed"/>
        <w:tblCellMar>
          <w:top w:w="28" w:type="dxa"/>
          <w:left w:w="28" w:type="dxa"/>
          <w:bottom w:w="28" w:type="dxa"/>
          <w:right w:w="28" w:type="dxa"/>
        </w:tblCellMar>
      </w:tblPr>
      <w:tblGrid>
        <w:gridCol w:w="625"/>
        <w:gridCol w:w="548"/>
        <w:gridCol w:w="552"/>
        <w:gridCol w:w="211"/>
        <w:gridCol w:w="511"/>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8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each of the periods in the table above differed from the statutory federal rate of 21%, due to state income taxes and U.S. taxes on foreign earnings, net of foreign tax credits, partially offset by a lower foreign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principal sources of liquidity:</w:t>
      </w:r>
    </w:p>
    <w:tbl>
      <w:tblPr>
        <w:tblW w:w="4667" w:type="dxa"/>
        <w:jc w:val="left"/>
        <w:tblInd w:w="0" w:type="dxa"/>
        <w:tblLayout w:type="fixed"/>
        <w:tblCellMar>
          <w:top w:w="28" w:type="dxa"/>
          <w:left w:w="28" w:type="dxa"/>
          <w:bottom w:w="28" w:type="dxa"/>
          <w:right w:w="28" w:type="dxa"/>
        </w:tblCellMar>
      </w:tblPr>
      <w:tblGrid>
        <w:gridCol w:w="820"/>
        <w:gridCol w:w="720"/>
        <w:gridCol w:w="724"/>
        <w:gridCol w:w="211"/>
        <w:gridCol w:w="616"/>
        <w:gridCol w:w="109"/>
        <w:gridCol w:w="109"/>
        <w:gridCol w:w="109"/>
        <w:gridCol w:w="109"/>
        <w:gridCol w:w="245"/>
        <w:gridCol w:w="716"/>
        <w:gridCol w:w="1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June 30, 2024, all of our debt securities have contractual maturities of less than one year. Our cash and cash equivalents are readily accessible. For additional information on our investment portfolio, see Note 2, “Financial Instruments,” of our Notes to Condensed Consolidated Financial Statements in Part I, Item I of this Quarterly Report on Form 10-Q.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repurchased 2.2 million shares of our common stock for an aggregate cost of $388.0 million. As of June 30, 2024, there was approximately $471.6 million remaining available for future share repurchases under the share repurchase program. Effective July 25, 2024, our Board of Directors authorized the repurchase of our common stock in the amount of $1.11 billion, in addition to the $388.0 million that remained available for repurchases under the share repurchase program, for a total repurchase authorization of up to $1.50 billion under the program.</w:t>
      </w:r>
    </w:p>
    <w:p>
      <w:pPr>
        <w:pStyle w:val="TextBody"/>
        <w:bidi w:val="0"/>
        <w:spacing w:lineRule="auto" w:line="288" w:before="10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$750.0 million principal amount outstanding of 2.70% senior unsecured notes due 2031, $550.0 million principal amount outstanding of 4.75% senior unsecured notes due 2027, and $500.0 million principal amount outstanding of 5.25% senior unsecured notes due 2025. As of June 30, 2024, there were no borrowings outstanding under our $200.0 million credit facility that will expire in 2028.</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existing cash, cash equivalents and marketable securities, and funds generated from operations, together with our ability to arrange for additional financing should be sufficient to meet our working capital, capital expenditure requirements, and to service our debt for the next 12 months and beyond. We regularly assess our cash management approach and activities in view of our current and potential future needs. Our cash requirements have not changed materially since the 2023 Form 10-K.</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summary, our cash flows for the six months ended June 30, 2024 and 2023 were as follows:</w:t>
      </w:r>
    </w:p>
    <w:tbl>
      <w:tblPr>
        <w:tblW w:w="8619" w:type="dxa"/>
        <w:jc w:val="left"/>
        <w:tblInd w:w="0" w:type="dxa"/>
        <w:tblLayout w:type="fixed"/>
        <w:tblCellMar>
          <w:top w:w="28" w:type="dxa"/>
          <w:left w:w="28" w:type="dxa"/>
          <w:bottom w:w="28" w:type="dxa"/>
          <w:right w:w="28" w:type="dxa"/>
        </w:tblCellMar>
      </w:tblPr>
      <w:tblGrid>
        <w:gridCol w:w="2307"/>
        <w:gridCol w:w="2031"/>
        <w:gridCol w:w="2037"/>
        <w:gridCol w:w="211"/>
        <w:gridCol w:w="616"/>
        <w:gridCol w:w="109"/>
        <w:gridCol w:w="109"/>
        <w:gridCol w:w="109"/>
        <w:gridCol w:w="109"/>
        <w:gridCol w:w="211"/>
        <w:gridCol w:w="616"/>
        <w:gridCol w:w="154"/>
      </w:tblGrid>
      <w:tr>
        <w:trPr/>
        <w:tc>
          <w:tcPr>
            <w:tcW w:w="230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8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2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Net cash provided by operating activities increased during the six months ended June 30, 2024, compared to the same period last year, primarily due to an increase in cash received from customers, partially offset by increases in cash paid to employees and vendors and cash paid for income taxes. Cash received from customers increased primarily due to the .</w:t>
      </w:r>
      <w:r>
        <w:rPr>
          <w:rFonts w:ascii="Times New Roman;sans-serif" w:hAnsi="Times New Roman;sans-serif"/>
          <w:b w:val="false"/>
          <w:i/>
          <w:color w:val="000000"/>
          <w:sz w:val="20"/>
        </w:rPr>
        <w:t>com</w:t>
      </w:r>
      <w:r>
        <w:rPr>
          <w:color w:val="000000"/>
        </w:rPr>
        <w:t xml:space="preserve"> </w:t>
      </w:r>
      <w:r>
        <w:rPr>
          <w:rFonts w:ascii="Times New Roman;sans-serif" w:hAnsi="Times New Roman;sans-serif"/>
          <w:b w:val="false"/>
          <w:color w:val="000000"/>
          <w:sz w:val="20"/>
        </w:rPr>
        <w:t>price increase that became effective on September 1, 2023, and the .</w:t>
      </w:r>
      <w:r>
        <w:rPr>
          <w:rFonts w:ascii="Times New Roman;sans-serif" w:hAnsi="Times New Roman;sans-serif"/>
          <w:b w:val="false"/>
          <w:i/>
          <w:color w:val="000000"/>
          <w:sz w:val="20"/>
        </w:rPr>
        <w:t>net</w:t>
      </w:r>
      <w:r>
        <w:rPr>
          <w:color w:val="000000"/>
        </w:rPr>
        <w:t xml:space="preserve"> </w:t>
      </w:r>
      <w:r>
        <w:rPr>
          <w:rFonts w:ascii="Times New Roman;sans-serif" w:hAnsi="Times New Roman;sans-serif"/>
          <w:b w:val="false"/>
          <w:color w:val="000000"/>
          <w:sz w:val="20"/>
        </w:rPr>
        <w:t>price increase that became effective on February 1, 2024. Cash paid to employees and vendors increased primarily due to the timing of payments. Cash paid for income taxes increased primarily due to comparatively higher U.S. federal and state income taxes.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2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cash flows from investing activities primarily relate to purchases, maturities and sales of marketable securities, and purchases of property and equipment.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increased during the six months ended June 30, 2024, compared to the same period last year, primarily due to an increase in proceeds from maturities and sales of marketable securities, net of purchases of marketable securities.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2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cash flows from financing activities primarily relate to share repurchases and proceeds from our employee stock purchase plan.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during the six months ended June 30, 2024, compared to the same period last year, primarily due to an increase in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market risk exposures since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(our principal executive officer) and our Chief Financial Officer (our principal financial officer), evaluated the effectiveness of our disclosure controls and procedures. Based on this evaluation, as of June 30, 2024,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such term is defined in Rules 13a-15(f) and 15d-15(f) under the Exchange Act) during the three months ended June 30, 2024 that has materially affected, or is reasonably likely to materially affect, the Company’s internal control over financial reporting.</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Inherent Limitations of Disclosure Controls and Internal Control over Financial Reporting</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 may become inadequate because of changes in conditions or that the degree of compliance with our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1A.</w:t>
      </w:r>
      <w:r>
        <w:rPr>
          <w:color w:val="000000"/>
        </w:rPr>
        <w:t>    </w:t>
      </w:r>
      <w:r>
        <w:rPr>
          <w:rFonts w:ascii="Times New Roman;sans-serif" w:hAnsi="Times New Roman;sans-serif"/>
          <w:b/>
          <w:color w:val="000000"/>
          <w:sz w:val="20"/>
        </w:rPr>
        <w:t xml:space="preserve">RISK FACTORS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operating results, financial condition, reputation, cash flows or prospects can be materially adversely affected by a number of factors including but not limited to those described in Part I, Item 1A of the 2023 Form 10-K under the heading “Risk Factors.” In such case,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10-Q as a result of the risk factors described in Part I, Item 1A of the 2023 Form 10-K and in other filings we make with the SEC. There have been no material changes to the Company’s risk factors since the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0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share repurchase activity during the three months ended June 30, 2024:</w:t>
      </w:r>
    </w:p>
    <w:tbl>
      <w:tblPr>
        <w:tblW w:w="7680" w:type="dxa"/>
        <w:jc w:val="left"/>
        <w:tblInd w:w="0" w:type="dxa"/>
        <w:tblLayout w:type="fixed"/>
        <w:tblCellMar>
          <w:top w:w="28" w:type="dxa"/>
          <w:left w:w="28" w:type="dxa"/>
          <w:bottom w:w="28" w:type="dxa"/>
          <w:right w:w="28" w:type="dxa"/>
        </w:tblCellMar>
      </w:tblPr>
      <w:tblGrid>
        <w:gridCol w:w="565"/>
        <w:gridCol w:w="496"/>
        <w:gridCol w:w="499"/>
        <w:gridCol w:w="375"/>
        <w:gridCol w:w="375"/>
        <w:gridCol w:w="376"/>
        <w:gridCol w:w="109"/>
        <w:gridCol w:w="109"/>
        <w:gridCol w:w="109"/>
        <w:gridCol w:w="211"/>
        <w:gridCol w:w="721"/>
        <w:gridCol w:w="109"/>
        <w:gridCol w:w="109"/>
        <w:gridCol w:w="109"/>
        <w:gridCol w:w="109"/>
        <w:gridCol w:w="444"/>
        <w:gridCol w:w="444"/>
        <w:gridCol w:w="446"/>
        <w:gridCol w:w="109"/>
        <w:gridCol w:w="109"/>
        <w:gridCol w:w="109"/>
        <w:gridCol w:w="211"/>
        <w:gridCol w:w="616"/>
        <w:gridCol w:w="811"/>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Programs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That May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Yet Be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Under the Plans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Programs (1) (2) (3)</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in thousands)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1 - 30, 2024</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million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1 - 31, 2024</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million</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1 - 30, 2024</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million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Effective July 27, 2023, our Board of Directors authorized the repurchase of our common stock in the amount of $1.14 billion, in addition to the $356.1 million that remained available for repurchases under the share repurchase program, for a total repurchase authorization of up to $1.50 billion under the program. </w:t>
      </w:r>
    </w:p>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Effective July 25, 2024, our Board of Directors authorized the repurchase of our common stock in the amount of $1.11 billion, in addition to the $388.0 million that remained available for repurchases under the share repurchase program, for a total repurchase authorization of up to $1.50 billion under the program. The share repurchase program has no expiration date. Purchases made under the program could be effected through open market transactions, block purchases, accelerated share repurchase agreements or other negotiated transactions.</w:t>
      </w:r>
    </w:p>
    <w:p>
      <w:pPr>
        <w:pStyle w:val="TextBody"/>
        <w:bidi w:val="0"/>
        <w:spacing w:lineRule="auto" w:line="288" w:before="1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Amounts presented are exclusive of the excise tax on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Insider Trading Arrangements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15, 2024, Danny McPherson, the Company’s Executive Vice President, Engineering, Operations and Chief Security Officer, terminated an existing Rule 10b5-1(c) trading plan, originally adopted on November 22, 2023. The trading plan permitted the sale of up to 6,000 shares of Company common stock between March 1, 2024 and March 28, 2025, subject to certain conditions.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 other directors or executive officers adopted, terminated or modified plans or other arrangements during the quarter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under Item 6—Exhibits, the exhibits filed as part of this report are provided in this separate section. The exhibits included in this section are as follows: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89"/>
        <w:gridCol w:w="1639"/>
        <w:gridCol w:w="1645"/>
        <w:gridCol w:w="175"/>
        <w:gridCol w:w="175"/>
        <w:gridCol w:w="176"/>
        <w:gridCol w:w="120"/>
        <w:gridCol w:w="120"/>
        <w:gridCol w:w="120"/>
        <w:gridCol w:w="160"/>
        <w:gridCol w:w="160"/>
        <w:gridCol w:w="161"/>
        <w:gridCol w:w="120"/>
        <w:gridCol w:w="120"/>
        <w:gridCol w:w="120"/>
        <w:gridCol w:w="250"/>
        <w:gridCol w:w="250"/>
        <w:gridCol w:w="251"/>
        <w:gridCol w:w="109"/>
        <w:gridCol w:w="109"/>
        <w:gridCol w:w="109"/>
        <w:gridCol w:w="301"/>
        <w:gridCol w:w="301"/>
        <w:gridCol w:w="43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24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4630x10qxex3101.htm">
              <w:r>
                <w:rPr>
                  <w:rStyle w:val="InternetLink"/>
                  <w:rFonts w:ascii="Times New Roman;sans-serif" w:hAnsi="Times New Roman;sans-serif"/>
                  <w:b w:val="false"/>
                  <w:color w:val="0000FF"/>
                  <w:sz w:val="20"/>
                  <w:u w:val="single"/>
                </w:rPr>
                <w:t>Certification of Principal Executive Officer pursuant to Exchange Act Rule 13a-14(a).</w:t>
              </w:r>
            </w:hyperlink>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4630x10qxex3102.htm">
              <w:r>
                <w:rPr>
                  <w:rStyle w:val="InternetLink"/>
                  <w:rFonts w:ascii="Times New Roman;sans-serif" w:hAnsi="Times New Roman;sans-serif"/>
                  <w:b w:val="false"/>
                  <w:color w:val="0000FF"/>
                  <w:sz w:val="20"/>
                  <w:u w:val="single"/>
                </w:rPr>
                <w:t>Certification of Principal Financial Officer pursuant to Exchange Act Rule 13a-14(a).</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4630x10qxex3201.htm">
              <w:r>
                <w:rPr>
                  <w:rStyle w:val="InternetLink"/>
                  <w:rFonts w:ascii="Times New Roman;sans-serif" w:hAnsi="Times New Roman;sans-serif"/>
                  <w:b w:val="false"/>
                  <w:color w:val="0000FF"/>
                  <w:sz w:val="20"/>
                  <w:u w:val="single"/>
                </w:rPr>
                <w:t>Certification of Principal Executive Officer pursuant to Exchange Act Rule 13a-14(b) and Section 1350 of Chapter 63 of Title 18 of the U.S. Code (18 U.S.C. 1350). *</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4630x10qxex3202.htm">
              <w:r>
                <w:rPr>
                  <w:rStyle w:val="InternetLink"/>
                  <w:rFonts w:ascii="Times New Roman;sans-serif" w:hAnsi="Times New Roman;sans-serif"/>
                  <w:b w:val="false"/>
                  <w:color w:val="0000FF"/>
                  <w:sz w:val="20"/>
                  <w:u w:val="single"/>
                </w:rPr>
                <w:t>Certification of Principal Financial Officer pursuant to Exchange Act Rule 13a-14(b) and Section 1350 of Chapter 63 of Title 18 of the U.S. Code (18 U.S.C. 1350). *</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Data File.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contemplated by SEC Release No. 33-8212, these exhibits are furnished with this Quarterly Report on Form 10-Q and are not deemed filed with the SEC and are not incorporated by reference in any filing of VeriSign, Inc. under the Securities Act of 1933 or the Securities Exchange Act of 1934, whether made before or after the date hereof and irrespective of any general incorporation language in such filings.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5e282ccc8c4404788af2e78781d64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46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88"/>
        <w:gridCol w:w="688"/>
        <w:gridCol w:w="97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VERISIGN,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D. J</w:t>
            </w:r>
            <w:r>
              <w:rPr>
                <w:rFonts w:ascii="Times New Roman;sans-serif" w:hAnsi="Times New Roman;sans-serif"/>
                <w:b w:val="false"/>
                <w:color w:val="000000"/>
                <w:sz w:val="16"/>
              </w:rPr>
              <w:t>AMES</w:t>
            </w:r>
            <w:r>
              <w:rPr>
                <w:color w:val="000000"/>
              </w:rPr>
              <w:t xml:space="preserve"> </w:t>
            </w:r>
            <w:r>
              <w:rPr>
                <w:rFonts w:ascii="Times New Roman;sans-serif" w:hAnsi="Times New Roman;sans-serif"/>
                <w:b w:val="false"/>
                <w:color w:val="000000"/>
                <w:sz w:val="20"/>
              </w:rPr>
              <w:t>B</w:t>
            </w:r>
            <w:r>
              <w:rPr>
                <w:rFonts w:ascii="Times New Roman;sans-serif" w:hAnsi="Times New Roman;sans-serif"/>
                <w:b w:val="false"/>
                <w:color w:val="000000"/>
                <w:sz w:val="16"/>
              </w:rPr>
              <w:t>IDZOS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 James Bidzos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Chief Executive Officer</w:t>
            </w:r>
          </w:p>
        </w:tc>
      </w:tr>
    </w:tbl>
    <w:p>
      <w:pPr>
        <w:pStyle w:val="TextBody"/>
        <w:bidi w:val="0"/>
        <w:spacing w:lineRule="auto" w:line="288" w:before="0" w:after="0"/>
        <w:jc w:val="left"/>
        <w:rPr>
          <w:color w:val="000000"/>
        </w:rPr>
      </w:pPr>
      <w:r>
        <w:rPr>
          <w:color w:val="000000"/>
        </w:rPr>
        <w:t> </w:t>
      </w:r>
    </w:p>
    <w:tbl>
      <w:tblPr>
        <w:tblW w:w="473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67"/>
        <w:gridCol w:w="767"/>
        <w:gridCol w:w="109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G</w:t>
            </w:r>
            <w:r>
              <w:rPr>
                <w:rFonts w:ascii="Times New Roman;sans-serif" w:hAnsi="Times New Roman;sans-serif"/>
                <w:b w:val="false"/>
                <w:color w:val="000000"/>
                <w:sz w:val="16"/>
              </w:rPr>
              <w:t>EORGE</w:t>
            </w:r>
            <w:r>
              <w:rPr>
                <w:color w:val="000000"/>
              </w:rPr>
              <w:t xml:space="preserve"> </w:t>
            </w:r>
            <w:r>
              <w:rPr>
                <w:rFonts w:ascii="Times New Roman;sans-serif" w:hAnsi="Times New Roman;sans-serif"/>
                <w:b w:val="false"/>
                <w:color w:val="000000"/>
                <w:sz w:val="20"/>
              </w:rPr>
              <w:t>E. K</w:t>
            </w:r>
            <w:r>
              <w:rPr>
                <w:rFonts w:ascii="Times New Roman;sans-serif" w:hAnsi="Times New Roman;sans-serif"/>
                <w:b w:val="false"/>
                <w:color w:val="000000"/>
                <w:sz w:val="16"/>
              </w:rPr>
              <w:t>ILGUSS</w:t>
            </w:r>
            <w:r>
              <w:rPr>
                <w:rFonts w:ascii="Times New Roman;sans-serif" w:hAnsi="Times New Roman;sans-serif"/>
                <w:b w:val="false"/>
                <w:color w:val="000000"/>
                <w:sz w:val="20"/>
              </w:rPr>
              <w:t>, III</w:t>
            </w: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George E. Kilguss,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31.01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RULE 13a-14(a)/15d-14(a)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 James Bidzos, certify that: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VeriSign, Inc.;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tbl>
      <w:tblPr>
        <w:tblW w:w="4197"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608"/>
        <w:gridCol w:w="608"/>
        <w:gridCol w:w="86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D. J</w:t>
            </w:r>
            <w:r>
              <w:rPr>
                <w:rFonts w:ascii="Times New Roman;sans-serif" w:hAnsi="Times New Roman;sans-serif"/>
                <w:b w:val="false"/>
                <w:color w:val="000000"/>
                <w:sz w:val="16"/>
              </w:rPr>
              <w:t>AMES</w:t>
            </w:r>
            <w:r>
              <w:rPr>
                <w:color w:val="000000"/>
              </w:rPr>
              <w:t xml:space="preserve"> </w:t>
            </w:r>
            <w:r>
              <w:rPr>
                <w:rFonts w:ascii="Times New Roman;sans-serif" w:hAnsi="Times New Roman;sans-serif"/>
                <w:b w:val="false"/>
                <w:color w:val="000000"/>
                <w:sz w:val="20"/>
              </w:rPr>
              <w:t>B</w:t>
            </w:r>
            <w:r>
              <w:rPr>
                <w:rFonts w:ascii="Times New Roman;sans-serif" w:hAnsi="Times New Roman;sans-serif"/>
                <w:b w:val="false"/>
                <w:color w:val="000000"/>
                <w:sz w:val="16"/>
              </w:rPr>
              <w:t>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 James Bidzos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Chief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31.02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RULE 13a-14(a)/15d-14(a)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George E. Kilguss, III, certify that: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VeriSign, Inc.;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before="100" w:after="100"/>
        <w:jc w:val="left"/>
        <w:rPr/>
      </w:pPr>
      <w:r>
        <w:rPr/>
      </w:r>
    </w:p>
    <w:tbl>
      <w:tblPr>
        <w:tblW w:w="448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693"/>
        <w:gridCol w:w="693"/>
        <w:gridCol w:w="98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G</w:t>
            </w:r>
            <w:r>
              <w:rPr>
                <w:rFonts w:ascii="Times New Roman;sans-serif" w:hAnsi="Times New Roman;sans-serif"/>
                <w:b w:val="false"/>
                <w:color w:val="000000"/>
                <w:sz w:val="16"/>
              </w:rPr>
              <w:t>EORGE</w:t>
            </w:r>
            <w:r>
              <w:rPr>
                <w:color w:val="000000"/>
              </w:rPr>
              <w:t xml:space="preserve"> </w:t>
            </w:r>
            <w:r>
              <w:rPr>
                <w:rFonts w:ascii="Times New Roman;sans-serif" w:hAnsi="Times New Roman;sans-serif"/>
                <w:b w:val="false"/>
                <w:color w:val="000000"/>
                <w:sz w:val="20"/>
              </w:rPr>
              <w:t>E. K</w:t>
            </w:r>
            <w:r>
              <w:rPr>
                <w:rFonts w:ascii="Times New Roman;sans-serif" w:hAnsi="Times New Roman;sans-serif"/>
                <w:b w:val="false"/>
                <w:color w:val="000000"/>
                <w:sz w:val="16"/>
              </w:rPr>
              <w:t>ILGUSS</w:t>
            </w:r>
            <w:r>
              <w:rPr>
                <w:rFonts w:ascii="Times New Roman;sans-serif" w:hAnsi="Times New Roman;sans-serif"/>
                <w:b w:val="false"/>
                <w:color w:val="000000"/>
                <w:sz w:val="20"/>
              </w:rPr>
              <w:t>,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George E. Kilguss,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Chief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32.01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 James Bidzos, Chief Executive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Quarterly Report on Form 10-Q of the Company for the fiscal quarter ended June 30, 2024,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tbl>
      <w:tblPr>
        <w:tblW w:w="3793" w:type="dxa"/>
        <w:jc w:val="center"/>
        <w:tblInd w:w="0" w:type="dxa"/>
        <w:tblLayout w:type="fixed"/>
        <w:tblCellMar>
          <w:top w:w="28" w:type="dxa"/>
          <w:left w:w="28" w:type="dxa"/>
          <w:bottom w:w="28" w:type="dxa"/>
          <w:right w:w="28" w:type="dxa"/>
        </w:tblCellMar>
      </w:tblPr>
      <w:tblGrid>
        <w:gridCol w:w="618"/>
        <w:gridCol w:w="544"/>
        <w:gridCol w:w="547"/>
        <w:gridCol w:w="608"/>
        <w:gridCol w:w="608"/>
        <w:gridCol w:w="86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2024</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D. J</w:t>
            </w:r>
            <w:r>
              <w:rPr>
                <w:rFonts w:ascii="Times New Roman;sans-serif" w:hAnsi="Times New Roman;sans-serif"/>
                <w:b w:val="false"/>
                <w:color w:val="000000"/>
                <w:sz w:val="16"/>
              </w:rPr>
              <w:t>AMES</w:t>
            </w:r>
            <w:r>
              <w:rPr>
                <w:color w:val="000000"/>
              </w:rPr>
              <w:t xml:space="preserve"> </w:t>
            </w:r>
            <w:r>
              <w:rPr>
                <w:rFonts w:ascii="Times New Roman;sans-serif" w:hAnsi="Times New Roman;sans-serif"/>
                <w:b w:val="false"/>
                <w:color w:val="000000"/>
                <w:sz w:val="20"/>
              </w:rPr>
              <w:t>B</w:t>
            </w:r>
            <w:r>
              <w:rPr>
                <w:rFonts w:ascii="Times New Roman;sans-serif" w:hAnsi="Times New Roman;sans-serif"/>
                <w:b w:val="false"/>
                <w:color w:val="000000"/>
                <w:sz w:val="16"/>
              </w:rPr>
              <w:t>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 James Bidzos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Chief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32.02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George E. Kilguss, III, Chief Financial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Quarterly Report on Form 10-Q of the Company for the fiscal quarter ended June 30, 2024,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tbl>
      <w:tblPr>
        <w:tblW w:w="4078" w:type="dxa"/>
        <w:jc w:val="center"/>
        <w:tblInd w:w="0" w:type="dxa"/>
        <w:tblLayout w:type="fixed"/>
        <w:tblCellMar>
          <w:top w:w="28" w:type="dxa"/>
          <w:left w:w="28" w:type="dxa"/>
          <w:bottom w:w="28" w:type="dxa"/>
          <w:right w:w="28" w:type="dxa"/>
        </w:tblCellMar>
      </w:tblPr>
      <w:tblGrid>
        <w:gridCol w:w="618"/>
        <w:gridCol w:w="544"/>
        <w:gridCol w:w="547"/>
        <w:gridCol w:w="693"/>
        <w:gridCol w:w="693"/>
        <w:gridCol w:w="98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2024</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G</w:t>
            </w:r>
            <w:r>
              <w:rPr>
                <w:rFonts w:ascii="Times New Roman;sans-serif" w:hAnsi="Times New Roman;sans-serif"/>
                <w:b w:val="false"/>
                <w:color w:val="000000"/>
                <w:sz w:val="16"/>
              </w:rPr>
              <w:t>EORGE</w:t>
            </w:r>
            <w:r>
              <w:rPr>
                <w:color w:val="000000"/>
              </w:rPr>
              <w:t xml:space="preserve"> </w:t>
            </w:r>
            <w:r>
              <w:rPr>
                <w:rFonts w:ascii="Times New Roman;sans-serif" w:hAnsi="Times New Roman;sans-serif"/>
                <w:b w:val="false"/>
                <w:color w:val="000000"/>
                <w:sz w:val="20"/>
              </w:rPr>
              <w:t>E. K</w:t>
            </w:r>
            <w:r>
              <w:rPr>
                <w:rFonts w:ascii="Times New Roman;sans-serif" w:hAnsi="Times New Roman;sans-serif"/>
                <w:b w:val="false"/>
                <w:color w:val="000000"/>
                <w:sz w:val="16"/>
              </w:rPr>
              <w:t>ILGUSS</w:t>
            </w:r>
            <w:r>
              <w:rPr>
                <w:rFonts w:ascii="Times New Roman;sans-serif" w:hAnsi="Times New Roman;sans-serif"/>
                <w:b w:val="false"/>
                <w:color w:val="000000"/>
                <w:sz w:val="20"/>
              </w:rPr>
              <w:t>,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George E. Kilguss,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Chief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9782</Words>
  <Characters>52944</Characters>
  <CharactersWithSpaces>61934</CharactersWithSpaces>
  <Paragraphs>1520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