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6207.xml.htm"/>
      <w:bookmarkStart w:id="1" w:name="kswkform4_17870862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McPherson Danny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Technology &amp; CSO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4"/>
        <w:gridCol w:w="898"/>
        <w:gridCol w:w="771"/>
        <w:gridCol w:w="596"/>
        <w:gridCol w:w="333"/>
        <w:gridCol w:w="1081"/>
        <w:gridCol w:w="414"/>
        <w:gridCol w:w="827"/>
        <w:gridCol w:w="1463"/>
        <w:gridCol w:w="946"/>
        <w:gridCol w:w="9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214.0739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284.24</w:t>
            </w:r>
          </w:p>
        </w:tc>
        <w:tc>
          <w:tcPr>
            <w:tcW w:w="1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34,279.9475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255.4313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284.24</w:t>
            </w:r>
          </w:p>
        </w:tc>
        <w:tc>
          <w:tcPr>
            <w:tcW w:w="1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34,024.5162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257.4916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284.24</w:t>
            </w:r>
          </w:p>
        </w:tc>
        <w:tc>
          <w:tcPr>
            <w:tcW w:w="1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33,767.0246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of shares exempt under Rule 16b-3 as payment of tax liability to Company by delivery or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Reporting Person's total direct holdings disclosed in Table I, Item 5 under Amount of Securities Beneficially Owned Following Reported Transaction(s) includes 44 shares acquired July 31, 2026 under the Amended and Restated 2007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Danny R. McPherson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0987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3576</Characters>
  <CharactersWithSpaces>4145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