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107315</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126365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125095</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VERISIGN, INC.</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88" w:lineRule="exact"/>
        <w:rPr>
          <w:sz w:val="24"/>
          <w:szCs w:val="24"/>
          <w:color w:val="auto"/>
        </w:rPr>
      </w:pPr>
    </w:p>
    <w:tbl>
      <w:tblPr>
        <w:tblLayout w:type="fixed"/>
        <w:tblInd w:w="1480" w:type="dxa"/>
        <w:tblCellMar>
          <w:top w:w="0" w:type="dxa"/>
          <w:left w:w="0" w:type="dxa"/>
          <w:bottom w:w="0" w:type="dxa"/>
          <w:right w:w="0" w:type="dxa"/>
        </w:tblCellMar>
      </w:tblPr>
      <w:tr>
        <w:trPr>
          <w:trHeight w:val="254"/>
        </w:trPr>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000-23593</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8"/>
                <w:szCs w:val="18"/>
                <w:b w:val="1"/>
                <w:bCs w:val="1"/>
                <w:color w:val="auto"/>
                <w:w w:val="98"/>
              </w:rPr>
              <w:t>94-3221585</w:t>
            </w:r>
          </w:p>
        </w:tc>
      </w:tr>
      <w:tr>
        <w:trPr>
          <w:trHeight w:val="148"/>
        </w:trPr>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5160" w:type="dxa"/>
            <w:vAlign w:val="bottom"/>
          </w:tcPr>
          <w:p>
            <w:pPr>
              <w:jc w:val="center"/>
              <w:ind w:left="39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12061 Bluemont Way,</w:t>
            </w:r>
          </w:p>
        </w:tc>
        <w:tc>
          <w:tcPr>
            <w:tcW w:w="5160" w:type="dxa"/>
            <w:vAlign w:val="bottom"/>
          </w:tcPr>
          <w:p>
            <w:pPr>
              <w:spacing w:after="0"/>
              <w:rPr>
                <w:sz w:val="24"/>
                <w:szCs w:val="24"/>
                <w:color w:val="auto"/>
              </w:rPr>
            </w:pPr>
          </w:p>
        </w:tc>
      </w:tr>
      <w:tr>
        <w:trPr>
          <w:trHeight w:val="227"/>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516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4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400" w:type="dxa"/>
            <w:vAlign w:val="bottom"/>
          </w:tcPr>
          <w:p>
            <w:pPr>
              <w:spacing w:after="0"/>
              <w:rPr>
                <w:sz w:val="24"/>
                <w:szCs w:val="24"/>
                <w:color w:val="auto"/>
              </w:rPr>
            </w:pPr>
          </w:p>
        </w:tc>
        <w:tc>
          <w:tcPr>
            <w:tcW w:w="5160" w:type="dxa"/>
            <w:vAlign w:val="bottom"/>
          </w:tcPr>
          <w:p>
            <w:pPr>
              <w:jc w:val="right"/>
              <w:ind w:right="2780"/>
              <w:spacing w:after="0"/>
              <w:rPr>
                <w:sz w:val="20"/>
                <w:szCs w:val="20"/>
                <w:color w:val="auto"/>
              </w:rPr>
            </w:pPr>
            <w:r>
              <w:rPr>
                <w:rFonts w:ascii="Times New Roman" w:cs="Times New Roman" w:eastAsia="Times New Roman" w:hAnsi="Times New Roman"/>
                <w:sz w:val="18"/>
                <w:szCs w:val="18"/>
                <w:b w:val="1"/>
                <w:bCs w:val="1"/>
                <w:color w:val="auto"/>
              </w:rPr>
              <w:t>(703) 948-3200</w:t>
            </w:r>
          </w:p>
        </w:tc>
      </w:tr>
      <w:tr>
        <w:trPr>
          <w:trHeight w:val="190"/>
        </w:trPr>
        <w:tc>
          <w:tcPr>
            <w:tcW w:w="2400" w:type="dxa"/>
            <w:vAlign w:val="bottom"/>
          </w:tcPr>
          <w:p>
            <w:pPr>
              <w:spacing w:after="0"/>
              <w:rPr>
                <w:sz w:val="16"/>
                <w:szCs w:val="16"/>
                <w:color w:val="auto"/>
              </w:rPr>
            </w:pPr>
          </w:p>
        </w:tc>
        <w:tc>
          <w:tcPr>
            <w:tcW w:w="5160" w:type="dxa"/>
            <w:vAlign w:val="bottom"/>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right="3340" w:firstLine="26"/>
        <w:spacing w:after="0" w:line="412" w:lineRule="auto"/>
        <w:tabs>
          <w:tab w:leader="none" w:pos="65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580" w:type="dxa"/>
        <w:tblCellMar>
          <w:top w:w="0" w:type="dxa"/>
          <w:left w:w="0" w:type="dxa"/>
          <w:bottom w:w="0" w:type="dxa"/>
          <w:right w:w="0" w:type="dxa"/>
        </w:tblCellMar>
      </w:tblPr>
      <w:tr>
        <w:trPr>
          <w:trHeight w:val="179"/>
        </w:trPr>
        <w:tc>
          <w:tcPr>
            <w:tcW w:w="820" w:type="dxa"/>
            <w:vAlign w:val="bottom"/>
          </w:tcPr>
          <w:p>
            <w:pPr>
              <w:spacing w:after="0"/>
              <w:rPr>
                <w:sz w:val="15"/>
                <w:szCs w:val="15"/>
                <w:color w:val="auto"/>
              </w:rPr>
            </w:pPr>
          </w:p>
        </w:tc>
        <w:tc>
          <w:tcPr>
            <w:tcW w:w="2600" w:type="dxa"/>
            <w:vAlign w:val="bottom"/>
            <w:gridSpan w:val="2"/>
          </w:tcPr>
          <w:p>
            <w:pPr>
              <w:jc w:val="center"/>
              <w:ind w:right="1380"/>
              <w:spacing w:after="0" w:line="179"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3"/>
          </w:tcPr>
          <w:p>
            <w:pPr>
              <w:jc w:val="center"/>
              <w:ind w:right="900"/>
              <w:spacing w:after="0" w:line="179"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30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42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560" w:type="dxa"/>
            <w:vAlign w:val="bottom"/>
          </w:tcPr>
          <w:p>
            <w:pPr>
              <w:spacing w:after="0"/>
              <w:rPr>
                <w:sz w:val="20"/>
                <w:szCs w:val="20"/>
                <w:color w:val="auto"/>
              </w:rPr>
            </w:pPr>
          </w:p>
        </w:tc>
        <w:tc>
          <w:tcPr>
            <w:tcW w:w="276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w w:val="98"/>
              </w:rPr>
              <w:t>VRSN</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73"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620" w:type="dxa"/>
            <w:vAlign w:val="bottom"/>
          </w:tcPr>
          <w:p>
            <w:pPr>
              <w:ind w:left="8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04"/>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62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6"/>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0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5"/>
        </w:trPr>
        <w:tc>
          <w:tcPr>
            <w:tcW w:w="10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On October 24, 2024, VeriSign, Inc. issued a press release reporting its financial results for the fiscal quarter ended September 30, 2024. A copy of this press release is attached hereto as Exhibit 99.1.</w:t>
      </w:r>
    </w:p>
    <w:p>
      <w:pPr>
        <w:spacing w:after="0" w:line="18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Form 8-K and the Exhibit attached hereto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19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340" w:hanging="251"/>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3"/>
                <w:szCs w:val="13"/>
                <w:color w:val="auto"/>
              </w:rPr>
            </w:pPr>
          </w:p>
        </w:tc>
        <w:tc>
          <w:tcPr>
            <w:tcW w:w="103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4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Text of press release of VeriSign, Inc. issued on October 24, 2024.</w:t>
            </w: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c>
          <w:tcPr>
            <w:tcW w:w="0" w:type="dxa"/>
            <w:vAlign w:val="bottom"/>
          </w:tcPr>
          <w:p>
            <w:pPr>
              <w:spacing w:after="0"/>
              <w:rPr>
                <w:sz w:val="1"/>
                <w:szCs w:val="1"/>
                <w:color w:val="auto"/>
              </w:rPr>
            </w:pPr>
          </w:p>
        </w:tc>
      </w:tr>
      <w:tr>
        <w:trPr>
          <w:trHeight w:val="1006"/>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VERISIGN, INC.</w:t>
      </w:r>
    </w:p>
    <w:p>
      <w:pPr>
        <w:spacing w:after="0" w:line="320" w:lineRule="exact"/>
        <w:rPr>
          <w:sz w:val="20"/>
          <w:szCs w:val="20"/>
          <w:color w:val="auto"/>
        </w:rPr>
      </w:pPr>
    </w:p>
    <w:p>
      <w:pPr>
        <w:ind w:left="20"/>
        <w:spacing w:after="0"/>
        <w:tabs>
          <w:tab w:leader="none" w:pos="5280" w:val="left"/>
          <w:tab w:leader="none" w:pos="5860" w:val="left"/>
        </w:tabs>
        <w:rPr>
          <w:sz w:val="20"/>
          <w:szCs w:val="20"/>
          <w:color w:val="auto"/>
        </w:rPr>
      </w:pPr>
      <w:r>
        <w:rPr>
          <w:rFonts w:ascii="Times New Roman" w:cs="Times New Roman" w:eastAsia="Times New Roman" w:hAnsi="Times New Roman"/>
          <w:sz w:val="18"/>
          <w:szCs w:val="18"/>
          <w:color w:val="auto"/>
        </w:rPr>
        <w:t>Date: October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C. Indelicarto</w:t>
      </w:r>
    </w:p>
    <w:p>
      <w:pPr>
        <w:spacing w:after="0" w:line="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1718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ectPr>
          <w:pgSz w:w="11900" w:h="16838" w:orient="portrait"/>
          <w:cols w:equalWidth="0" w:num="1">
            <w:col w:w="10720"/>
          </w:cols>
          <w:pgMar w:left="320" w:top="887" w:right="8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1011555" cy="960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Verisign Reports Third Quarter 2024 Results</w:t>
      </w:r>
    </w:p>
    <w:p>
      <w:pPr>
        <w:spacing w:after="0" w:line="26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RESTON, VA - Oct. 24, 2024 </w:t>
      </w:r>
      <w:r>
        <w:rPr>
          <w:rFonts w:ascii="Times New Roman" w:cs="Times New Roman" w:eastAsia="Times New Roman" w:hAnsi="Times New Roman"/>
          <w:sz w:val="18"/>
          <w:szCs w:val="18"/>
          <w:color w:val="auto"/>
        </w:rPr>
        <w:t>- VeriSign, Inc. (NASDAQ: VRSN), a global provider of critical internet infrastructure and domain name registry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reported financial results for the third quarter of 2024.</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VeriSign, Inc. and its subsidiaries (“Verisign”) reported revenue of $391 million for the third quarter of 2024, up 3.8 percent from the same quarter in 2023. Operating income was $269 million for the third quarter of 2024, compared to $254 million for the same quarter of 2023. Verisign reported net income of $201 million and diluted earnings per share (diluted “EPS”) of $2.07 for the third quarter of 2024, compared to net income of $188 million and diluted EPS of $1.83 for the same quarter of 2023.</w:t>
      </w:r>
    </w:p>
    <w:p>
      <w:pPr>
        <w:spacing w:after="0" w:line="1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“By continuing to deliver on our mission of maintaining the security, stability, and resiliency of the critical internet infrastructure we operate, we deliver for all our stakeholders,” said Jim Bidzos, Executive Chairman, President and Chief Executive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43" w:lineRule="exact"/>
        <w:rPr>
          <w:sz w:val="20"/>
          <w:szCs w:val="20"/>
          <w:color w:val="auto"/>
        </w:rPr>
      </w:pPr>
    </w:p>
    <w:p>
      <w:pPr>
        <w:ind w:left="660" w:right="280" w:hanging="328"/>
        <w:spacing w:after="0" w:line="24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ended the third quarter of 2024 with cash, cash equivalents and marketable securities of $645 million, a decrease of $281 million from year-end 2023.</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$253 million for the third quarter of 2024, compared to $245 million for the same quarter of 2023.</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as of Sept. 30, 2024 totaled $1.30 billion, an increase of $53 million from year-end 2023.</w:t>
      </w:r>
    </w:p>
    <w:p>
      <w:pPr>
        <w:spacing w:after="0" w:line="9"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2024, Verisign repurchased 1.7 million shares of its common stock for an aggregate cost of $301 million. As of Sept. 30, 2024, there was $1.28 billion remaining for future share repurchases under the share repurchase program, which has no expiration.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Highlights</w:t>
      </w:r>
    </w:p>
    <w:p>
      <w:pPr>
        <w:spacing w:after="0" w:line="31" w:lineRule="exact"/>
        <w:rPr>
          <w:sz w:val="20"/>
          <w:szCs w:val="20"/>
          <w:color w:val="auto"/>
        </w:rPr>
      </w:pPr>
    </w:p>
    <w:p>
      <w:pPr>
        <w:ind w:left="660" w:right="5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ended the third quarter of 2024 with 169.6 million .com and .net domain name registrations in the domain name base, a 2.5 percent decrease from the end of the third quarter of 2023, and a net decrease of 1.1 million domain names during the third quarter of 2024.</w:t>
      </w:r>
    </w:p>
    <w:p>
      <w:pPr>
        <w:ind w:left="660" w:right="1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2024, Verisign processed 9.3 million new domain name registrations for .com and .net, compared with 9.9 million for the third quarter of 2023.</w:t>
      </w:r>
    </w:p>
    <w:p>
      <w:pPr>
        <w:ind w:left="660" w:right="50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.com and .net renewal rate for the second quarter of 2024 was 72.7 percent compared to 73.4 percent for the same quarter of 2023. Renewal rates are not fully measurable until 45 days after the end of the quarter.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Today’s Conference Call</w:t>
      </w:r>
    </w:p>
    <w:p>
      <w:pPr>
        <w:spacing w:after="0" w:line="3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 xml:space="preserve">Verisign will host a live conference call today at 4:30 p.m. (EDT) to review the third quarter 2024 results. The call will be accessible by direct dial at (888) 676-VRSN (U.S.) or (786) 789-4797 (international), conference ID: Verisign. A listen-only live web cast of the conference call and accompanying slide presentation will also be available at </w:t>
      </w:r>
      <w:r>
        <w:rPr>
          <w:rFonts w:ascii="Times New Roman" w:cs="Times New Roman" w:eastAsia="Times New Roman" w:hAnsi="Times New Roman"/>
          <w:sz w:val="17"/>
          <w:szCs w:val="17"/>
          <w:u w:val="single" w:color="auto"/>
          <w:color w:val="0000FF"/>
        </w:rPr>
        <w:t>https://investor.verisign.com</w:t>
      </w:r>
      <w:r>
        <w:rPr>
          <w:rFonts w:ascii="Times New Roman" w:cs="Times New Roman" w:eastAsia="Times New Roman" w:hAnsi="Times New Roman"/>
          <w:sz w:val="17"/>
          <w:szCs w:val="17"/>
          <w:color w:val="auto"/>
        </w:rPr>
        <w:t xml:space="preserve">. An audio archive of the call will be available at </w:t>
      </w:r>
      <w:r>
        <w:rPr>
          <w:rFonts w:ascii="Times New Roman" w:cs="Times New Roman" w:eastAsia="Times New Roman" w:hAnsi="Times New Roman"/>
          <w:sz w:val="17"/>
          <w:szCs w:val="17"/>
          <w:u w:val="single" w:color="auto"/>
          <w:color w:val="0000FF"/>
        </w:rPr>
        <w:t>https://investor.verisign.com/events.cfm</w:t>
      </w:r>
      <w:r>
        <w:rPr>
          <w:rFonts w:ascii="Times New Roman" w:cs="Times New Roman" w:eastAsia="Times New Roman" w:hAnsi="Times New Roman"/>
          <w:sz w:val="17"/>
          <w:szCs w:val="17"/>
          <w:color w:val="auto"/>
        </w:rPr>
        <w:t xml:space="preserve">. This news release and the financial information discussed on today’s conference call are available at </w:t>
      </w:r>
      <w:r>
        <w:rPr>
          <w:rFonts w:ascii="Times New Roman" w:cs="Times New Roman" w:eastAsia="Times New Roman" w:hAnsi="Times New Roman"/>
          <w:sz w:val="17"/>
          <w:szCs w:val="17"/>
          <w:u w:val="single" w:color="auto"/>
          <w:color w:val="0000FF"/>
        </w:rPr>
        <w:t>https://investor.verisign.com</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Verisign</w:t>
      </w:r>
    </w:p>
    <w:p>
      <w:pPr>
        <w:spacing w:after="0" w:line="20"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Verisign (NASDAQ: VRSN), a global provider of critical internet infrastructure and domain name registry services, enables internet navigation for many of the world’s most recognized domain names. Verisign helps enable the security, stability, and resiliency of the Domain Name System and the internet by providing root zone maintainer services, operating two of the 13 global internet root servers, and providing registration services and authoritative resolution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.com and .net top-level domains, which support the majority of global e-commerce. To learn more please visit </w:t>
      </w:r>
      <w:r>
        <w:rPr>
          <w:rFonts w:ascii="Times New Roman" w:cs="Times New Roman" w:eastAsia="Times New Roman" w:hAnsi="Times New Roman"/>
          <w:sz w:val="18"/>
          <w:szCs w:val="18"/>
          <w:u w:val="single" w:color="auto"/>
          <w:color w:val="0000FF"/>
        </w:rPr>
        <w:t>verisign.com</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4" w:name="page5"/>
    <w:bookmarkEnd w:id="4"/>
    <w:p>
      <w:pPr>
        <w:spacing w:after="0" w:line="338" w:lineRule="auto"/>
        <w:rPr>
          <w:sz w:val="20"/>
          <w:szCs w:val="20"/>
          <w:color w:val="auto"/>
        </w:rPr>
      </w:pPr>
      <w:r>
        <w:rPr>
          <w:rFonts w:ascii="Times New Roman" w:cs="Times New Roman" w:eastAsia="Times New Roman" w:hAnsi="Times New Roman"/>
          <w:sz w:val="16"/>
          <w:szCs w:val="16"/>
          <w:color w:val="auto"/>
        </w:rPr>
        <w:t>Statements in this announcement other than historical data and information constitute forward-looking statements within the meaning of Section 27A of the Securities Act of 1933 as amended and Section 21E of the Securities Exchange Act of 1934 as amended. These statements involve risks and uncertainties that could cause our actual results to differ materially from those stated or implied by such forward-looking statements. The potential risks and uncertainties include, among others, attempted security breaches, cyber-attacks, and DDoS attacks against our systems and services; the introduction of undetected or unknown defects in our systems or services; vulnerabilities in the global routing system; system interruptions or system failures; damage or interruptions to our data centers, data center systems or resolution systems; risks arising</w:t>
      </w:r>
    </w:p>
    <w:p>
      <w:pPr>
        <w:ind w:right="160"/>
        <w:spacing w:after="0" w:line="298" w:lineRule="auto"/>
        <w:rPr>
          <w:sz w:val="20"/>
          <w:szCs w:val="20"/>
          <w:color w:val="auto"/>
        </w:rPr>
      </w:pPr>
      <w:r>
        <w:rPr>
          <w:rFonts w:ascii="Times New Roman" w:cs="Times New Roman" w:eastAsia="Times New Roman" w:hAnsi="Times New Roman"/>
          <w:sz w:val="16"/>
          <w:szCs w:val="16"/>
          <w:color w:val="auto"/>
        </w:rPr>
        <w:t>from our operation of root servers and our performance of the Root Zone Maintainer functions; deterioration of economic conditions, particularly in China; our ability to compete in the highly competitive business environment in which we operate; any loss or modification of our right to operate the .com and .net gTLDs; changes or</w:t>
      </w:r>
    </w:p>
    <w:p>
      <w:pPr>
        <w:spacing w:after="0" w:line="2"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challenges to the pricing provisions of the .com Registry Agreement; new or existing governmental laws and regulations in the U.S. or other applicable non-U.S. jurisdictions; new laws, regulations, directives or ICANN policies that require us to obtain and maintain personal information of registrants; economic, legal, regulatory, and</w:t>
      </w:r>
    </w:p>
    <w:p>
      <w:pPr>
        <w:spacing w:after="0" w:line="1"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political risks associated with our international operations; unfavorable changes in, or interpretations of, tax rules and regulations; risks from the adoption of ICANN’s consensus and temporary policies, technical standards and other processes; the weakening of, or changes to, the multi-stakeholder model of internet governance; the</w:t>
      </w:r>
    </w:p>
    <w:p>
      <w:pPr>
        <w:spacing w:after="0" w:line="2" w:lineRule="exact"/>
        <w:rPr>
          <w:sz w:val="20"/>
          <w:szCs w:val="20"/>
          <w:color w:val="auto"/>
        </w:rPr>
      </w:pPr>
    </w:p>
    <w:p>
      <w:pPr>
        <w:ind w:right="60"/>
        <w:spacing w:after="0" w:line="344" w:lineRule="auto"/>
        <w:rPr>
          <w:sz w:val="20"/>
          <w:szCs w:val="20"/>
          <w:color w:val="auto"/>
        </w:rPr>
      </w:pPr>
      <w:r>
        <w:rPr>
          <w:rFonts w:ascii="Times New Roman" w:cs="Times New Roman" w:eastAsia="Times New Roman" w:hAnsi="Times New Roman"/>
          <w:sz w:val="16"/>
          <w:szCs w:val="16"/>
          <w:color w:val="auto"/>
        </w:rPr>
        <w:t>outcome of claims, lawsuits, audits or investigations; changes in internet practices and behavior and the adoption of substitute technologies, or the negative impact of wholesale price increases; our ability to expand our services into developing and emerging economies; our ability to maintain strong relationships with registrars and their resellers; our ability to attract, retain and motivate highly skilled employees; and our ability to protect and enforce our intellectual property rights. More information about potential factors that could affect our business and financial results is included in our filings with the SEC, including in our Annual Report on Form 10-K for the year ended Dec. 31, 2023, Quarterly Reports on Form 10-Q and Current Reports on Form 8-K. Verisign undertakes no obligation to update any of the forward-looking statements after the date of this announcement.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David Atchley, </w:t>
      </w:r>
      <w:r>
        <w:rPr>
          <w:rFonts w:ascii="Times New Roman" w:cs="Times New Roman" w:eastAsia="Times New Roman" w:hAnsi="Times New Roman"/>
          <w:sz w:val="18"/>
          <w:szCs w:val="18"/>
          <w:u w:val="single" w:color="auto"/>
          <w:color w:val="0000FF"/>
        </w:rPr>
        <w:t>datchley@verisign.com</w:t>
      </w:r>
      <w:r>
        <w:rPr>
          <w:rFonts w:ascii="Times New Roman" w:cs="Times New Roman" w:eastAsia="Times New Roman" w:hAnsi="Times New Roman"/>
          <w:sz w:val="18"/>
          <w:szCs w:val="18"/>
          <w:color w:val="auto"/>
        </w:rPr>
        <w:t>, 703-948-3447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Relations: David McGuire, </w:t>
      </w:r>
      <w:r>
        <w:rPr>
          <w:rFonts w:ascii="Times New Roman" w:cs="Times New Roman" w:eastAsia="Times New Roman" w:hAnsi="Times New Roman"/>
          <w:sz w:val="18"/>
          <w:szCs w:val="18"/>
          <w:u w:val="single" w:color="auto"/>
          <w:color w:val="0000FF"/>
        </w:rPr>
        <w:t>davmcguire@verisign.com</w:t>
      </w:r>
      <w:r>
        <w:rPr>
          <w:rFonts w:ascii="Times New Roman" w:cs="Times New Roman" w:eastAsia="Times New Roman" w:hAnsi="Times New Roman"/>
          <w:sz w:val="18"/>
          <w:szCs w:val="18"/>
          <w:color w:val="auto"/>
        </w:rPr>
        <w:t>, 703-948-3800</w:t>
      </w:r>
    </w:p>
    <w:p>
      <w:pPr>
        <w:spacing w:after="0" w:line="234" w:lineRule="exact"/>
        <w:rPr>
          <w:sz w:val="20"/>
          <w:szCs w:val="20"/>
          <w:color w:val="auto"/>
        </w:rPr>
      </w:pPr>
    </w:p>
    <w:p>
      <w:pPr>
        <w:ind w:right="660"/>
        <w:spacing w:after="0" w:line="263" w:lineRule="auto"/>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2024 VeriSign, Inc. All rights reserved. VERISIGN, the VERISIGN logo, and other trademarks, service marks, and designs are registered or unregistered trademarks of VeriSign, Inc. and its</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subsidiaries in the United States and in foreign countries. All other trademarks are property of their respective owners.</w:t>
      </w:r>
    </w:p>
    <w:p>
      <w:pPr>
        <w:sectPr>
          <w:pgSz w:w="11900" w:h="16838" w:orient="portrait"/>
          <w:cols w:equalWidth="0" w:num="1">
            <w:col w:w="11240"/>
          </w:cols>
          <w:pgMar w:left="320" w:top="143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jc w:val="center"/>
              <w:ind w:right="38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Borders>
              <w:top w:val="single" w:sz="8" w:color="auto"/>
            </w:tcBorders>
          </w:tcPr>
          <w:p>
            <w:pPr>
              <w:spacing w:after="0"/>
              <w:rPr>
                <w:sz w:val="19"/>
                <w:szCs w:val="19"/>
                <w:color w:val="auto"/>
              </w:rPr>
            </w:pPr>
          </w:p>
        </w:tc>
        <w:tc>
          <w:tcPr>
            <w:tcW w:w="386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29"/>
        </w:trPr>
        <w:tc>
          <w:tcPr>
            <w:tcW w:w="84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0" w:type="dxa"/>
            <w:vAlign w:val="bottom"/>
          </w:tcPr>
          <w:p>
            <w:pPr>
              <w:spacing w:after="0"/>
              <w:rPr>
                <w:sz w:val="1"/>
                <w:szCs w:val="1"/>
                <w:color w:val="auto"/>
              </w:rPr>
            </w:pPr>
          </w:p>
        </w:tc>
      </w:tr>
      <w:tr>
        <w:trPr>
          <w:trHeight w:val="230"/>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5"/>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0" w:type="dxa"/>
            <w:vAlign w:val="bottom"/>
          </w:tcPr>
          <w:p>
            <w:pPr>
              <w:spacing w:after="0"/>
              <w:rPr>
                <w:sz w:val="1"/>
                <w:szCs w:val="1"/>
                <w:color w:val="auto"/>
              </w:rPr>
            </w:pPr>
          </w:p>
        </w:tc>
      </w:tr>
      <w:tr>
        <w:trPr>
          <w:trHeight w:val="223"/>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29"/>
        </w:trPr>
        <w:tc>
          <w:tcPr>
            <w:tcW w:w="8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30"/>
        </w:trPr>
        <w:tc>
          <w:tcPr>
            <w:tcW w:w="8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Deposits to acquire intangible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9"/>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5"/>
          </w:tcPr>
          <w:p>
            <w:pPr>
              <w:ind w:left="680"/>
              <w:spacing w:after="0"/>
              <w:rPr>
                <w:sz w:val="20"/>
                <w:szCs w:val="20"/>
                <w:color w:val="auto"/>
              </w:rPr>
            </w:pPr>
            <w:r>
              <w:rPr>
                <w:rFonts w:ascii="Times New Roman" w:cs="Times New Roman" w:eastAsia="Times New Roman" w:hAnsi="Times New Roman"/>
                <w:sz w:val="18"/>
                <w:szCs w:val="18"/>
                <w:color w:val="auto"/>
              </w:rPr>
              <w:t>Total long-term assets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gridSpan w:val="5"/>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gridSpan w:val="5"/>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40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29"/>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Current senior notes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gridSpan w:val="5"/>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0" w:type="dxa"/>
            <w:vAlign w:val="bottom"/>
          </w:tcPr>
          <w:p>
            <w:pPr>
              <w:spacing w:after="0"/>
              <w:rPr>
                <w:sz w:val="1"/>
                <w:szCs w:val="1"/>
                <w:color w:val="auto"/>
              </w:rPr>
            </w:pPr>
          </w:p>
        </w:tc>
      </w:tr>
      <w:tr>
        <w:trPr>
          <w:trHeight w:val="223"/>
        </w:trPr>
        <w:tc>
          <w:tcPr>
            <w:tcW w:w="8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Long-term deferred revenues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9"/>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senior notes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Long-term tax and 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8400" w:type="dxa"/>
            <w:vAlign w:val="bottom"/>
            <w:gridSpan w:val="5"/>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5"/>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09"/>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stock—par value $.001 per share; Authorized shares: 5.0; Issued and outstanding shares: none</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400" w:type="dxa"/>
            <w:vAlign w:val="bottom"/>
            <w:gridSpan w:val="5"/>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capital—par value $.001 per share; Authorized shares: 1,000; Issued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0" w:type="dxa"/>
            <w:vAlign w:val="bottom"/>
            <w:gridSpan w:val="5"/>
          </w:tcPr>
          <w:p>
            <w:pPr>
              <w:ind w:left="360"/>
              <w:spacing w:after="0" w:line="176" w:lineRule="exact"/>
              <w:rPr>
                <w:sz w:val="20"/>
                <w:szCs w:val="20"/>
                <w:color w:val="auto"/>
              </w:rPr>
            </w:pPr>
            <w:r>
              <w:rPr>
                <w:rFonts w:ascii="Times New Roman" w:cs="Times New Roman" w:eastAsia="Times New Roman" w:hAnsi="Times New Roman"/>
                <w:sz w:val="18"/>
                <w:szCs w:val="18"/>
                <w:color w:val="auto"/>
              </w:rPr>
              <w:t>shares: 355.2 at September 30, 2024 and 354.9 at December 31, 2023; Outstanding shares: 96.4 at September</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30, 2024 and 101.3 at December 31, 2023</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11,808.0</w:t>
            </w:r>
          </w:p>
        </w:tc>
        <w:tc>
          <w:tcPr>
            <w:tcW w:w="0" w:type="dxa"/>
            <w:vAlign w:val="bottom"/>
          </w:tcPr>
          <w:p>
            <w:pPr>
              <w:spacing w:after="0"/>
              <w:rPr>
                <w:sz w:val="1"/>
                <w:szCs w:val="1"/>
                <w:color w:val="auto"/>
              </w:rPr>
            </w:pPr>
          </w:p>
        </w:tc>
      </w:tr>
      <w:tr>
        <w:trPr>
          <w:trHeight w:val="230"/>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(13,386.4)</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8400" w:type="dxa"/>
            <w:vAlign w:val="bottom"/>
            <w:gridSpan w:val="5"/>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0" w:type="dxa"/>
            <w:vAlign w:val="bottom"/>
          </w:tcPr>
          <w:p>
            <w:pPr>
              <w:spacing w:after="0"/>
              <w:rPr>
                <w:sz w:val="1"/>
                <w:szCs w:val="1"/>
                <w:color w:val="auto"/>
              </w:rPr>
            </w:pPr>
          </w:p>
        </w:tc>
      </w:tr>
      <w:tr>
        <w:trPr>
          <w:trHeight w:val="223"/>
        </w:trPr>
        <w:tc>
          <w:tcPr>
            <w:tcW w:w="840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1"/>
        </w:trPr>
        <w:tc>
          <w:tcPr>
            <w:tcW w:w="6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net</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to compute earnings per share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765"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0"/>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8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discount on investments in debt securities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82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8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82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82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disclosures: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2024-10-24T15:22:10Z</dcterms:created>
  <dcterms:modified xsi:type="dcterms:W3CDTF">2024-10-24T15:22:10Z</dcterms:modified>
</cp:coreProperties>
</file>