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20" w:type="dxa"/>
        <w:tblCellMar>
          <w:top w:w="0" w:type="dxa"/>
          <w:left w:w="0" w:type="dxa"/>
          <w:bottom w:w="0" w:type="dxa"/>
          <w:right w:w="0" w:type="dxa"/>
        </w:tblCellMar>
      </w:tblPr>
      <w:tr>
        <w:trPr>
          <w:trHeight w:val="297"/>
        </w:trPr>
        <w:tc>
          <w:tcPr>
            <w:tcW w:w="3460" w:type="dxa"/>
            <w:vAlign w:val="bottom"/>
          </w:tcPr>
          <w:p>
            <w:pPr>
              <w:spacing w:after="0"/>
              <w:rPr>
                <w:sz w:val="24"/>
                <w:szCs w:val="24"/>
                <w:color w:val="auto"/>
              </w:rPr>
            </w:pPr>
          </w:p>
        </w:tc>
        <w:tc>
          <w:tcPr>
            <w:tcW w:w="3760" w:type="dxa"/>
            <w:vAlign w:val="bottom"/>
            <w:gridSpan w:val="2"/>
          </w:tcPr>
          <w:p>
            <w:pPr>
              <w:jc w:val="center"/>
              <w:ind w:right="1080"/>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9880" w:type="dxa"/>
            <w:vAlign w:val="bottom"/>
            <w:gridSpan w:val="4"/>
          </w:tcPr>
          <w:p>
            <w:pPr>
              <w:jc w:val="center"/>
              <w:ind w:right="17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86"/>
        </w:trPr>
        <w:tc>
          <w:tcPr>
            <w:tcW w:w="3460" w:type="dxa"/>
            <w:vAlign w:val="bottom"/>
          </w:tcPr>
          <w:p>
            <w:pPr>
              <w:spacing w:after="0"/>
              <w:rPr>
                <w:sz w:val="24"/>
                <w:szCs w:val="24"/>
                <w:color w:val="auto"/>
              </w:rPr>
            </w:pPr>
          </w:p>
        </w:tc>
        <w:tc>
          <w:tcPr>
            <w:tcW w:w="3760" w:type="dxa"/>
            <w:vAlign w:val="bottom"/>
            <w:gridSpan w:val="2"/>
          </w:tcPr>
          <w:p>
            <w:pPr>
              <w:jc w:val="center"/>
              <w:ind w:right="106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6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0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4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106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3760" w:type="dxa"/>
            <w:vAlign w:val="bottom"/>
            <w:gridSpan w:val="2"/>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1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7220" w:type="dxa"/>
            <w:vAlign w:val="bottom"/>
            <w:gridSpan w:val="3"/>
          </w:tcPr>
          <w:p>
            <w:pPr>
              <w:jc w:val="center"/>
              <w:ind w:left="228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37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gridSpan w:val="3"/>
          </w:tcPr>
          <w:p>
            <w:pPr>
              <w:jc w:val="center"/>
              <w:ind w:left="2307"/>
              <w:spacing w:after="0"/>
              <w:rPr>
                <w:sz w:val="20"/>
                <w:szCs w:val="20"/>
                <w:color w:val="auto"/>
              </w:rPr>
            </w:pPr>
            <w:r>
              <w:rPr>
                <w:rFonts w:ascii="Times New Roman" w:cs="Times New Roman" w:eastAsia="Times New Roman" w:hAnsi="Times New Roman"/>
                <w:sz w:val="18"/>
                <w:szCs w:val="18"/>
                <w:b w:val="1"/>
                <w:bCs w:val="1"/>
                <w:color w:val="auto"/>
                <w:w w:val="99"/>
              </w:rPr>
              <w:t xml:space="preserve">Date of Report (Date of earliest event reported): </w:t>
            </w:r>
            <w:r>
              <w:rPr>
                <w:rFonts w:ascii="Times New Roman" w:cs="Times New Roman" w:eastAsia="Times New Roman" w:hAnsi="Times New Roman"/>
                <w:sz w:val="18"/>
                <w:szCs w:val="18"/>
                <w:color w:val="auto"/>
                <w:w w:val="99"/>
              </w:rPr>
              <w:t>June 26, 2026</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3460" w:type="dxa"/>
            <w:vAlign w:val="bottom"/>
            <w:vMerge w:val="continue"/>
          </w:tcPr>
          <w:p>
            <w:pPr>
              <w:spacing w:after="0"/>
              <w:rPr>
                <w:sz w:val="24"/>
                <w:szCs w:val="24"/>
                <w:color w:val="auto"/>
              </w:rPr>
            </w:pPr>
          </w:p>
        </w:tc>
        <w:tc>
          <w:tcPr>
            <w:tcW w:w="3760" w:type="dxa"/>
            <w:vAlign w:val="bottom"/>
            <w:gridSpan w:val="2"/>
          </w:tcPr>
          <w:p>
            <w:pPr>
              <w:spacing w:after="0" w:line="476" w:lineRule="exact"/>
              <w:rPr>
                <w:sz w:val="20"/>
                <w:szCs w:val="20"/>
                <w:color w:val="auto"/>
              </w:rPr>
            </w:pPr>
            <w:r>
              <w:rPr>
                <w:rFonts w:ascii="Times New Roman" w:cs="Times New Roman" w:eastAsia="Times New Roman" w:hAnsi="Times New Roman"/>
                <w:sz w:val="43"/>
                <w:szCs w:val="43"/>
                <w:b w:val="1"/>
                <w:bCs w:val="1"/>
                <w:color w:val="auto"/>
              </w:rPr>
              <w:t>VERISIGN, INC.</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20" w:type="dxa"/>
            <w:vAlign w:val="bottom"/>
            <w:gridSpan w:val="3"/>
          </w:tcPr>
          <w:p>
            <w:pPr>
              <w:jc w:val="center"/>
              <w:ind w:left="230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460" w:type="dxa"/>
            <w:vAlign w:val="bottom"/>
          </w:tcPr>
          <w:p>
            <w:pPr>
              <w:spacing w:after="0"/>
              <w:rPr>
                <w:sz w:val="24"/>
                <w:szCs w:val="24"/>
                <w:color w:val="auto"/>
              </w:rPr>
            </w:pPr>
          </w:p>
        </w:tc>
        <w:tc>
          <w:tcPr>
            <w:tcW w:w="37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jc w:val="center"/>
              <w:ind w:left="230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jc w:val="right"/>
              <w:ind w:right="1927"/>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94-3221585</w:t>
            </w:r>
          </w:p>
        </w:tc>
        <w:tc>
          <w:tcPr>
            <w:tcW w:w="0" w:type="dxa"/>
            <w:vAlign w:val="bottom"/>
          </w:tcPr>
          <w:p>
            <w:pPr>
              <w:spacing w:after="0"/>
              <w:rPr>
                <w:sz w:val="1"/>
                <w:szCs w:val="1"/>
                <w:color w:val="auto"/>
              </w:rPr>
            </w:pPr>
          </w:p>
        </w:tc>
      </w:tr>
      <w:tr>
        <w:trPr>
          <w:trHeight w:val="238"/>
        </w:trPr>
        <w:tc>
          <w:tcPr>
            <w:tcW w:w="7220" w:type="dxa"/>
            <w:vAlign w:val="bottom"/>
            <w:gridSpan w:val="3"/>
          </w:tcPr>
          <w:p>
            <w:pPr>
              <w:jc w:val="center"/>
              <w:ind w:right="514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410"/>
        </w:trPr>
        <w:tc>
          <w:tcPr>
            <w:tcW w:w="722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660" w:type="dxa"/>
            <w:vAlign w:val="bottom"/>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20190</w:t>
            </w:r>
          </w:p>
        </w:tc>
        <w:tc>
          <w:tcPr>
            <w:tcW w:w="0" w:type="dxa"/>
            <w:vAlign w:val="bottom"/>
          </w:tcPr>
          <w:p>
            <w:pPr>
              <w:spacing w:after="0"/>
              <w:rPr>
                <w:sz w:val="1"/>
                <w:szCs w:val="1"/>
                <w:color w:val="auto"/>
              </w:rPr>
            </w:pPr>
          </w:p>
        </w:tc>
      </w:tr>
      <w:tr>
        <w:trPr>
          <w:trHeight w:val="238"/>
        </w:trPr>
        <w:tc>
          <w:tcPr>
            <w:tcW w:w="722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(Address of principle executive offices)</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0"/>
        </w:trPr>
        <w:tc>
          <w:tcPr>
            <w:tcW w:w="6160" w:type="dxa"/>
            <w:vAlign w:val="bottom"/>
            <w:gridSpan w:val="2"/>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w w:val="99"/>
              </w:rPr>
              <w:t>(703) 948-3200</w:t>
            </w:r>
          </w:p>
        </w:tc>
        <w:tc>
          <w:tcPr>
            <w:tcW w:w="10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20" w:type="dxa"/>
            <w:vAlign w:val="bottom"/>
            <w:gridSpan w:val="3"/>
          </w:tcPr>
          <w:p>
            <w:pPr>
              <w:jc w:val="center"/>
              <w:ind w:left="2287"/>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0" w:type="dxa"/>
        <w:tblCellMar>
          <w:top w:w="0" w:type="dxa"/>
          <w:left w:w="0" w:type="dxa"/>
          <w:bottom w:w="0" w:type="dxa"/>
          <w:right w:w="0" w:type="dxa"/>
        </w:tblCellMar>
      </w:tblPr>
      <w:tr>
        <w:trPr>
          <w:trHeight w:val="199"/>
        </w:trPr>
        <w:tc>
          <w:tcPr>
            <w:tcW w:w="940" w:type="dxa"/>
            <w:vAlign w:val="bottom"/>
          </w:tcPr>
          <w:p>
            <w:pPr>
              <w:spacing w:after="0"/>
              <w:rPr>
                <w:sz w:val="17"/>
                <w:szCs w:val="17"/>
                <w:color w:val="auto"/>
              </w:rPr>
            </w:pPr>
          </w:p>
        </w:tc>
        <w:tc>
          <w:tcPr>
            <w:tcW w:w="13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Pr>
          <w:p>
            <w:pPr>
              <w:spacing w:after="0"/>
              <w:rPr>
                <w:sz w:val="17"/>
                <w:szCs w:val="17"/>
                <w:color w:val="auto"/>
              </w:rPr>
            </w:pPr>
          </w:p>
        </w:tc>
        <w:tc>
          <w:tcPr>
            <w:tcW w:w="3860" w:type="dxa"/>
            <w:vAlign w:val="bottom"/>
            <w:gridSpan w:val="2"/>
          </w:tcPr>
          <w:p>
            <w:pPr>
              <w:jc w:val="center"/>
              <w:ind w:left="430"/>
              <w:spacing w:after="0" w:line="199"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7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560" w:type="dxa"/>
            <w:vAlign w:val="bottom"/>
          </w:tcPr>
          <w:p>
            <w:pPr>
              <w:spacing w:after="0"/>
              <w:rPr>
                <w:sz w:val="20"/>
                <w:szCs w:val="20"/>
                <w:color w:val="auto"/>
              </w:rPr>
            </w:pPr>
          </w:p>
        </w:tc>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VRSN</w:t>
            </w:r>
          </w:p>
        </w:tc>
        <w:tc>
          <w:tcPr>
            <w:tcW w:w="5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100"/>
        <w:spacing w:after="0" w:line="207" w:lineRule="exact"/>
        <w:tabs>
          <w:tab w:leader="none" w:pos="102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26, 2026, VeriSign, Inc. (the “Company”) completed a registered offering (the “Offering”) of $550 million aggregate principal amount of the Company’s 5.100% Senior Notes due 2031 (the “Notes”). The Offering has been registered under the Securities Act of 1933, as amended (the “Securities Act”), pursuant to a registration statement on Form S-3 (Registration No. 333-285483) of the Company (the “Registration Statement”), and the prospectus supplement dated June 18, 2026 and filed with the Securities and Exchange Commission pursuant to Rule 424(b) of the Securities Act on June 23, 2026 (the “Prospectus Supplement”).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were issued pursuant to the Indenture (the “Base Indenture”), dated as of June 8, 2021, between the Company and U.S. Bank Trust Company, National Association (as successor in interest to U.S. Bank National Association), as trustee (the “Trustee”), as supplemented by the Third Supplemental Indenture (the “Supplemental Indenture” and, together with the Base Indenture, the “Indenture”), dated as of June 26, 2026, between the Company and the Trustee. The Notes are represented by two global notes, a form of which is included as an exhibit to the Supplemental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accrue interest at a rate per annum equal to 5.100% and will mature on July 15, 2031 unless redeemed or repurchased prior to that date. Interest on the Notes will be payable semi-annually in cash in arrears on January 15 and July 15 of each year, commencing January 15, 2027. The Notes are the Company’s senior unsecured obligations and rank equally in right of payment with all of its other senior indebtedness and senior to all of its future indebtedness that is expressly subordinated in right of payment to the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covenants that, among other things, restrict the Company’s ability and the ability of certain of its subsidiaries to create or assume liens, enter into sale and leaseback transactions, and restrict the Company’s ability to engage in mergers or consolidations or sell, lease or transfer all or substantially all of its property and assets, subject in each case to certain qualifications and exceptions.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Indenture, the Company is required to offer to repurchase the Notes at a price equal to 101% of their principal amount, plus accrued and unpaid interest, upon the occurrence of a change of control repurchase event.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includes customary events of default, including payment defaults and certain events of bankruptcy, insolvency, or reorganization.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Indenture, the Company may redeem some or all of the Notes at any time or from time to time prior to June 15, 2031 at a specified “make-whole” premium described in the Indenture. The Company also has the option at any time or from time to time on or after June 15, 2031 to redeem the Notes, in whole or in part, at a redemption price equal to 100% of the principal amount of the Notes to be redeemed, plus accrued and unpaid interest thereon to the redemption date, as more fully described in the Indenture. A copy of the Base Indenture was previously filed as Exhibit 4.1 to the Company’s Current Report on Form 8-K dated as of June 8, 2021, and a copy of the Supplemental Indenture is filed as Exhibit 4.1 to this Current Report on Form 8-K. The descriptions of the terms of the Base Indenture and the Supplemental Indenture in this Item 1.01 are qualified in their entirety by reference to such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80" w:hanging="34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380" w:type="dxa"/>
            <w:vAlign w:val="bottom"/>
            <w:tcBorders>
              <w:top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 4.1</w:t>
            </w:r>
          </w:p>
        </w:tc>
        <w:tc>
          <w:tcPr>
            <w:tcW w:w="260" w:type="dxa"/>
            <w:vAlign w:val="bottom"/>
          </w:tcPr>
          <w:p>
            <w:pPr>
              <w:spacing w:after="0"/>
              <w:rPr>
                <w:sz w:val="15"/>
                <w:szCs w:val="15"/>
                <w:color w:val="auto"/>
              </w:rPr>
            </w:pPr>
          </w:p>
        </w:tc>
        <w:tc>
          <w:tcPr>
            <w:tcW w:w="960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Third Supplemental Indenture, dated as of June 26, 2026, between VeriSign, Inc. and U.S. Bank Trust Company, National</w:t>
            </w:r>
          </w:p>
        </w:tc>
      </w:tr>
      <w:tr>
        <w:trPr>
          <w:trHeight w:val="218"/>
        </w:trPr>
        <w:tc>
          <w:tcPr>
            <w:tcW w:w="120" w:type="dxa"/>
            <w:vAlign w:val="bottom"/>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Association, as trustee</w:t>
            </w:r>
          </w:p>
        </w:tc>
      </w:tr>
      <w:tr>
        <w:trPr>
          <w:trHeight w:val="234"/>
        </w:trPr>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Exhibit 104</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398"/>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VERISIGN,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Obligor)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successor in interest to U.S. Bank National Association)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June 26, 2026</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5.100%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TABLE OF CONTENTS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54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1.1</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TERMS OF THE NOTES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2.1</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2.2</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2.3</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2.4</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2.5</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 of Payment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2.6</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Optional Redemption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2.7</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Control Repurchase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2.8</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 Date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2.9</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 Price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2.10</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Definitive and Global Notes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2.11</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2.12</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Limitation on Liens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2.13</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Sale-Leaseback Transactions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2.14</w:t>
            </w:r>
          </w:p>
        </w:tc>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Amendments to the Base Indenture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2.15</w:t>
            </w: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8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0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Form of Senior Note</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THIRD SUPPLEMENTAL INDENTURE, between VeriSign, Inc., a Delaware corporation (the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having its principal office at 12061 Bluemont Way, Reston, Virginia 20190, and U.S. Bank Trust Company, National Association (as successor in 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is made and entered into as of this 26th day of June,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OBLIGOR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Obligor and the Trustee executed and delivered an Indenture dated as of June 8, 2021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to provide for the issuance by the Obligor from time to time of debt securities;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capitalized terms used herein, not otherwise defined, shall have the same meanings given them in the Base Indenture;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a board resolution, the Obligor has authorized the issuance of $550,000,000 of its 5.100% Senior Notes due 2031 (the “</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Obligor desires to establish the terms of the Senior Notes in accordance with Section 2.01 of the Base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it is mutually agreed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For all purposes of this Third Supplemental Indenture, except as otherwise expressly provided or unless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context otherwise requires: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of Control</w:t>
      </w:r>
      <w:r>
        <w:rPr>
          <w:rFonts w:ascii="Times New Roman" w:cs="Times New Roman" w:eastAsia="Times New Roman" w:hAnsi="Times New Roman"/>
          <w:sz w:val="18"/>
          <w:szCs w:val="18"/>
          <w:color w:val="auto"/>
        </w:rPr>
        <w:t>” means the occurrence of any of the following: (1) any “person” or “group” (as such terms are used in Sections 13(d) and 14(d) of the Exchange Act), is or becomes the “beneficial owner” (as defined in Rules 13d-3 and 13d-5 under the Exchange Act), directly or indirectly, of more than 50% of the total voting power of the Voting Stock of the Obligor (or its successor by merger, consolidation or purchase of all or substantially all of its assets), other than a transaction in which (i) the Obligor becomes a wholly owned Subsidiary of a holding company and (ii) the direct or indirect holders of the voting stock of such holding company immediately following that transaction are substantially the same as the holders of the voting stock of the Obligor immediately prior to that transaction; (2) the adoption of a plan relating to the liquidation or dissolution of the Obligor; or (3) the merger or consolidation of the Obligor with or into another person or the merger of another person with or into the Obligor, or the sale, lease, transfer, conveyance or other disposition (other than by way of merger or consolidation, in one or a series of related transactions) of all or substantially all the assets of the Obligor (determined on a consolidated basis) to another person, other than a transaction, in the case of a merger or consolidation transaction, following which holders of securities that represented 100% of the voting stock of the Obligor immediately prior to such transaction (or other securities into which such securities are converted as part of such merger or consolidation transaction) own directly or indirectly at least 50% of the voting power of the voting stock of the surviving person in such merger or consolidation transaction immediately after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 For the avoidance of doubt, no change of control repurchase event will be deemed to have occurred in connection with any particular change of control unless and until such change of control has actually been consummated.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means, as of the time of determination, the consolidated total assets of the Obligor and its consolidated Subsidiaries as reflected on the most recent consolidated balance sheet prepared by the Obligor in accordance with GAAP contained in an annual report on Form 10-K or a quarterly report on Form 10-Q timely filed or any amendment thereto (and not subsequently disclaimed as not being reliable by the Obligor) prior to the time as of which “Consolidated Total Assets” is being determined;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Assets” shall be adjusted to give effect to each acquisition and disposition of assets other than in the ordinary course of business (including by way of merger) that has occurred since the date of the balance sheet referred to above and on or prior to the time of determination.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Cooperative Agreement</w:t>
      </w:r>
      <w:r>
        <w:rPr>
          <w:rFonts w:ascii="Times New Roman" w:cs="Times New Roman" w:eastAsia="Times New Roman" w:hAnsi="Times New Roman"/>
          <w:sz w:val="18"/>
          <w:szCs w:val="18"/>
          <w:color w:val="auto"/>
        </w:rPr>
        <w:t>” means that certain Cooperative Agreement No. NCR-92-18742 between the Obligor (as successor to Network Solutions, Incorporated) and the United States Department of Commerce (as successor to the National Science Foundation), entered into as of January 1, 1993 (as amended from time to time).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term “guarantee” will not include endorsements for collection or deposit in the ordinary course of business. The term “guarantee,” when used as a verb, has a correlative meaning.</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means issue, assume, effect a guarantee or otherwise become liable for.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Registry Agreements, the Cooperative Agreement, all intellectual and similar property of every kind and nature now owned or hereafter acquired by the Obligor or any Restricted Subsidiary, including inventions, designs, patents, copyrights, trademarks, trade secrets, domain names, confidential or proprietary technical and business information, know-how, show-how or other similar data or information, software and databases and all embodiments or fixations thereof and related documentation, all additions, improvements and accessions to any of the foregoing and all registrations for any of the foregoing.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the Obligor.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of the Senior Notes is June 15, 2031 (one month prior to the Maturity Date of the Senior Notes).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Facility</w:t>
      </w:r>
      <w:r>
        <w:rPr>
          <w:rFonts w:ascii="Times New Roman" w:cs="Times New Roman" w:eastAsia="Times New Roman" w:hAnsi="Times New Roman"/>
          <w:sz w:val="18"/>
          <w:szCs w:val="18"/>
          <w:color w:val="auto"/>
        </w:rPr>
        <w:t>” means any primary secure data center or resolution site, office space or other facility owned as of the Issue Date of the Senior Notes or acquired by the Obligor or any Subsidiary of the Obligor after such date and located in the United States and its territories, other than any facility the net book value (computed in accordance with GAAP) of which, as of the time of such determination, does not exceed 1.0% of Consolidated Total Assets of the Obligor.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as the context may require, any real or immovable property forming part of or constituting any or all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Facility.</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(1) each of Moody’s and S&amp;P; and (2) if any of Moody’s and S&amp;P ceases to rate the Senior Notes or fails to make a rating of the Senior Notes publicly available for reasons outside of the control of the Obligor, a “nationally recognized statistical rating organization” within the meaning of Section 3(a)(62) of the Exchange Act, selected by the Obligor (as certified by a resolution of the Board of Directors of the Obligor) as a replacement for such rating agency.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Event</w:t>
      </w:r>
      <w:r>
        <w:rPr>
          <w:rFonts w:ascii="Times New Roman" w:cs="Times New Roman" w:eastAsia="Times New Roman" w:hAnsi="Times New Roman"/>
          <w:sz w:val="18"/>
          <w:szCs w:val="18"/>
          <w:color w:val="auto"/>
        </w:rPr>
        <w:t xml:space="preserve">” means the rating on the Senior Notes is lowered by each of the ratings agencies and the Senior Notes are not rated investment grade by each of the rating agencies on any date during the period commencing on the first public announcement by the Obligor of any change of control (or pending change of control) and ending 30 days following consummation of such change of control (which period will be extended following consummation of a change of control for so long as any of the rating agencies has publicly announced that it is considering a possible ratings downgrade);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Ratings Event otherwise arising by virtue of a particular reduction in rating shall not be deemed to have occurred in respect to a particular change of control (and thus shall not be deemed a Ratings Event for purposes of the definition of change of control repurchase event hereunder) if the rating agencies making the reduction in rating to which this definition would otherwise apply do not announce or publicly confirm or inform the Trustee and the Obligor in writing at its or the Obligor’s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has the meaning specified in Section 2.6(j).</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Registry Agreements</w:t>
      </w:r>
      <w:r>
        <w:rPr>
          <w:rFonts w:ascii="Times New Roman" w:cs="Times New Roman" w:eastAsia="Times New Roman" w:hAnsi="Times New Roman"/>
          <w:sz w:val="18"/>
          <w:szCs w:val="18"/>
          <w:color w:val="auto"/>
        </w:rPr>
        <w:t>” means those certain Registry Agreements between the Obligor and the Internet Corporation for Assigned Names and Numbers, entered into as of November 29, 2012 and July 1, 2017, respectively, as amended.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Scheduled Payments</w:t>
      </w:r>
      <w:r>
        <w:rPr>
          <w:rFonts w:ascii="Times New Roman" w:cs="Times New Roman" w:eastAsia="Times New Roman" w:hAnsi="Times New Roman"/>
          <w:sz w:val="18"/>
          <w:szCs w:val="18"/>
          <w:color w:val="auto"/>
        </w:rPr>
        <w:t xml:space="preserve">” means, with respect to any Senior Note to be redeemed, the remaining scheduled payments of the principal thereof and interest thereon that would be due after the related Redemption Date to the Par Call Date but for such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Redemption Date is not an Interest Payment Date with respect to such Senior Note, the amount of the next scheduled interest payment thereon shall be reduced by the amount of interest accrued thereon to such Redemption Date.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(i) any Subsidiary of the Obligor that would be a “significant subsidiary” of the Obligor within the meaning set forth in Rule 1-02(w)(ii) or (iii) of Regulation S-X under the Exchange Act as in effect on the Issue Date of the Senior Notes and (ii) any other Subsidiary of the Obligor that holds any Principal Property, in the case of each of the foregoing clauses (i) and (ii), excluding any Subsidiary that is not organized under the laws of any state of the United States of America or any Subsidiary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Inc., or any successor to the rating agency business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specified in Section 2.13.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means this Third Supplemental Indenture, as amended or supplemented from time to time.</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has the meaning assigned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Obligor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left="1960" w:hanging="332"/>
        <w:spacing w:after="0" w:line="252" w:lineRule="auto"/>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Obligor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Obligor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1960" w:hanging="332"/>
        <w:spacing w:after="0" w:line="252"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third Business Day preceding the Redemption Date H.15 TCM is no longer published, the Obligor shall calculate the Treasury Rate based on the rate per annum equal to the semi-annual equivalent yield to maturity at 11:00 a.m., New York City time, on the second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Obligor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Obligor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The calculation of the Treasury Rate shall not be the duty or obligation of the Trustee.</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generally in the election of the board of directors of such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OF THE NOTES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2.1 </w:t>
      </w:r>
      <w:r>
        <w:rPr>
          <w:rFonts w:ascii="Times New Roman" w:cs="Times New Roman" w:eastAsia="Times New Roman" w:hAnsi="Times New Roman"/>
          <w:sz w:val="18"/>
          <w:szCs w:val="18"/>
          <w:u w:val="single" w:color="auto"/>
          <w:color w:val="000000"/>
        </w:rPr>
        <w:t>Title</w:t>
      </w:r>
      <w:r>
        <w:rPr>
          <w:rFonts w:ascii="Times New Roman" w:cs="Times New Roman" w:eastAsia="Times New Roman" w:hAnsi="Times New Roman"/>
          <w:sz w:val="18"/>
          <w:szCs w:val="18"/>
          <w:color w:val="000000"/>
        </w:rPr>
        <w:t>. The Senior Notes shall constitute a series of Notes having the title “5.100% Senior Notes due 2031” and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form attached as Exhibit A.</w:t>
      </w:r>
    </w:p>
    <w:p>
      <w:pPr>
        <w:spacing w:after="0" w:line="16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010000"/>
        </w:rPr>
        <w:t xml:space="preserve">SECTION 2.2 </w:t>
      </w:r>
      <w:r>
        <w:rPr>
          <w:rFonts w:ascii="Times New Roman" w:cs="Times New Roman" w:eastAsia="Times New Roman" w:hAnsi="Times New Roman"/>
          <w:sz w:val="18"/>
          <w:szCs w:val="18"/>
          <w:u w:val="single" w:color="auto"/>
          <w:color w:val="000000"/>
        </w:rPr>
        <w:t>Aggregate Principal Amount</w:t>
      </w:r>
      <w:r>
        <w:rPr>
          <w:rFonts w:ascii="Times New Roman" w:cs="Times New Roman" w:eastAsia="Times New Roman" w:hAnsi="Times New Roman"/>
          <w:sz w:val="18"/>
          <w:szCs w:val="18"/>
          <w:color w:val="000000"/>
        </w:rPr>
        <w:t>. The aggregate principal amount of the Senior Notes that may be authenticated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delivered under this Third Supplemental Indenture shall be unlimited;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Obligor complies with the provisions of this Third Supplemental Indenture.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2.3</w:t>
      </w:r>
      <w:r>
        <w:rPr>
          <w:sz w:val="20"/>
          <w:szCs w:val="20"/>
          <w:color w:val="auto"/>
        </w:rPr>
        <w:tab/>
      </w:r>
      <w:r>
        <w:rPr>
          <w:rFonts w:ascii="Times New Roman" w:cs="Times New Roman" w:eastAsia="Times New Roman" w:hAnsi="Times New Roman"/>
          <w:sz w:val="17"/>
          <w:szCs w:val="17"/>
          <w:u w:val="single" w:color="auto"/>
          <w:color w:val="auto"/>
        </w:rPr>
        <w:t>Maturity</w:t>
      </w:r>
      <w:r>
        <w:rPr>
          <w:rFonts w:ascii="Times New Roman" w:cs="Times New Roman" w:eastAsia="Times New Roman" w:hAnsi="Times New Roman"/>
          <w:sz w:val="17"/>
          <w:szCs w:val="17"/>
          <w:color w:val="auto"/>
        </w:rPr>
        <w:t>. The entire outstanding principal amount of the Senior Notes shall be payable on July 15, 2031.</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2.4 </w:t>
      </w:r>
      <w:r>
        <w:rPr>
          <w:rFonts w:ascii="Times New Roman" w:cs="Times New Roman" w:eastAsia="Times New Roman" w:hAnsi="Times New Roman"/>
          <w:sz w:val="18"/>
          <w:szCs w:val="18"/>
          <w:u w:val="single" w:color="auto"/>
          <w:color w:val="000000"/>
        </w:rPr>
        <w:t>Interest</w:t>
      </w:r>
      <w:r>
        <w:rPr>
          <w:rFonts w:ascii="Times New Roman" w:cs="Times New Roman" w:eastAsia="Times New Roman" w:hAnsi="Times New Roman"/>
          <w:sz w:val="18"/>
          <w:szCs w:val="18"/>
          <w:color w:val="000000"/>
        </w:rPr>
        <w:t>. The Senior Notes shall accrue interest at a rate of 5.100% per year. Interest shall accrue on the Senior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from the most recent Interest Payment Date to or for which interest has been paid or duly provided for (or if no interest has been paid or duly provided for, from the Issue Date of the Senior Notes), payable semiannually in arrears on January 15 and July 15 of each year. The Record Dates for payment of interest shall be January 1 and July 1 of each year (whether or not a Business Day).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2.5 </w:t>
      </w:r>
      <w:r>
        <w:rPr>
          <w:rFonts w:ascii="Times New Roman" w:cs="Times New Roman" w:eastAsia="Times New Roman" w:hAnsi="Times New Roman"/>
          <w:sz w:val="18"/>
          <w:szCs w:val="18"/>
          <w:u w:val="single" w:color="auto"/>
          <w:color w:val="000000"/>
        </w:rPr>
        <w:t>Place of Payment</w:t>
      </w:r>
      <w:r>
        <w:rPr>
          <w:rFonts w:ascii="Times New Roman" w:cs="Times New Roman" w:eastAsia="Times New Roman" w:hAnsi="Times New Roman"/>
          <w:sz w:val="18"/>
          <w:szCs w:val="18"/>
          <w:color w:val="000000"/>
        </w:rPr>
        <w:t>. The place where the principal of (and premium, if any) and interest, if any, with respect to the Senior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shall be payable shall be the Corporate Trust Office.</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2.6</w:t>
      </w:r>
      <w:r>
        <w:rPr>
          <w:sz w:val="20"/>
          <w:szCs w:val="20"/>
          <w:color w:val="auto"/>
        </w:rPr>
        <w:tab/>
      </w:r>
      <w:r>
        <w:rPr>
          <w:rFonts w:ascii="Times New Roman" w:cs="Times New Roman" w:eastAsia="Times New Roman" w:hAnsi="Times New Roman"/>
          <w:sz w:val="18"/>
          <w:szCs w:val="18"/>
          <w:u w:val="single" w:color="auto"/>
          <w:color w:val="auto"/>
        </w:rPr>
        <w:t>Optional Redemption</w:t>
      </w:r>
    </w:p>
    <w:p>
      <w:pPr>
        <w:spacing w:after="0" w:line="225" w:lineRule="exact"/>
        <w:rPr>
          <w:sz w:val="20"/>
          <w:szCs w:val="20"/>
          <w:color w:val="auto"/>
        </w:rPr>
      </w:pPr>
    </w:p>
    <w:p>
      <w:pPr>
        <w:jc w:val="both"/>
        <w:ind w:firstLine="1304"/>
        <w:spacing w:after="0" w:line="266" w:lineRule="auto"/>
        <w:tabs>
          <w:tab w:leader="none" w:pos="195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Obligor elects to redeem the Senior Notes pursuant to the optional redemption provisions of Section 2.6(j), it shall provide adequate notice to the Trustee and it shall furnish an (i) Officer’s Certificate setting forth (1) the Redemption Date, (2) the principal amount to be redeemed, and (3) the CUSIP and/or ISIN numbers of the Senior Notes and (ii) Opinion of Counsel to the Trustee.</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007"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partial redemption, selection of the Senior Notes for redemption shall be made pro rata, by lot or by such other method as the Trustee in its sole discretion deems appropriate and fair. No Senior Notes of a principal amount of $2,000 or less shall be redeemed in part. If any Senior Note is to be redeemed in part only, the notice of redemption that relates to the Senior Note shall state the portion of the principal amount of the Senior Note to be redeemed. A new Senior Note in a principal amount equal to the unredeemed portion of the Senior Note shall be issued in the name of the Holder of the Senior Note upon surrender for cancellation of the original Senior Note. For so long as the Senior Notes are held by DTC (or another depositary), the redemption of the Senior Notes shall be done in accordance with the policies and procedures of the Depositary.</w:t>
      </w:r>
    </w:p>
    <w:p>
      <w:pPr>
        <w:spacing w:after="0" w:line="187" w:lineRule="exact"/>
        <w:rPr>
          <w:rFonts w:ascii="Times New Roman" w:cs="Times New Roman" w:eastAsia="Times New Roman" w:hAnsi="Times New Roman"/>
          <w:sz w:val="18"/>
          <w:szCs w:val="18"/>
          <w:color w:val="010000"/>
        </w:rPr>
      </w:pPr>
    </w:p>
    <w:p>
      <w:pPr>
        <w:ind w:right="20" w:firstLine="1304"/>
        <w:spacing w:after="0" w:line="282" w:lineRule="auto"/>
        <w:tabs>
          <w:tab w:leader="none" w:pos="204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partial redemption, the Trustee shall promptly notify the Obligor in writing of the Senior Notes selected for redemption and the principal amount thereof to be redeemed of each Senior Note if not in global form.</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01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of redemption may, at the Obligor’s discretion, be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Obligor or another entity). If such redemption or notice is subject to the satisfaction of one or more conditions precedent, the Obligor may, in its discretion, delay the Redemption Date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304"/>
        <w:spacing w:after="0" w:line="266" w:lineRule="auto"/>
        <w:tabs>
          <w:tab w:leader="none" w:pos="215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all purposes of this Third Supplemental Indenture, unless the context otherwise requires, all provisions relating to the redemption of Senior Notes shall relate, in the case of any Senior Note redeemed or to be redeemed only in part, to the portion of the principal of such Senior Note which has been or is to be redeemed.</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11"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Senior Notes to be redeemed. All notices of redemption shall state:</w:t>
      </w:r>
    </w:p>
    <w:p>
      <w:pPr>
        <w:spacing w:after="0" w:line="175"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Redemption Price, or if not then ascertainable, the manner of calculating the Redemption Price;</w:t>
      </w:r>
    </w:p>
    <w:p>
      <w:pPr>
        <w:spacing w:after="0" w:line="225" w:lineRule="exact"/>
        <w:rPr>
          <w:rFonts w:ascii="Times New Roman" w:cs="Times New Roman" w:eastAsia="Times New Roman" w:hAnsi="Times New Roman"/>
          <w:sz w:val="18"/>
          <w:szCs w:val="18"/>
          <w:color w:val="010000"/>
        </w:rPr>
      </w:pPr>
    </w:p>
    <w:p>
      <w:pPr>
        <w:jc w:val="both"/>
        <w:ind w:left="1300" w:firstLine="652"/>
        <w:spacing w:after="0" w:line="261" w:lineRule="auto"/>
        <w:tabs>
          <w:tab w:leader="none" w:pos="2594"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fewer than all Outstanding Senior Notes are to be redeemed, the identification (and, in the case of partial redemption, the respective principal amounts) of the Senior Notes to be redeemed from the Holder to whom the notice is given and that on and after the Redemption Date, upon surrender of such Senior Note, a new Senior Note or Senior Notes in the aggregate principal amount equal to the unredeemed portion thereof shall be issued in accordance with Section 2.6(i);</w:t>
      </w:r>
    </w:p>
    <w:p>
      <w:pPr>
        <w:spacing w:after="0" w:line="179" w:lineRule="exact"/>
        <w:rPr>
          <w:rFonts w:ascii="Times New Roman" w:cs="Times New Roman" w:eastAsia="Times New Roman" w:hAnsi="Times New Roman"/>
          <w:sz w:val="18"/>
          <w:szCs w:val="18"/>
          <w:color w:val="010000"/>
        </w:rPr>
      </w:pPr>
    </w:p>
    <w:p>
      <w:pPr>
        <w:ind w:left="1300" w:firstLine="652"/>
        <w:spacing w:after="0" w:line="282" w:lineRule="auto"/>
        <w:tabs>
          <w:tab w:leader="none" w:pos="264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that on the Redemption Date the Redemption Price shall become due and payable upon each Senior Note called for redemption, and that interest, if any, thereon shall cease to accrue from and after said date;</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5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place where Senior Notes called for redemption are to be surrendered for payment of the Redemption Price, which shall be the office or agency maintained by the Obligor pursuant to Section 9.02 of the Base Indenture;</w:t>
      </w:r>
    </w:p>
    <w:p>
      <w:pPr>
        <w:spacing w:after="0" w:line="161"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010000"/>
        </w:rPr>
      </w:pPr>
    </w:p>
    <w:p>
      <w:pPr>
        <w:ind w:left="2480" w:hanging="528"/>
        <w:spacing w:after="0"/>
        <w:tabs>
          <w:tab w:leader="none" w:pos="24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that the Senior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condition precedent to the redemption and related information as required by Section 2.6(d); and</w:t>
      </w:r>
    </w:p>
    <w:p>
      <w:pPr>
        <w:spacing w:after="0" w:line="225" w:lineRule="exact"/>
        <w:rPr>
          <w:rFonts w:ascii="Times New Roman" w:cs="Times New Roman" w:eastAsia="Times New Roman" w:hAnsi="Times New Roman"/>
          <w:sz w:val="18"/>
          <w:szCs w:val="18"/>
          <w:color w:val="010000"/>
        </w:rPr>
      </w:pPr>
    </w:p>
    <w:p>
      <w:pPr>
        <w:ind w:left="1300" w:firstLine="652"/>
        <w:spacing w:after="0" w:line="282" w:lineRule="auto"/>
        <w:tabs>
          <w:tab w:leader="none" w:pos="2704"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CUSIP and/or ISIN number, and that no representation is made as to the correctness or accuracy of the CUSIP and/or ISIN number, if any, listed in such notice or printed on the Senior Notes.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of redemption of Senior Notes shall be given by the Obligor or, at the Obligor’s request, by the Trustee in the name and at the expense of the Obligor.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304"/>
        <w:spacing w:after="0" w:line="266" w:lineRule="auto"/>
        <w:tabs>
          <w:tab w:leader="none" w:pos="2111"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or prior to 10 a.m., New York City time, on any Redemption Date, the Obligor shall deposit with the Trustee or with a Paying Agent (or, if the Obligor is acting as its own Paying Agent, segregate and hold in trust as provided in Section 9.03 of the Base Indenture) an amount of money sufficient to pay the Redemption Price of all the Senior Notes which are to be redeemed on that date.</w:t>
      </w:r>
    </w:p>
    <w:p>
      <w:pPr>
        <w:spacing w:after="0" w:line="175"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204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Notice of redemption having been given as aforesaid, the Senior Notes (or portions thereof) so to be redeemed shall, on the Redemption Date, become due and payable at the Redemption Price specified in such notice, and on and after the Redemption Date (unless the Obligor shall default in the payment of the Redemption Price) interest shall cease to accrue on the Senior Notes or portions thereof called for redemption. Upon surrender of such Senior Notes for redemption in accordance with the notice of redemption, the Redemption Price shall be paid by the Obligor to the Holders of such Senior Notes registered as such on the relevant Record Date according to the terms and the provisions of Section 2.06 of the Base Indenture. If any Senior Note called for redemption shall not be so paid upon surrender thereof for redemption, the principal shall, until paid, bear interest from the Redemption Date at the rate prescribed therefor by the Senior Note.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2006"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Senior Note that is to be redeemed only in part and is not a Global Note redeemed pursuant to the Depository’s applicable procedures shall be surrendered at the office or agency maintained by the Obligor pursuant to Section 9.02 of the Base Indenture (with, if the Obligor or the Trustee so requires, due endorsement by, or a written instrument of transfer in form satisfactory to the Obligor and the Trustee duly executed by, the Holder thereof or the Holder’s attorney duly authorized in writing) and the Obligor shall execute and the Trustee shall authenticate and deliver to the Holder of such Senior Note without service charge and at the expense of the Obligor, a new Senior Note or Senior Notes, of any authorized denomination as requested by such Holder in aggregate principal amount equal to and in exchange for the unredeemed portion of the principal of such Senior Note so surrendered.</w:t>
      </w:r>
    </w:p>
    <w:p>
      <w:pPr>
        <w:spacing w:after="0" w:line="188" w:lineRule="exact"/>
        <w:rPr>
          <w:rFonts w:ascii="Times New Roman" w:cs="Times New Roman" w:eastAsia="Times New Roman" w:hAnsi="Times New Roman"/>
          <w:sz w:val="18"/>
          <w:szCs w:val="18"/>
          <w:color w:val="010000"/>
        </w:rPr>
      </w:pPr>
    </w:p>
    <w:p>
      <w:pPr>
        <w:ind w:firstLine="1304"/>
        <w:spacing w:after="0" w:line="282" w:lineRule="auto"/>
        <w:tabs>
          <w:tab w:leader="none" w:pos="195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Par Call Date, the Obligor may redeem the Senior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586" w:val="left"/>
        </w:tabs>
        <w:numPr>
          <w:ilvl w:val="1"/>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100% of the principal amount of the Senior Notes to be redeemed,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after the Par Call Date, the Obligor may redeem the Senior Notes, in whole or in part, at any time and from time to time, at a Redemption Price equal to 100% of the principal amount of the Senior Notes being redeemed plus accrued and unpaid interest thereon to the Redemption Date. The price (including any premium and interest) at which any Senior Notes may be redeemed pursuant to this Section 2.6(j) shall be referred to as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The Obligor’s actions and determinations in determining the Redemption Price shall be conclusive and binding for all purposes, absent manifest error. Any redemption pursuant to this Section 2.6(j) shall be made pursuant to the provisions of Section 2.6(a) through (i).</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2.7</w:t>
      </w:r>
      <w:r>
        <w:rPr>
          <w:sz w:val="20"/>
          <w:szCs w:val="20"/>
          <w:color w:val="auto"/>
        </w:rPr>
        <w:tab/>
      </w:r>
      <w:r>
        <w:rPr>
          <w:rFonts w:ascii="Times New Roman" w:cs="Times New Roman" w:eastAsia="Times New Roman" w:hAnsi="Times New Roman"/>
          <w:sz w:val="18"/>
          <w:szCs w:val="18"/>
          <w:u w:val="single" w:color="auto"/>
          <w:color w:val="auto"/>
        </w:rPr>
        <w:t>Change of Control Repurchase.</w:t>
      </w:r>
    </w:p>
    <w:p>
      <w:pPr>
        <w:spacing w:after="0" w:line="225" w:lineRule="exact"/>
        <w:rPr>
          <w:sz w:val="20"/>
          <w:szCs w:val="20"/>
          <w:color w:val="auto"/>
        </w:rPr>
      </w:pPr>
    </w:p>
    <w:p>
      <w:pPr>
        <w:jc w:val="both"/>
        <w:ind w:firstLine="1304"/>
        <w:spacing w:after="0" w:line="261" w:lineRule="auto"/>
        <w:tabs>
          <w:tab w:leader="none" w:pos="201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Change of Control Repurchase Event occurs, unless the Obligor has exercised its right to redeem the Senior Notes as set forth in Section 2.6, the Obligor shall be required to make an offer to each Holder of the Senior Notes to repurchase all or any part (in excess of $2,000 and in integral multiples of $1,000 in excess thereof) of that Holder’s Senior Notes at a repurchase price in cash equal to 101% of the aggregate principal amount of the Senior Notes repurchased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on the Senior Notes repurchased to, but excluding, the date of repurchase.</w:t>
      </w:r>
    </w:p>
    <w:p>
      <w:pPr>
        <w:spacing w:after="0" w:line="179"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201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30 days following any Change of Control Repurchase Event or, at the option of the Obligor, prior to any Change of Control, but after the public announcement of the Change of Control, the Obligor shall mail (or to the extent permitted or required by applicable DTC procedures or regulations with respect to Global Notes, send electronically)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mailed (or to the extent permitted or required by applicable DTC procedures or regulations with respect to Global Notes, sent electronically). The notice shall, if mailed (or to the extent permitted or required by applicable DTC procedures or regulations with respect to Global Notes, sent electronically) prior to the date of consummation of the Change of Control, state that the offer to purchase is conditioned on a Change of Control Repurchase Event occurring on or prior to the payment date specified in the notice.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08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Obligor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Obligor shall comply with the applicable securities laws and regulations and shall not be deemed to have breached its obligations under this Section 2.7 by virtue of compliance with such securities laws or regulations.</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repurchase date following a Change of Control Repurchase Event, the Obligor shall, to the extent lawful:</w:t>
      </w:r>
    </w:p>
    <w:p>
      <w:pPr>
        <w:spacing w:after="0" w:line="225" w:lineRule="exact"/>
        <w:rPr>
          <w:rFonts w:ascii="Times New Roman" w:cs="Times New Roman" w:eastAsia="Times New Roman" w:hAnsi="Times New Roman"/>
          <w:sz w:val="18"/>
          <w:szCs w:val="18"/>
          <w:color w:val="010000"/>
        </w:rPr>
      </w:pPr>
    </w:p>
    <w:p>
      <w:pPr>
        <w:ind w:left="2520" w:hanging="568"/>
        <w:spacing w:after="0"/>
        <w:tabs>
          <w:tab w:leader="none" w:pos="2520"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accept for payment all the Senior Notes or portions of the Senior Notes properly tendered pursuant to its offer;</w:t>
      </w:r>
    </w:p>
    <w:p>
      <w:pPr>
        <w:spacing w:after="0" w:line="225" w:lineRule="exact"/>
        <w:rPr>
          <w:rFonts w:ascii="Times New Roman" w:cs="Times New Roman" w:eastAsia="Times New Roman" w:hAnsi="Times New Roman"/>
          <w:sz w:val="18"/>
          <w:szCs w:val="18"/>
          <w:color w:val="010000"/>
        </w:rPr>
      </w:pPr>
    </w:p>
    <w:p>
      <w:pPr>
        <w:ind w:left="1300" w:firstLine="652"/>
        <w:spacing w:after="0" w:line="282" w:lineRule="auto"/>
        <w:tabs>
          <w:tab w:leader="none" w:pos="2643"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deposit with the Paying Agent an amount equal to the aggregate purchase price in respect of all the Senior Notes or portions of the Senior Notes properly tendered;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1300" w:firstLine="652"/>
        <w:spacing w:after="0" w:line="282" w:lineRule="auto"/>
        <w:tabs>
          <w:tab w:leader="none" w:pos="2521" w:val="left"/>
        </w:tabs>
        <w:numPr>
          <w:ilvl w:val="1"/>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 or cause to be delivered to the Trustee the Senior Notes properly accepted, together with an Officer’s Certificate stating the aggregate principal amount of Senior Notes being purchased by the Obligor.</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6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that portions of the Senior Notes are properly tendered pursuant to the Obligor’s offer and the Obligor complies with the requirements of Section 2.7(d), the Paying Agent shall promptly pay to each Holder of Senior Notes properly tendered the purchase price for the Senior Notes, and the Trustee shall promptly authenticate and mail (or cause to be transferred by book-entry) to each Holder a new Senior Note equal in principal amount to any unpurchased portion of any Senior Notes surrendered.</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61"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Obligor shall not be required to make an offer to repurchase the Senior Notes upon a Change of Control Repurchase Event if a third party makes such an offer in the manner, at the times and otherwise in compliance with the requirements for an offer made by the Obligor and such third party purchases all Senior Notes properly tendered and not withdrawn under its offer.</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894"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Should the Obligor choose to exercise its rights under Section 3.02 of the Base Indenture, it shall no longer be obligated to make an offer to repurchase the Senior Notes following a Change of Control Repurchase Event.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2.8 </w:t>
      </w:r>
      <w:r>
        <w:rPr>
          <w:rFonts w:ascii="Times New Roman" w:cs="Times New Roman" w:eastAsia="Times New Roman" w:hAnsi="Times New Roman"/>
          <w:sz w:val="18"/>
          <w:szCs w:val="18"/>
          <w:u w:val="single" w:color="auto"/>
          <w:color w:val="000000"/>
        </w:rPr>
        <w:t>Issue Date</w:t>
      </w:r>
      <w:r>
        <w:rPr>
          <w:rFonts w:ascii="Times New Roman" w:cs="Times New Roman" w:eastAsia="Times New Roman" w:hAnsi="Times New Roman"/>
          <w:sz w:val="18"/>
          <w:szCs w:val="18"/>
          <w:color w:val="000000"/>
        </w:rPr>
        <w:t>. The Issue Date of the Senior Notes is June 26, 2026;</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additional Notes, if any, will have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different Issue Date.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2.9 </w:t>
      </w:r>
      <w:r>
        <w:rPr>
          <w:rFonts w:ascii="Times New Roman" w:cs="Times New Roman" w:eastAsia="Times New Roman" w:hAnsi="Times New Roman"/>
          <w:sz w:val="18"/>
          <w:szCs w:val="18"/>
          <w:u w:val="single" w:color="auto"/>
          <w:color w:val="000000"/>
        </w:rPr>
        <w:t>Issue Price</w:t>
      </w:r>
      <w:r>
        <w:rPr>
          <w:rFonts w:ascii="Times New Roman" w:cs="Times New Roman" w:eastAsia="Times New Roman" w:hAnsi="Times New Roman"/>
          <w:sz w:val="18"/>
          <w:szCs w:val="18"/>
          <w:color w:val="000000"/>
        </w:rPr>
        <w:t>. The issue price of the Senior Notes is 99.961% of the aggregate principal amount of the Senior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additional Notes, if any, may have a different issue price.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u w:val="single" w:color="auto"/>
          <w:color w:val="000000"/>
        </w:rPr>
        <w:t>Definitive and Global Notes</w:t>
      </w:r>
      <w:r>
        <w:rPr>
          <w:rFonts w:ascii="Times New Roman" w:cs="Times New Roman" w:eastAsia="Times New Roman" w:hAnsi="Times New Roman"/>
          <w:sz w:val="18"/>
          <w:szCs w:val="18"/>
          <w:color w:val="000000"/>
        </w:rPr>
        <w:t>. The Senior Notes are issuable in whole or in part in the form of Global Notes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Depositary for such Global Notes shall be DTC.</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2.11 </w:t>
      </w:r>
      <w:r>
        <w:rPr>
          <w:rFonts w:ascii="Times New Roman" w:cs="Times New Roman" w:eastAsia="Times New Roman" w:hAnsi="Times New Roman"/>
          <w:sz w:val="18"/>
          <w:szCs w:val="18"/>
          <w:u w:val="single" w:color="auto"/>
          <w:color w:val="000000"/>
        </w:rPr>
        <w:t>Denomination</w:t>
      </w:r>
      <w:r>
        <w:rPr>
          <w:rFonts w:ascii="Times New Roman" w:cs="Times New Roman" w:eastAsia="Times New Roman" w:hAnsi="Times New Roman"/>
          <w:sz w:val="18"/>
          <w:szCs w:val="18"/>
          <w:color w:val="000000"/>
        </w:rPr>
        <w:t>. The Senior Notes shall be issued in registered form in minimum denominations of $2,000 and integral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multiples of $1,000 in excess thereof.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u w:val="single" w:color="auto"/>
          <w:color w:val="000000"/>
        </w:rPr>
        <w:t>Limitation on Liens</w:t>
      </w:r>
      <w:r>
        <w:rPr>
          <w:rFonts w:ascii="Times New Roman" w:cs="Times New Roman" w:eastAsia="Times New Roman" w:hAnsi="Times New Roman"/>
          <w:sz w:val="18"/>
          <w:szCs w:val="18"/>
          <w:color w:val="000000"/>
        </w:rPr>
        <w:t>. The Obligor will not, and will not permit any Restricted Subsidiary to, create, incur, assume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 to exist any lien on any Principal Property or Intellectual Property or upon the capital stock of any Restricted Subsidiary to secure any Indebtedness of the Obligor or any Restricted Subsidiary without securing the Senior Notes equally and ratably with such Indebtedness for so long as such Indebtedness shall be so secured, subject to certain exceptions. The foregoing shall not apply to:</w:t>
      </w:r>
    </w:p>
    <w:p>
      <w:pPr>
        <w:spacing w:after="0" w:line="180"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June 18, 2026;</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or property of a Person at the time it becomes a Subsidiary or is merged with, amalgamated with or consolidated into the Obligor or a Restricted Subsidiary securing only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Indebtedness was not incurred in connection with such Person or entity becoming a Subsidiary or such merger, amalgamation or consolidation and such liens do not extend to any assets other than those of the Person becoming a Subsidiary (and such Person’s Subsidiaries, as applicable);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304"/>
        <w:spacing w:after="0" w:line="266" w:lineRule="auto"/>
        <w:tabs>
          <w:tab w:leader="none" w:pos="22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assets or property created at the time of, or within 18 months after, the acquisition, purchase, lease, improvement or development of such assets or property to secure all or a portion of the purchase price or lease for, or the costs of improvement or development of, such assets or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or refunding (or successive extensions, renewals, refinancings or refundings), in whole or in part, of any Indebtedness secured by liens referred to above or liens created in connection with any amendment, consent or waiver relating to such Indebtedness, so long as such lien is limited to all or part of the property which secured (or after-acquired property which was required to secure) the lien extended, renewed or replaced, the amount of Indebtedness secured is not increased (other than by the amount equal to any costs and expenses (including any premiums, fees or penalties) incurred in connection with any extension, renewal, refinancing or refunding);</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only the Obligor or one or more Subsidiaries granted by the Obligor or a Subsidiary to secure any obligations owed to the Obligor or a Subsidiary of the Obligor;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Trustee granted in accordance with the Base Indenture;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30 days or are being contested in good faith;</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escrow arrangements or similar arrangements made by the Obligor or any Restricted Subsidiary in connection with any letter of intent or purchase agreement for any acquisition or other transaction permitted hereunder;</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securing hedging obligations not entered into for speculative purposes and letters of credit entered into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 of the Obligor or any Restricted Subsidiary in the ordinary course of business supporting obligations of the type set forth in clause (i) above;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 to secure the performance of bids, trade contracts, leases, statutory obligations, surety and appeal bonds, performance bonds and other obligations of a like nature, in each case in the ordinary course of business and (ii) in respect of letters of credit, bank guarantees or similar instruments issued for the account of the Obligor or any Restricted Subsidiary in the ordinary course of business supporting obligations of the type set forth in clause (i) above;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304"/>
        <w:spacing w:after="0" w:line="266" w:lineRule="auto"/>
        <w:tabs>
          <w:tab w:leader="none" w:pos="1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levies not yet delinquent by more than 30 days or not yet subject to penalties for nonpayment or that are being contested in good faith by appropriate proceedings and for which the Obligor or any Restricted Subsidiary, as applicable, has maintained adequate reserves in accordance with GAAP;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otherwise prohibited by this Section 2.12, securing Indebtedness which, together with the value of Attributable Debt incurred in Sale and Leaseback Transactions permitted under Section 2.13 below, do not exceed the greater of (i) 10% of Consolidated Total Assets measured at the date of incurrence of any such lien and (ii) $300.0 million.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2.13 </w:t>
      </w:r>
      <w:r>
        <w:rPr>
          <w:rFonts w:ascii="Times New Roman" w:cs="Times New Roman" w:eastAsia="Times New Roman" w:hAnsi="Times New Roman"/>
          <w:sz w:val="18"/>
          <w:szCs w:val="18"/>
          <w:u w:val="single" w:color="auto"/>
          <w:color w:val="000000"/>
        </w:rPr>
        <w:t>Limitation on Sale-Leaseback Transactions</w:t>
      </w:r>
      <w:r>
        <w:rPr>
          <w:rFonts w:ascii="Times New Roman" w:cs="Times New Roman" w:eastAsia="Times New Roman" w:hAnsi="Times New Roman"/>
          <w:sz w:val="18"/>
          <w:szCs w:val="18"/>
          <w:color w:val="000000"/>
        </w:rPr>
        <w:t>. The Obligor will not, and will not permit any Restricted Subsidiary to, enter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into any arrangement with any Person pursuant to which the Obligor or any Restricted Subsidiary leases any Principal Property that has been or is to be sold or transferred by the Obligor or the Restricted Subsidiary to such Person (a “</w:t>
      </w:r>
      <w:r>
        <w:rPr>
          <w:rFonts w:ascii="Times New Roman" w:cs="Times New Roman" w:eastAsia="Times New Roman" w:hAnsi="Times New Roman"/>
          <w:sz w:val="18"/>
          <w:szCs w:val="18"/>
          <w:u w:val="single" w:color="auto"/>
          <w:color w:val="000000"/>
        </w:rPr>
        <w:t>Sale and Leaseback Transaction</w:t>
      </w:r>
      <w:r>
        <w:rPr>
          <w:rFonts w:ascii="Times New Roman" w:cs="Times New Roman" w:eastAsia="Times New Roman" w:hAnsi="Times New Roman"/>
          <w:sz w:val="18"/>
          <w:szCs w:val="18"/>
          <w:color w:val="000000"/>
        </w:rPr>
        <w:t>”), except that a Sale and Leaseback Transaction is permitted if the Obligor or such Restricted Subsidiary would be entitled to incur Indebtedness secured by a lien on such property to be leased (without equally and ratably securing the outstanding Senior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w:t>
      </w:r>
      <w:r>
        <w:rPr>
          <w:rFonts w:ascii="Times New Roman" w:cs="Times New Roman" w:eastAsia="Times New Roman" w:hAnsi="Times New Roman"/>
          <w:sz w:val="18"/>
          <w:szCs w:val="18"/>
          <w:u w:val="single" w:color="auto"/>
          <w:color w:val="000000"/>
        </w:rPr>
        <w:t>Attributable Debt</w:t>
      </w:r>
      <w:r>
        <w:rPr>
          <w:rFonts w:ascii="Times New Roman" w:cs="Times New Roman" w:eastAsia="Times New Roman" w:hAnsi="Times New Roman"/>
          <w:sz w:val="18"/>
          <w:szCs w:val="18"/>
          <w:color w:val="000000"/>
        </w:rPr>
        <w:t>”). The foregoing shall not apply to:</w:t>
      </w:r>
    </w:p>
    <w:p>
      <w:pPr>
        <w:spacing w:after="0" w:line="189" w:lineRule="exact"/>
        <w:rPr>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leases between only the Obligor and a Subsidiary of the Obligor or only between Subsidiaries of the Obligor;</w:t>
      </w:r>
    </w:p>
    <w:p>
      <w:pPr>
        <w:spacing w:after="0" w:line="22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93"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leases where the Obligor applies within 365 days after the sale an amount equal to the greater of the net proceeds of the sale or the Attributable Debt associated with the property to (i) the retirement of long-term secured Indebtedness; or, if the Obligor has no long-term secured Indebtedness outstanding, long-term Indebtedness that is pari passu with the Senior Notes, or (ii) the purchase of additional property or assets; and</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955"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leases of property executed by the time of, or within 12 months after the latest of, the acquisition, the completion of construction or improvement, or the commencement of commercial operation of the property.</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2.14</w:t>
      </w:r>
      <w:r>
        <w:rPr>
          <w:sz w:val="20"/>
          <w:szCs w:val="20"/>
          <w:color w:val="auto"/>
        </w:rPr>
        <w:tab/>
      </w:r>
      <w:r>
        <w:rPr>
          <w:rFonts w:ascii="Times New Roman" w:cs="Times New Roman" w:eastAsia="Times New Roman" w:hAnsi="Times New Roman"/>
          <w:sz w:val="17"/>
          <w:szCs w:val="17"/>
          <w:u w:val="single" w:color="auto"/>
          <w:color w:val="auto"/>
        </w:rPr>
        <w:t>Amendments to the Base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following amendments and supplements to and/or restatements of the Base Indenture shall be applicable only with respect to the Senior Notes issued hereunder, and shall not apply to any other series of Notes that may be issued under the Base Indenture unless a supplemental indenture with respect to such other series of Notes specifically incorporates such amendments and supplements: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20" w:firstLine="1304"/>
        <w:spacing w:after="0" w:line="282" w:lineRule="auto"/>
        <w:tabs>
          <w:tab w:leader="none" w:pos="2004"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Sub-clause (b) of the first paragraph of Section 3.02 of the Base Indenture is hereby amended and restated in its entirety as follows (new text is </w:t>
      </w:r>
      <w:r>
        <w:rPr>
          <w:rFonts w:ascii="Times New Roman" w:cs="Times New Roman" w:eastAsia="Times New Roman" w:hAnsi="Times New Roman"/>
          <w:sz w:val="18"/>
          <w:szCs w:val="18"/>
          <w:b w:val="1"/>
          <w:bCs w:val="1"/>
          <w:color w:val="auto"/>
        </w:rPr>
        <w:t>bolded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“At the Obligor’s option, either (a) the Obligor shall be deemed to have been Discharged (as defined below) from its obligations with respect to the Notes of any series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xml:space="preserve">”) and/or (b) the Obligor shall cease to be under any obligation to comply with any term, provision or condition set forth in Sections 4.01(3) and 9.05 </w:t>
      </w:r>
      <w:r>
        <w:rPr>
          <w:rFonts w:ascii="Times New Roman" w:cs="Times New Roman" w:eastAsia="Times New Roman" w:hAnsi="Times New Roman"/>
          <w:sz w:val="18"/>
          <w:szCs w:val="18"/>
          <w:b w:val="1"/>
          <w:bCs w:val="1"/>
          <w:color w:val="auto"/>
        </w:rPr>
        <w:t>and Sections 2.7, 2.12 and 2.13 of the Third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Indenture between the Obligor and the Trustee, dated June 26, 2026 (the “Third Supplemental Indenture”) </w:t>
      </w:r>
      <w:r>
        <w:rPr>
          <w:rFonts w:ascii="Times New Roman" w:cs="Times New Roman" w:eastAsia="Times New Roman" w:hAnsi="Times New Roman"/>
          <w:sz w:val="18"/>
          <w:szCs w:val="18"/>
          <w:color w:val="auto"/>
        </w:rPr>
        <w:t>(and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covenants or Events of Default applicable to such Notes that are determined pursuant to Section 2.01 to be subject to this provision) with respect to the Notes of such series at any time after the applicable conditions set forth below have been satisfied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Section 3.02(1) is hereby amended and restated in its entirely as follows (new text is </w:t>
      </w:r>
      <w:r>
        <w:rPr>
          <w:rFonts w:ascii="Times New Roman" w:cs="Times New Roman" w:eastAsia="Times New Roman" w:hAnsi="Times New Roman"/>
          <w:sz w:val="18"/>
          <w:szCs w:val="18"/>
          <w:b w:val="1"/>
          <w:bCs w:val="1"/>
          <w:color w:val="auto"/>
        </w:rPr>
        <w:t>bolded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“The Obligor shall have deposited or caused to be deposited irrevocably with the Trustee, as trust funds, in trust, specifically pledged as security for, and dedicated solely to, the benefit of the Holders of the Notes of such series, an amount of money, in cash in U.S. dollars sufficient, or in non-callable U.S. Government Obligations, the principal of and interest on which, when due, will be sufficient, or a combination thereof, sufficient, in the opinion of a nationally recognized firm of independent public accountants expressed in a written certification thereof </w:t>
      </w:r>
      <w:r>
        <w:rPr>
          <w:rFonts w:ascii="Times New Roman" w:cs="Times New Roman" w:eastAsia="Times New Roman" w:hAnsi="Times New Roman"/>
          <w:sz w:val="18"/>
          <w:szCs w:val="18"/>
          <w:b w:val="1"/>
          <w:bCs w:val="1"/>
          <w:color w:val="auto"/>
        </w:rPr>
        <w:t>(to the extent such deposit consists of non-callable U.S. Government Obligations)</w:t>
      </w:r>
      <w:r>
        <w:rPr>
          <w:rFonts w:ascii="Times New Roman" w:cs="Times New Roman" w:eastAsia="Times New Roman" w:hAnsi="Times New Roman"/>
          <w:sz w:val="18"/>
          <w:szCs w:val="18"/>
          <w:color w:val="auto"/>
        </w:rPr>
        <w:t xml:space="preserve"> delivered to the Trustee, to pay and discharge the entire indebtedness on the Notes of such series with respect to principal, premium, if any, and accrued and unpaid interest to the date of such deposit (in the case of Notes of any series that have become due and payable), or to the Maturity Date or Redemption Date, as the case may be;”</w:t>
      </w:r>
    </w:p>
    <w:p>
      <w:pPr>
        <w:spacing w:after="0" w:line="192" w:lineRule="exact"/>
        <w:rPr>
          <w:sz w:val="20"/>
          <w:szCs w:val="20"/>
          <w:color w:val="auto"/>
        </w:rPr>
      </w:pPr>
    </w:p>
    <w:p>
      <w:pPr>
        <w:ind w:firstLine="1304"/>
        <w:spacing w:after="0" w:line="282" w:lineRule="auto"/>
        <w:tabs>
          <w:tab w:leader="none" w:pos="211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last sentence of the third to last paragraph of Section 3.02 of the Base Indenture is hereby amended and restated in its entirety as follows (new text is </w:t>
      </w:r>
      <w:r>
        <w:rPr>
          <w:rFonts w:ascii="Times New Roman" w:cs="Times New Roman" w:eastAsia="Times New Roman" w:hAnsi="Times New Roman"/>
          <w:sz w:val="18"/>
          <w:szCs w:val="18"/>
          <w:b w:val="1"/>
          <w:bCs w:val="1"/>
          <w:color w:val="auto"/>
        </w:rPr>
        <w:t>bolded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right="40"/>
        <w:spacing w:after="0" w:line="256" w:lineRule="auto"/>
        <w:rPr>
          <w:sz w:val="20"/>
          <w:szCs w:val="20"/>
          <w:color w:val="auto"/>
        </w:rPr>
      </w:pPr>
      <w:r>
        <w:rPr>
          <w:rFonts w:ascii="Times New Roman" w:cs="Times New Roman" w:eastAsia="Times New Roman" w:hAnsi="Times New Roman"/>
          <w:sz w:val="18"/>
          <w:szCs w:val="18"/>
          <w:color w:val="auto"/>
        </w:rPr>
        <w:t xml:space="preserve">“If the Obligor exercises its option under Section 3.02(a), payment of the Notes may not be accelerated because of an Event of Default with respect thereto. If the Obligor exercises its option under Section 3.02(b), payment of the Notes may not be accelerated because of an Event of Default specified in Section 4.01(3) and Section 4.01(7) and with respect to Section 7.01 and Section 9.05 </w:t>
      </w:r>
      <w:r>
        <w:rPr>
          <w:rFonts w:ascii="Times New Roman" w:cs="Times New Roman" w:eastAsia="Times New Roman" w:hAnsi="Times New Roman"/>
          <w:sz w:val="18"/>
          <w:szCs w:val="18"/>
          <w:b w:val="1"/>
          <w:bCs w:val="1"/>
          <w:color w:val="auto"/>
        </w:rPr>
        <w:t>and 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2.13 of the Third Supplemental Indenture, and the Obligor shall no longer be obligated to make an offer under Section 2.7 of the Third Supplemental Indenture upon the occurrence of a Change of Control Repurchase Event (as defined in the Third Supplemental Indenture)</w:t>
      </w:r>
      <w:r>
        <w:rPr>
          <w:rFonts w:ascii="Times New Roman" w:cs="Times New Roman" w:eastAsia="Times New Roman" w:hAnsi="Times New Roman"/>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firstLine="1304"/>
        <w:spacing w:after="0" w:line="282" w:lineRule="auto"/>
        <w:tabs>
          <w:tab w:leader="none" w:pos="1954"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the Events of Default set forth in Section 4.01 of the Base Indenture, the Senior Notes shall include the following additional Event of Default designated as clause (8) of such Section, which shall be deemed an Event of Default under Section 4.01 of the Base Indenture:</w:t>
      </w:r>
    </w:p>
    <w:p>
      <w:pPr>
        <w:spacing w:after="0" w:line="162"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“(8) a failure by the Obligor to repurchase Senior Notes tendered for repurchase following the occurrence of a Change of Control Repurchase Event (as defined in the Third Supplemental Indenture) in conformity with Section 2.7 of the Third Supplemental Indenture.”</w:t>
      </w:r>
    </w:p>
    <w:p>
      <w:pPr>
        <w:spacing w:after="0" w:line="162" w:lineRule="exact"/>
        <w:rPr>
          <w:sz w:val="20"/>
          <w:szCs w:val="20"/>
          <w:color w:val="auto"/>
        </w:rPr>
      </w:pPr>
    </w:p>
    <w:p>
      <w:pPr>
        <w:ind w:left="1940" w:hanging="636"/>
        <w:spacing w:after="0"/>
        <w:tabs>
          <w:tab w:leader="none" w:pos="1940" w:val="left"/>
        </w:tabs>
        <w:numPr>
          <w:ilvl w:val="1"/>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the actions that may be taken without the consent of Holders, the Senior Notes shall include the following clause</w:t>
      </w:r>
    </w:p>
    <w:p>
      <w:pPr>
        <w:spacing w:after="0" w:line="27" w:lineRule="exact"/>
        <w:rPr>
          <w:rFonts w:ascii="Times New Roman" w:cs="Times New Roman" w:eastAsia="Times New Roman" w:hAnsi="Times New Roman"/>
          <w:sz w:val="18"/>
          <w:szCs w:val="18"/>
          <w:color w:val="010000"/>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Section 8.01 of the Base Indenture:</w:t>
      </w:r>
    </w:p>
    <w:p>
      <w:pPr>
        <w:spacing w:after="0" w:line="207"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“(12) to conform the Indenture to the section entitled “Description of Notes” in the prospectus supplement dated June 18, 2026 relating to the Senior Notes.”</w:t>
      </w:r>
    </w:p>
    <w:p>
      <w:pPr>
        <w:spacing w:after="0" w:line="158" w:lineRule="exact"/>
        <w:rPr>
          <w:sz w:val="20"/>
          <w:szCs w:val="20"/>
          <w:color w:val="auto"/>
        </w:rPr>
      </w:pPr>
    </w:p>
    <w:p>
      <w:pPr>
        <w:ind w:left="1980" w:hanging="676"/>
        <w:spacing w:after="0"/>
        <w:tabs>
          <w:tab w:leader="none" w:pos="198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Section 8.02(4) of the Base Indenture is hereby amended and restated in its entirety as follows (new text is </w:t>
      </w:r>
      <w:r>
        <w:rPr>
          <w:rFonts w:ascii="Times New Roman" w:cs="Times New Roman" w:eastAsia="Times New Roman" w:hAnsi="Times New Roman"/>
          <w:sz w:val="18"/>
          <w:szCs w:val="18"/>
          <w:b w:val="1"/>
          <w:bCs w:val="1"/>
          <w:color w:val="auto"/>
        </w:rPr>
        <w:t>bolded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 xml:space="preserve">“(4) reduce the Redemption Price </w:t>
      </w:r>
      <w:r>
        <w:rPr>
          <w:rFonts w:ascii="Times New Roman" w:cs="Times New Roman" w:eastAsia="Times New Roman" w:hAnsi="Times New Roman"/>
          <w:sz w:val="18"/>
          <w:szCs w:val="18"/>
          <w:b w:val="1"/>
          <w:bCs w:val="1"/>
          <w:color w:val="auto"/>
        </w:rPr>
        <w:t>or the repurchase price</w:t>
      </w:r>
      <w:r>
        <w:rPr>
          <w:rFonts w:ascii="Times New Roman" w:cs="Times New Roman" w:eastAsia="Times New Roman" w:hAnsi="Times New Roman"/>
          <w:sz w:val="18"/>
          <w:szCs w:val="18"/>
          <w:color w:val="auto"/>
        </w:rPr>
        <w:t xml:space="preserve"> of any </w:t>
      </w:r>
      <w:r>
        <w:rPr>
          <w:rFonts w:ascii="Times New Roman" w:cs="Times New Roman" w:eastAsia="Times New Roman" w:hAnsi="Times New Roman"/>
          <w:sz w:val="18"/>
          <w:szCs w:val="18"/>
          <w:b w:val="1"/>
          <w:bCs w:val="1"/>
          <w:color w:val="auto"/>
        </w:rPr>
        <w:t>Senior</w:t>
      </w:r>
      <w:r>
        <w:rPr>
          <w:rFonts w:ascii="Times New Roman" w:cs="Times New Roman" w:eastAsia="Times New Roman" w:hAnsi="Times New Roman"/>
          <w:sz w:val="18"/>
          <w:szCs w:val="18"/>
          <w:color w:val="auto"/>
        </w:rPr>
        <w:t xml:space="preserve"> Note, </w:t>
      </w:r>
      <w:r>
        <w:rPr>
          <w:rFonts w:ascii="Times New Roman" w:cs="Times New Roman" w:eastAsia="Times New Roman" w:hAnsi="Times New Roman"/>
          <w:sz w:val="18"/>
          <w:szCs w:val="18"/>
          <w:b w:val="1"/>
          <w:bCs w:val="1"/>
          <w:color w:val="auto"/>
        </w:rPr>
        <w:t>change the date on which any Senior Note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redemption or repurchase </w:t>
      </w:r>
      <w:r>
        <w:rPr>
          <w:rFonts w:ascii="Times New Roman" w:cs="Times New Roman" w:eastAsia="Times New Roman" w:hAnsi="Times New Roman"/>
          <w:sz w:val="18"/>
          <w:szCs w:val="18"/>
          <w:color w:val="auto"/>
        </w:rPr>
        <w:t>or add redemption provisions to the</w:t>
      </w:r>
      <w:r>
        <w:rPr>
          <w:rFonts w:ascii="Times New Roman" w:cs="Times New Roman" w:eastAsia="Times New Roman" w:hAnsi="Times New Roman"/>
          <w:sz w:val="18"/>
          <w:szCs w:val="18"/>
          <w:b w:val="1"/>
          <w:bCs w:val="1"/>
          <w:color w:val="auto"/>
        </w:rPr>
        <w:t xml:space="preserve"> Senior </w:t>
      </w:r>
      <w:r>
        <w:rPr>
          <w:rFonts w:ascii="Times New Roman" w:cs="Times New Roman" w:eastAsia="Times New Roman" w:hAnsi="Times New Roman"/>
          <w:sz w:val="18"/>
          <w:szCs w:val="18"/>
          <w:color w:val="auto"/>
        </w:rPr>
        <w:t>Notes;”.</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2.15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Third Supplemental Indenture and the Senior Notes shall be valid, binding, and enforceable against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of the State of New York (collectively, “</w:t>
      </w:r>
      <w:r>
        <w:rPr>
          <w:rFonts w:ascii="Times New Roman" w:cs="Times New Roman" w:eastAsia="Times New Roman" w:hAnsi="Times New Roman"/>
          <w:sz w:val="18"/>
          <w:szCs w:val="18"/>
          <w:u w:val="single" w:color="auto"/>
          <w:color w:val="000000"/>
        </w:rPr>
        <w:t>Signature Law</w:t>
      </w:r>
      <w:r>
        <w:rPr>
          <w:rFonts w:ascii="Times New Roman" w:cs="Times New Roman" w:eastAsia="Times New Roman" w:hAnsi="Times New Roman"/>
          <w:sz w:val="18"/>
          <w:szCs w:val="18"/>
          <w:color w:val="000000"/>
        </w:rPr>
        <w:t>”), in each case to the extent applicable. Each faxed, scanned, or photocopied manual signature, or other electronic signature of this Third Supplemental Indenture or the Senior Notes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Third Supplemental Indenture may be executed in any number of counterparts, each of which shall be deemed to be an original, but such counterparts shall, together, constitute one and the same instrument.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8"/>
          <w:szCs w:val="18"/>
          <w:color w:val="auto"/>
        </w:rPr>
        <w:t>VERISIGN,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Atchley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David Atchley</w:t>
      </w:r>
    </w:p>
    <w:p>
      <w:pPr>
        <w:spacing w:after="0" w:line="27"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Investor Relations and Corporate Treasurer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W.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W. McGuire</w:t>
      </w:r>
    </w:p>
    <w:p>
      <w:pPr>
        <w:spacing w:after="0" w:line="27"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1440" w:top="121" w:right="8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Senior Note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IS A GLOBAL NOTE WITHIN THE MEANING OF THE INDENTURE REFERRED TO HEREIN.</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OBLIGOR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tabs>
          <w:tab w:leader="none" w:pos="84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5.100% Senior Notes due 2031</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CUSIP No.</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ISIN No.</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VERISIGN, INC., a Delaware corporation, promises to pay to Cede &amp; Co., or registered assigns, the principal sum listed on the Schedule of Increases or Decreases in Global Note attached hereto on July 15, 2031.</w:t>
      </w:r>
    </w:p>
    <w:p>
      <w:pPr>
        <w:spacing w:after="0" w:line="162" w:lineRule="exact"/>
        <w:rPr>
          <w:sz w:val="20"/>
          <w:szCs w:val="20"/>
          <w:color w:val="auto"/>
        </w:rPr>
      </w:pPr>
    </w:p>
    <w:p>
      <w:pPr>
        <w:ind w:left="1300"/>
        <w:spacing w:after="0"/>
        <w:tabs>
          <w:tab w:leader="none" w:pos="6360" w:val="left"/>
        </w:tabs>
        <w:rPr>
          <w:sz w:val="20"/>
          <w:szCs w:val="20"/>
          <w:color w:val="auto"/>
        </w:rPr>
      </w:pPr>
      <w:r>
        <w:rPr>
          <w:rFonts w:ascii="Times New Roman" w:cs="Times New Roman" w:eastAsia="Times New Roman" w:hAnsi="Times New Roman"/>
          <w:sz w:val="18"/>
          <w:szCs w:val="18"/>
          <w:color w:val="auto"/>
        </w:rPr>
        <w:t>Interest Payment Dates: January 15 and July 15, commencing</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Record Dates: January 1 and July 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Additional provisions of this Senior Note are set forth on the other side of this Senior Note.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ind w:right="2559"/>
        <w:spacing w:after="0"/>
        <w:rPr>
          <w:sz w:val="20"/>
          <w:szCs w:val="20"/>
          <w:color w:val="auto"/>
        </w:rPr>
      </w:pPr>
      <w:r>
        <w:rPr>
          <w:rFonts w:ascii="Times New Roman" w:cs="Times New Roman" w:eastAsia="Times New Roman" w:hAnsi="Times New Roman"/>
          <w:sz w:val="18"/>
          <w:szCs w:val="18"/>
          <w:color w:val="auto"/>
        </w:rPr>
        <w:t>IN WITNESS WHEREOF, the parties have caused this instrument to be duly executed.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VERISIGN,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 w:name="page24"/>
    <w:bookmarkEnd w:id="23"/>
    <w:p>
      <w:pPr>
        <w:jc w:val="right"/>
        <w:ind w:right="2559"/>
        <w:spacing w:after="0"/>
        <w:rPr>
          <w:sz w:val="20"/>
          <w:szCs w:val="20"/>
          <w:color w:val="auto"/>
        </w:rPr>
      </w:pPr>
      <w:r>
        <w:rPr>
          <w:rFonts w:ascii="Times New Roman" w:cs="Times New Roman" w:eastAsia="Times New Roman" w:hAnsi="Times New Roman"/>
          <w:sz w:val="18"/>
          <w:szCs w:val="18"/>
          <w:color w:val="auto"/>
        </w:rPr>
        <w:t>IN WITNESS WHEREOF, the parties have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Trustee, certifies that this is one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Senior Notes referred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in the Third Supplemental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9229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3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color w:val="auto"/>
        </w:rPr>
        <w:t>[REVERSE SIDE OF NOTE]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5.100% Senior Notes due 2031</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VERISIGN, INC., a Delaware corporation (such corporation, and its successors and assigns under the Indenture hereinafter referred to, being herein called the “Obligor”), promises to pay interest on the principal amount of this Senior Note at the rate per annum shown above. The Obligor shall pay interest semiannually on January 15 and July 15 of each year, commencing. The Record Dates for payment of interest shall be January 1 and July 1 of each year (whether or not a Business Day). Interest on this Senior Note shall accrue from the most recent date to which interest has been paid or duly provided for or, if no interest has been paid or duly provided for, from until the principal hereof is due. Interest shall be computed on the basis of a 360-day year of twelve 30-day months.</w:t>
      </w:r>
    </w:p>
    <w:p>
      <w:pPr>
        <w:spacing w:after="0" w:line="18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Obligor shall pay interest on this Senior Note (except defaulted interest) to the Persons who are registered Holders at the close of business on the Record Date. Holders must surrender this Senior Note to a Paying Agent to collect principal payments. Payments in respect of this Senior Note represented by a Global Note (including principal, premium, if any, and interest) shall be made in immediately available funds to DTC or its nominees, as the case may be, as the Holder of such Global Note. The Obligor shall make all payments in respect of any certificated Senior Note in definitive form (including principal, premium, if any, and interest) at the office of the Paying Agent, except that, at the option of the Obligor, payment of interest may be made by mailing a check to the registered address of each Holder thereof or, upon request of a Holder of at least $1,000,000 aggregate principal amount of Senior Notes, by wire transfer to an account located in the United States by the payee.</w:t>
      </w:r>
    </w:p>
    <w:p>
      <w:pPr>
        <w:spacing w:after="0" w:line="189"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Initially, U.S. Bank Trust Company, National Association (the “Trustee”), shall act as Paying Agent and Registrar. The Obligor may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Obligor issued this Senior Note under an Indenture dated as of June 8, 2021 (the “Base Indenture”), between the Obligor and the Trustee, as supplemented by the Third Supplemental Indenture, dated as of June 26, 2026 (the “Third Supplemental Indenture”; and the Base Indenture, as supplemented by the Third Supplemental Indenture, the “Indenture”). The terms of this Senior Note include those stated in the Indenture, and those made part of the Indenture by reference to the Trust Indenture Act of 1939 (15 U.S.C. §§ 77aaa-77bbbb) as in effect on the date of the Indenture (the “TIA”).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Senior Note is a senior unsecured obligation of the Obligor of which an unlimited aggregate principal amount may be at any one time Outstanding. The Indenture imposes certain limitations on the ability of the Obligor and any Restricted Subsidiary to, among other things, create or incur Liens and enter into certain Sale-Leaseback Transactions. The Indenture also imposes limitations on the ability of the Obligor to consolidate or merge with or into any other Person or convey, transfer or lease all or substantially all its property.</w:t>
      </w:r>
    </w:p>
    <w:p>
      <w:pPr>
        <w:spacing w:after="0" w:line="18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Prior to June 15, 2031 (one month prior to the Maturity Date of the Senior Notes) (the “Par Call Date”), the Obligor may redeem the Senior Notes at its option, in whole or in part, at any time and from time to time, at a Redemption Price (expressed as a percentage of principal amount and rounded to three decimal places) equal to the greater of:</w:t>
      </w:r>
    </w:p>
    <w:p>
      <w:pPr>
        <w:spacing w:after="0" w:line="176" w:lineRule="exact"/>
        <w:rPr>
          <w:sz w:val="20"/>
          <w:szCs w:val="20"/>
          <w:color w:val="auto"/>
        </w:rPr>
      </w:pPr>
    </w:p>
    <w:p>
      <w:pPr>
        <w:jc w:val="both"/>
        <w:ind w:left="1300" w:firstLine="652"/>
        <w:spacing w:after="0" w:line="266" w:lineRule="auto"/>
        <w:tabs>
          <w:tab w:leader="none" w:pos="2586"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100% of the principal amount of the Senior Notes to be redeemed,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Obligor may redeem the Senior Notes, in whole or in part, at any time and from time to time, at a Redemption Price equal to 100% of the principal amount of the Senior Notes being redeemed plus accrued and unpaid interest thereon to the Redemption Date.</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Sinking Fund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Senior Note is not subject to any sinking fund.</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Obligor elects to redeem this Senior Note, it shall provide adequate notice to the Trustee and it shall furnish an (i) Officer’s Certificate setting forth (1) the Redemption Date, (2) the principal amount to be redeemed, and (3) the CUSIP and/or ISIN numbers of the Senior Notes and (ii) Opinion of Counsel to the Trustee.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such Holder of Senior Notes to be redeemed at such Holder’s last address appearing in the Senior Note Register.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Any notice of redemption may, at the Obligor’s discretion, be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Obligor or another entity). If such redemption or notice is subject to the satisfaction of one or more conditions precedent, the Obligor may, in its discretion, delay the Redemption Date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18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of this Senior Note at the Option of Holders upon Change of Control Repurchase Event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If a Change of Control Repurchase Event occurs, unless the Obligor has exercised its right to redeem this Senior Note as described in the Indenture, the Obligor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on this Senior Note repurchased to, but excluding, the date of repurchase, as provided in, and subject to the terms of, the Indenture.</w:t>
      </w:r>
    </w:p>
    <w:p>
      <w:pPr>
        <w:spacing w:after="0" w:line="18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Senior Notes may be issued in registered form in minimum denominations of $2,000 and integral multiples of $1,000 in excess thereof. A Holder may transfer or exchange this Senior Note in accordance with the Indenture. Upon any transfer or exchange, the Obligor and the Trustee may require a Holder, among other things, to furnish appropriate endorsements or transfer documents and to pay any taxes required by law or permitted by the Indenture. The Obligor need not register the transfer of or exchange this Senior Note if selected for redemption (except, in the event it will be redeemed in part, the portion not to be redeemed) or to transfer or exchange this Senior Note for a period of 10 days prior to mailing or providing a notice of redemption of Senior Notes to be redeemed.</w:t>
      </w:r>
    </w:p>
    <w:p>
      <w:pPr>
        <w:spacing w:after="0" w:line="18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certain exceptions, the registered Holder of this Senior Note may be treated as the owner of it for all purposes.</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money for the payment of principal or interest, if any, remains unclaimed for two years, the Trustee shall pay the money back to the Obligor at its request. After any such payment, Holders entitled to the money must look to the Obligor for payment as unsecured general creditors and the Trustee and the Paying Agent shall have no further liability with respect to such monies.</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and Defeasance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Subject to certain conditions, the Obligor at any time may terminate some of or all its obligations under this Senior Note and the Indenture if the Obligor deposits with the Trustee U.S. dollars or non-callable U.S. Government Obligations for the payment of principal of, premium, if any, and interest on, this Senior Note to redemption or maturity, as the case may be.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Obligor and the Trustee may amend the Indenture: (i) to evidence the succession of another Person to the Obligor and the assumption by any such successor of the covenants of the Obligor under the Indenture and the Senior Notes; (ii) to add to the covenants of the Obligor for the benefit of Holders of the Senior Notes or to surrender any right or power conferred upon the Obligor;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(v) to secure the Senior Notes or add guarantees with respect to the Senior Notes;</w:t>
      </w:r>
    </w:p>
    <w:p>
      <w:pPr>
        <w:spacing w:after="0" w:line="6" w:lineRule="exact"/>
        <w:rPr>
          <w:sz w:val="20"/>
          <w:szCs w:val="20"/>
          <w:color w:val="auto"/>
        </w:rPr>
      </w:pPr>
    </w:p>
    <w:p>
      <w:pPr>
        <w:jc w:val="both"/>
        <w:ind w:firstLine="8"/>
        <w:spacing w:after="0" w:line="250" w:lineRule="auto"/>
        <w:tabs>
          <w:tab w:leader="none" w:pos="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or appoint a successor or separate Trustee; (vii) to cure any ambiguity, defect or inconsistency;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interests of the Holders of the Senior Notes are not adversely affected in any material respect; (viii) to supplement any of the provisions of the Indenture as necessary to permit or facilitate the defeasance and discharge of Senior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interests of the Holders of the Senior Notes are not adversely affected in any material respect; (ix) to make any other change that would not adversely affect the Holders of the Senior Notes; (x) to make any change necessary to comply with any requirement of the Commission in connection with the qualification of the Indenture or any supplemental Indenture under the TIA; (xi) to conform the Indenture to the section entitled “Description of Notes” in the prospectus supplement dated June 18, 2026 relating to the Senior Notes; and</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additional Senior Notes as permitted by Section 2.01 and Section 2.02 of the Base Indenture.</w:t>
      </w:r>
    </w:p>
    <w:p>
      <w:pPr>
        <w:spacing w:after="0" w:line="20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If any Event of Default (other than an Event of Default relating to certain events of bankruptcy, insolvency or reorganization of the Obligor)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Obligor (and to the Trustee if given by Holders) specifying the Event of Default. If an Event of Default relating to a merger or certain events of bankruptcy, insolvency or reorganization of the Obligor occurs, then the principal amount of all the Senior Notes then Outstanding and interest accrued thereon, if any, shall become and be immediately due and payable without any declaration or other act on the part of the Trustee or the Holders of the Senior Notes, to the fullest extent permitted by applicable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Under certain circumstances, the Holders of a majority in principal amount of the Outstanding Senior Notes may rescind any such acceleration with respect to the Senior Notes and its consequences.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such reasonable indemnity against the costs, expenses and liabilities to be incurred in compliance with such request; (iv) the Trustee has failed to institute any such proceeding for 60 days after its receipt of such notice, request and offer of indemnity; and</w:t>
      </w:r>
    </w:p>
    <w:p>
      <w:pPr>
        <w:spacing w:after="0" w:line="3" w:lineRule="exact"/>
        <w:rPr>
          <w:sz w:val="20"/>
          <w:szCs w:val="20"/>
          <w:color w:val="auto"/>
        </w:rPr>
      </w:pPr>
    </w:p>
    <w:p>
      <w:pPr>
        <w:ind w:right="20" w:firstLine="8"/>
        <w:spacing w:after="0" w:line="260"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inconsistent direction has been given to the Trustee during such 60-day period by the Holders of a majority in aggregate principal amount of the Outstanding Senior Notes.</w:t>
      </w:r>
    </w:p>
    <w:p>
      <w:pPr>
        <w:spacing w:after="0" w:line="18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Obligor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Subject to certain limitations imposed by the TIA, the Trustee under the Indenture, in its individual or any other capacity, may become the owner or pledgee of this Senior Note and may otherwise deal with the Obligor with the same rights it would have if it were not Trustee.</w:t>
      </w:r>
    </w:p>
    <w:p>
      <w:pPr>
        <w:spacing w:after="0" w:line="16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 Counterparts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Senior Note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of the State of New York, in each case to the extent applicable. Each faxed, scanned, or photocopied manual signature, or other electronic signature of this Senior Note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Senior Note may be executed in any number of counterparts, each of which shall be deemed to be an original, but such counterparts shall, together, constitute one and the same instrument.</w:t>
      </w:r>
    </w:p>
    <w:p>
      <w:pPr>
        <w:spacing w:after="0" w:line="188"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1"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THIS SENIOR NOTE SHALL BE GOVERNED BY AND CONSTRUED IN ACCORDANCE WITH THE LAWS OF THE STATE OF NEW YORK.</w:t>
      </w:r>
    </w:p>
    <w:p>
      <w:pPr>
        <w:spacing w:after="0" w:line="15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Obligor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SCHEDULE OF INCREASES OR DECREASES IN GLOBAL NOTE</w:t>
      </w:r>
    </w:p>
    <w:p>
      <w:pPr>
        <w:spacing w:after="0" w:line="225" w:lineRule="exact"/>
        <w:rPr>
          <w:sz w:val="20"/>
          <w:szCs w:val="20"/>
          <w:color w:val="auto"/>
        </w:rPr>
      </w:pPr>
    </w:p>
    <w:p>
      <w:pPr>
        <w:ind w:left="1300"/>
        <w:spacing w:after="0"/>
        <w:tabs>
          <w:tab w:leader="none" w:pos="5480" w:val="left"/>
        </w:tabs>
        <w:rPr>
          <w:sz w:val="20"/>
          <w:szCs w:val="20"/>
          <w:color w:val="auto"/>
        </w:rPr>
      </w:pPr>
      <w:r>
        <w:rPr>
          <w:rFonts w:ascii="Times New Roman" w:cs="Times New Roman" w:eastAsia="Times New Roman" w:hAnsi="Times New Roman"/>
          <w:sz w:val="18"/>
          <w:szCs w:val="18"/>
          <w:color w:val="auto"/>
        </w:rPr>
        <w:t>The initial principal amount of this Global Note is $</w:t>
      </w:r>
      <w:r>
        <w:rPr>
          <w:sz w:val="20"/>
          <w:szCs w:val="20"/>
          <w:color w:val="auto"/>
        </w:rPr>
        <w:tab/>
      </w:r>
      <w:r>
        <w:rPr>
          <w:rFonts w:ascii="Times New Roman" w:cs="Times New Roman" w:eastAsia="Times New Roman" w:hAnsi="Times New Roman"/>
          <w:sz w:val="17"/>
          <w:szCs w:val="17"/>
          <w:color w:val="auto"/>
        </w:rPr>
        <w:t>. The following increases or decreases in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decrease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4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Principal</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signatory</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decrease or increase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Trustee</w:t>
            </w:r>
          </w:p>
        </w:tc>
      </w:tr>
      <w:tr>
        <w:trPr>
          <w:trHeight w:val="813"/>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A-11</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84"/>
        </w:trPr>
        <w:tc>
          <w:tcPr>
            <w:tcW w:w="1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5"/>
    </w:lvl>
    <w:lvl w:ilvl="1">
      <w:lvlJc w:val="left"/>
      <w:lvlText w:val="(%2)"/>
      <w:numFmt w:val="lowerRoman"/>
      <w:start w:val="1"/>
    </w:lvl>
  </w:abstractNum>
  <w:abstractNum w:abstractNumId="6">
    <w:nsid w:val="79838CB2"/>
    <w:multiLevelType w:val="hybridMultilevel"/>
    <w:lvl w:ilvl="0">
      <w:lvlJc w:val="left"/>
      <w:lvlText w:val="(%1)"/>
      <w:numFmt w:val="lowerLetter"/>
      <w:start w:val="7"/>
    </w:lvl>
    <w:lvl w:ilvl="1">
      <w:lvlJc w:val="left"/>
      <w:lvlText w:val="(%2)"/>
      <w:numFmt w:val="lowerRoman"/>
      <w:start w:val="1"/>
    </w:lvl>
  </w:abstractNum>
  <w:abstractNum w:abstractNumId="7">
    <w:nsid w:val="4353D0CD"/>
    <w:multiLevelType w:val="hybridMultilevel"/>
    <w:lvl w:ilvl="0">
      <w:lvlJc w:val="left"/>
      <w:lvlText w:val="(%1)"/>
      <w:numFmt w:val="lowerLetter"/>
      <w:start w:val="1"/>
    </w:lvl>
    <w:lvl w:ilvl="1">
      <w:lvlJc w:val="left"/>
      <w:lvlText w:val="(%2)"/>
      <w:numFmt w:val="lowerRoman"/>
      <w:start w:val="1"/>
    </w:lvl>
  </w:abstractNum>
  <w:abstractNum w:abstractNumId="8">
    <w:nsid w:val="B03E0C6"/>
    <w:multiLevelType w:val="hybridMultilevel"/>
    <w:lvl w:ilvl="0">
      <w:lvlJc w:val="left"/>
      <w:lvlText w:val="%1"/>
      <w:numFmt w:val="lowerLetter"/>
      <w:start w:val="1"/>
    </w:lvl>
    <w:lvl w:ilvl="1">
      <w:lvlJc w:val="left"/>
      <w:lvlText w:val="(%2)"/>
      <w:numFmt w:val="lowerLetter"/>
      <w:start w:val="61"/>
    </w:lvl>
  </w:abstractNum>
  <w:abstractNum w:abstractNumId="9">
    <w:nsid w:val="189A769B"/>
    <w:multiLevelType w:val="hybridMultilevel"/>
    <w:lvl w:ilvl="0">
      <w:lvlJc w:val="left"/>
      <w:lvlText w:val="(%1)"/>
      <w:numFmt w:val="lowerLetter"/>
      <w:start w:val="5"/>
    </w:lvl>
    <w:lvl w:ilvl="1">
      <w:lvlJc w:val="left"/>
      <w:lvlText w:val="%2"/>
      <w:numFmt w:val="lowerLetter"/>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decimal"/>
      <w:start w:val="13"/>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2"/>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1)"/>
      <w:numFmt w:val="lowerLetter"/>
      <w:start w:val="4"/>
    </w:lvl>
  </w:abstractNum>
  <w:abstractNum w:abstractNumId="18">
    <w:nsid w:val="7C3DBD3D"/>
    <w:multiLevelType w:val="hybridMultilevel"/>
    <w:lvl w:ilvl="0">
      <w:lvlJc w:val="left"/>
      <w:lvlText w:val="%1"/>
      <w:numFmt w:val="decimal"/>
      <w:start w:val="1"/>
    </w:lvl>
    <w:lvl w:ilvl="1">
      <w:lvlJc w:val="left"/>
      <w:lvlText w:val="(%2)"/>
      <w:numFmt w:val="lowerLetter"/>
      <w:start w:val="5"/>
    </w:lvl>
  </w:abstractNum>
  <w:abstractNum w:abstractNumId="19">
    <w:nsid w:val="737B8DDC"/>
    <w:multiLevelType w:val="hybridMultilevel"/>
    <w:lvl w:ilvl="0">
      <w:lvlJc w:val="left"/>
      <w:lvlText w:val="(%1)"/>
      <w:numFmt w:val="decimal"/>
      <w:start w:val="12"/>
    </w:lvl>
    <w:lvl w:ilvl="1">
      <w:lvlJc w:val="left"/>
      <w:lvlText w:val="%2"/>
      <w:numFmt w:val="lowerLetter"/>
      <w:start w:val="1"/>
    </w:lvl>
  </w:abstractNum>
  <w:abstractNum w:abstractNumId="20">
    <w:nsid w:val="6CEAF087"/>
    <w:multiLevelType w:val="hybridMultilevel"/>
    <w:lvl w:ilvl="0">
      <w:lvlJc w:val="left"/>
      <w:lvlText w:val="(%1)"/>
      <w:numFmt w:val="lowerLetter"/>
      <w:start w:val="6"/>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2"/>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4"/>
    </w:lvl>
  </w:abstractNum>
  <w:abstractNum w:abstractNumId="25">
    <w:nsid w:val="419AC241"/>
    <w:multiLevelType w:val="hybridMultilevel"/>
    <w:lvl w:ilvl="0">
      <w:lvlJc w:val="left"/>
      <w:lvlText w:val="%1."/>
      <w:numFmt w:val="decimal"/>
      <w:start w:val="5"/>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decimal"/>
      <w:start w:val="6"/>
    </w:lvl>
  </w:abstractNum>
  <w:abstractNum w:abstractNumId="28">
    <w:nsid w:val="5072367"/>
    <w:multiLevelType w:val="hybridMultilevel"/>
    <w:lvl w:ilvl="0">
      <w:lvlJc w:val="left"/>
      <w:lvlText w:val="%1."/>
      <w:numFmt w:val="decimal"/>
      <w:start w:val="7"/>
    </w:lvl>
  </w:abstractNum>
  <w:abstractNum w:abstractNumId="29">
    <w:nsid w:val="3804823E"/>
    <w:multiLevelType w:val="hybridMultilevel"/>
    <w:lvl w:ilvl="0">
      <w:lvlJc w:val="left"/>
      <w:lvlText w:val="%1."/>
      <w:numFmt w:val="decimal"/>
      <w:start w:val="8"/>
    </w:lvl>
  </w:abstractNum>
  <w:abstractNum w:abstractNumId="30">
    <w:nsid w:val="77465F01"/>
    <w:multiLevelType w:val="hybridMultilevel"/>
    <w:lvl w:ilvl="0">
      <w:lvlJc w:val="left"/>
      <w:lvlText w:val="%1."/>
      <w:numFmt w:val="decimal"/>
      <w:start w:val="9"/>
    </w:lvl>
  </w:abstractNum>
  <w:abstractNum w:abstractNumId="31">
    <w:nsid w:val="7724C67E"/>
    <w:multiLevelType w:val="hybridMultilevel"/>
    <w:lvl w:ilvl="0">
      <w:lvlJc w:val="left"/>
      <w:lvlText w:val="%1."/>
      <w:numFmt w:val="decimal"/>
      <w:start w:val="10"/>
    </w:lvl>
  </w:abstractNum>
  <w:abstractNum w:abstractNumId="32">
    <w:nsid w:val="5C482A97"/>
    <w:multiLevelType w:val="hybridMultilevel"/>
    <w:lvl w:ilvl="0">
      <w:lvlJc w:val="left"/>
      <w:lvlText w:val="%1."/>
      <w:numFmt w:val="decimal"/>
      <w:start w:val="11"/>
    </w:lvl>
  </w:abstractNum>
  <w:abstractNum w:abstractNumId="33">
    <w:nsid w:val="2463B9EA"/>
    <w:multiLevelType w:val="hybridMultilevel"/>
    <w:lvl w:ilvl="0">
      <w:lvlJc w:val="left"/>
      <w:lvlText w:val="%1."/>
      <w:numFmt w:val="decimal"/>
      <w:start w:val="12"/>
    </w:lvl>
  </w:abstractNum>
  <w:abstractNum w:abstractNumId="34">
    <w:nsid w:val="5E884ADC"/>
    <w:multiLevelType w:val="hybridMultilevel"/>
    <w:lvl w:ilvl="0">
      <w:lvlJc w:val="left"/>
      <w:lvlText w:val="%1."/>
      <w:numFmt w:val="decimal"/>
      <w:start w:val="13"/>
    </w:lvl>
  </w:abstractNum>
  <w:abstractNum w:abstractNumId="35">
    <w:nsid w:val="51EAD36B"/>
    <w:multiLevelType w:val="hybridMultilevel"/>
    <w:lvl w:ilvl="0">
      <w:lvlJc w:val="left"/>
      <w:lvlText w:val="(%1)"/>
      <w:numFmt w:val="lowerRoman"/>
      <w:start w:val="6"/>
    </w:lvl>
  </w:abstractNum>
  <w:abstractNum w:abstractNumId="36">
    <w:nsid w:val="2D517796"/>
    <w:multiLevelType w:val="hybridMultilevel"/>
    <w:lvl w:ilvl="0">
      <w:lvlJc w:val="left"/>
      <w:lvlText w:val="(%1)"/>
      <w:numFmt w:val="lowerRoman"/>
      <w:start w:val="12"/>
    </w:lvl>
  </w:abstractNum>
  <w:abstractNum w:abstractNumId="37">
    <w:nsid w:val="580BD78F"/>
    <w:multiLevelType w:val="hybridMultilevel"/>
    <w:lvl w:ilvl="0">
      <w:lvlJc w:val="left"/>
      <w:lvlText w:val="%1."/>
      <w:numFmt w:val="decimal"/>
      <w:start w:val="14"/>
    </w:lvl>
  </w:abstractNum>
  <w:abstractNum w:abstractNumId="38">
    <w:nsid w:val="153EA438"/>
    <w:multiLevelType w:val="hybridMultilevel"/>
    <w:lvl w:ilvl="0">
      <w:lvlJc w:val="left"/>
      <w:lvlText w:val="(%1)"/>
      <w:numFmt w:val="lowerRoman"/>
      <w:start w:val="5"/>
    </w:lvl>
  </w:abstractNum>
  <w:abstractNum w:abstractNumId="39">
    <w:nsid w:val="3855585C"/>
    <w:multiLevelType w:val="hybridMultilevel"/>
    <w:lvl w:ilvl="0">
      <w:lvlJc w:val="left"/>
      <w:lvlText w:val="%1."/>
      <w:numFmt w:val="decimal"/>
      <w:start w:val="15"/>
    </w:lvl>
  </w:abstractNum>
  <w:abstractNum w:abstractNumId="40">
    <w:nsid w:val="70A64E2A"/>
    <w:multiLevelType w:val="hybridMultilevel"/>
    <w:lvl w:ilvl="0">
      <w:lvlJc w:val="left"/>
      <w:lvlText w:val="%1."/>
      <w:numFmt w:val="decimal"/>
      <w:start w:val="16"/>
    </w:lvl>
  </w:abstractNum>
  <w:abstractNum w:abstractNumId="41">
    <w:nsid w:val="6A2342EC"/>
    <w:multiLevelType w:val="hybridMultilevel"/>
    <w:lvl w:ilvl="0">
      <w:lvlJc w:val="left"/>
      <w:lvlText w:val="%1."/>
      <w:numFmt w:val="decimal"/>
      <w:start w:val="17"/>
    </w:lvl>
  </w:abstractNum>
  <w:abstractNum w:abstractNumId="42">
    <w:nsid w:val="2A487CB0"/>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2026-06-26T17:40:40Z</dcterms:created>
  <dcterms:modified xsi:type="dcterms:W3CDTF">2026-06-26T17:40:40Z</dcterms:modified>
</cp:coreProperties>
</file>