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396875</wp:posOffset>
            </wp:positionV>
            <wp:extent cx="67964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6405" cy="825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421640</wp:posOffset>
            </wp:positionV>
            <wp:extent cx="67964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64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0" w:lineRule="exact"/>
        <w:rPr>
          <w:sz w:val="24"/>
          <w:szCs w:val="24"/>
          <w:color w:val="auto"/>
        </w:rPr>
      </w:pPr>
    </w:p>
    <w:p>
      <w:pPr>
        <w:ind w:left="360" w:hanging="337"/>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5" w:lineRule="exact"/>
        <w:rPr>
          <w:sz w:val="24"/>
          <w:szCs w:val="24"/>
          <w:color w:val="auto"/>
        </w:rPr>
      </w:pPr>
    </w:p>
    <w:p>
      <w:pPr>
        <w:ind w:left="340" w:hanging="317"/>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374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 the transition period from</w:t>
            </w:r>
          </w:p>
        </w:tc>
        <w:tc>
          <w:tcPr>
            <w:tcW w:w="70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tcBorders>
              <w:bottom w:val="single" w:sz="8" w:color="auto"/>
            </w:tcBorders>
          </w:tcPr>
          <w:p>
            <w:pPr>
              <w:spacing w:after="0"/>
              <w:rPr>
                <w:sz w:val="17"/>
                <w:szCs w:val="17"/>
                <w:color w:val="auto"/>
              </w:rPr>
            </w:pPr>
          </w:p>
        </w:tc>
      </w:tr>
      <w:tr>
        <w:trPr>
          <w:trHeight w:val="282"/>
        </w:trPr>
        <w:tc>
          <w:tcPr>
            <w:tcW w:w="37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Commission File Number: 000-23593</w:t>
            </w:r>
          </w:p>
        </w:tc>
      </w:tr>
    </w:tbl>
    <w:p>
      <w:pPr>
        <w:spacing w:after="0" w:line="13" w:lineRule="exact"/>
        <w:rPr>
          <w:sz w:val="24"/>
          <w:szCs w:val="24"/>
          <w:color w:val="auto"/>
        </w:rPr>
      </w:pPr>
    </w:p>
    <w:tbl>
      <w:tblPr>
        <w:tblLayout w:type="fixed"/>
        <w:tblInd w:w="1400" w:type="dxa"/>
        <w:tblCellMar>
          <w:top w:w="0" w:type="dxa"/>
          <w:left w:w="0" w:type="dxa"/>
          <w:bottom w:w="0" w:type="dxa"/>
          <w:right w:w="0" w:type="dxa"/>
        </w:tblCellMar>
      </w:tblPr>
      <w:tr>
        <w:trPr>
          <w:trHeight w:val="477"/>
        </w:trPr>
        <w:tc>
          <w:tcPr>
            <w:tcW w:w="2500" w:type="dxa"/>
            <w:vAlign w:val="bottom"/>
          </w:tcPr>
          <w:p>
            <w:pPr>
              <w:spacing w:after="0"/>
              <w:rPr>
                <w:sz w:val="24"/>
                <w:szCs w:val="24"/>
                <w:color w:val="auto"/>
              </w:rPr>
            </w:pPr>
          </w:p>
        </w:tc>
        <w:tc>
          <w:tcPr>
            <w:tcW w:w="5480" w:type="dxa"/>
            <w:vAlign w:val="bottom"/>
          </w:tcPr>
          <w:p>
            <w:pPr>
              <w:jc w:val="center"/>
              <w:ind w:right="1927"/>
              <w:spacing w:after="0"/>
              <w:rPr>
                <w:sz w:val="20"/>
                <w:szCs w:val="20"/>
                <w:color w:val="auto"/>
              </w:rPr>
            </w:pPr>
            <w:r>
              <w:rPr>
                <w:rFonts w:ascii="Times New Roman" w:cs="Times New Roman" w:eastAsia="Times New Roman" w:hAnsi="Times New Roman"/>
                <w:sz w:val="39"/>
                <w:szCs w:val="39"/>
                <w:b w:val="1"/>
                <w:bCs w:val="1"/>
                <w:color w:val="auto"/>
                <w:w w:val="98"/>
              </w:rPr>
              <w:t>VERISIGN, INC.</w:t>
            </w:r>
          </w:p>
        </w:tc>
      </w:tr>
      <w:tr>
        <w:trPr>
          <w:trHeight w:val="185"/>
        </w:trPr>
        <w:tc>
          <w:tcPr>
            <w:tcW w:w="2500" w:type="dxa"/>
            <w:vAlign w:val="bottom"/>
          </w:tcPr>
          <w:p>
            <w:pPr>
              <w:spacing w:after="0"/>
              <w:rPr>
                <w:sz w:val="16"/>
                <w:szCs w:val="16"/>
                <w:color w:val="auto"/>
              </w:rPr>
            </w:pPr>
          </w:p>
        </w:tc>
        <w:tc>
          <w:tcPr>
            <w:tcW w:w="5480" w:type="dxa"/>
            <w:vAlign w:val="bottom"/>
          </w:tcPr>
          <w:p>
            <w:pPr>
              <w:jc w:val="center"/>
              <w:ind w:right="1927"/>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41"/>
        </w:trPr>
        <w:tc>
          <w:tcPr>
            <w:tcW w:w="250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480" w:type="dxa"/>
            <w:vAlign w:val="bottom"/>
          </w:tcPr>
          <w:p>
            <w:pPr>
              <w:jc w:val="right"/>
              <w:ind w:right="47"/>
              <w:spacing w:after="0"/>
              <w:rPr>
                <w:sz w:val="20"/>
                <w:szCs w:val="20"/>
                <w:color w:val="auto"/>
              </w:rPr>
            </w:pPr>
            <w:r>
              <w:rPr>
                <w:rFonts w:ascii="Times New Roman" w:cs="Times New Roman" w:eastAsia="Times New Roman" w:hAnsi="Times New Roman"/>
                <w:sz w:val="18"/>
                <w:szCs w:val="18"/>
                <w:b w:val="1"/>
                <w:bCs w:val="1"/>
                <w:color w:val="auto"/>
              </w:rPr>
              <w:t>94-3221585</w:t>
            </w:r>
          </w:p>
        </w:tc>
      </w:tr>
      <w:tr>
        <w:trPr>
          <w:trHeight w:val="143"/>
        </w:trPr>
        <w:tc>
          <w:tcPr>
            <w:tcW w:w="2500" w:type="dxa"/>
            <w:vAlign w:val="bottom"/>
          </w:tcPr>
          <w:p>
            <w:pPr>
              <w:jc w:val="center"/>
              <w:ind w:right="101"/>
              <w:spacing w:after="0" w:line="143"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80" w:type="dxa"/>
            <w:vAlign w:val="bottom"/>
          </w:tcPr>
          <w:p>
            <w:pPr>
              <w:jc w:val="center"/>
              <w:ind w:left="4267"/>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80" w:type="dxa"/>
            <w:vAlign w:val="bottom"/>
          </w:tcPr>
          <w:p>
            <w:pPr>
              <w:jc w:val="center"/>
              <w:ind w:left="428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2"/>
        </w:trPr>
        <w:tc>
          <w:tcPr>
            <w:tcW w:w="2500" w:type="dxa"/>
            <w:vAlign w:val="bottom"/>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6"/>
              </w:rPr>
              <w:t>12061 Bluemont Way,</w:t>
            </w:r>
          </w:p>
        </w:tc>
        <w:tc>
          <w:tcPr>
            <w:tcW w:w="5480" w:type="dxa"/>
            <w:vAlign w:val="bottom"/>
          </w:tcPr>
          <w:p>
            <w:pPr>
              <w:spacing w:after="0"/>
              <w:rPr>
                <w:sz w:val="24"/>
                <w:szCs w:val="24"/>
                <w:color w:val="auto"/>
              </w:rPr>
            </w:pPr>
          </w:p>
        </w:tc>
      </w:tr>
      <w:tr>
        <w:trPr>
          <w:trHeight w:val="220"/>
        </w:trPr>
        <w:tc>
          <w:tcPr>
            <w:tcW w:w="250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6"/>
              </w:rPr>
              <w:t>Reston, Virginia</w:t>
            </w:r>
          </w:p>
        </w:tc>
        <w:tc>
          <w:tcPr>
            <w:tcW w:w="5480" w:type="dxa"/>
            <w:vAlign w:val="bottom"/>
          </w:tcPr>
          <w:p>
            <w:pPr>
              <w:jc w:val="right"/>
              <w:ind w:right="247"/>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85"/>
        </w:trPr>
        <w:tc>
          <w:tcPr>
            <w:tcW w:w="25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80" w:type="dxa"/>
            <w:vAlign w:val="bottom"/>
          </w:tcPr>
          <w:p>
            <w:pPr>
              <w:jc w:val="center"/>
              <w:ind w:left="4267"/>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948-3200</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color w:val="auto"/>
                <w:w w:val="98"/>
              </w:rPr>
              <w:t>Securities registered pursuant to Section 12(b) of the Act:</w:t>
            </w:r>
          </w:p>
        </w:tc>
        <w:tc>
          <w:tcPr>
            <w:tcW w:w="1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81"/>
        </w:trPr>
        <w:tc>
          <w:tcPr>
            <w:tcW w:w="1240" w:type="dxa"/>
            <w:vAlign w:val="bottom"/>
          </w:tcPr>
          <w:p>
            <w:pPr>
              <w:spacing w:after="0"/>
              <w:rPr>
                <w:sz w:val="24"/>
                <w:szCs w:val="24"/>
                <w:color w:val="auto"/>
              </w:rPr>
            </w:pPr>
          </w:p>
        </w:tc>
        <w:tc>
          <w:tcPr>
            <w:tcW w:w="3360" w:type="dxa"/>
            <w:vAlign w:val="bottom"/>
            <w:gridSpan w:val="2"/>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940" w:type="dxa"/>
            <w:vAlign w:val="bottom"/>
            <w:gridSpan w:val="2"/>
          </w:tcPr>
          <w:p>
            <w:pPr>
              <w:jc w:val="center"/>
              <w:ind w:right="168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25"/>
        </w:trPr>
        <w:tc>
          <w:tcPr>
            <w:tcW w:w="4600" w:type="dxa"/>
            <w:vAlign w:val="bottom"/>
            <w:gridSpan w:val="3"/>
          </w:tcPr>
          <w:p>
            <w:pPr>
              <w:jc w:val="center"/>
              <w:ind w:right="940"/>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2940" w:type="dxa"/>
            <w:vAlign w:val="bottom"/>
            <w:gridSpan w:val="2"/>
          </w:tcPr>
          <w:p>
            <w:pPr>
              <w:jc w:val="center"/>
              <w:ind w:right="1680"/>
              <w:spacing w:after="0"/>
              <w:rPr>
                <w:sz w:val="20"/>
                <w:szCs w:val="20"/>
                <w:color w:val="auto"/>
              </w:rPr>
            </w:pPr>
            <w:r>
              <w:rPr>
                <w:rFonts w:ascii="Times New Roman" w:cs="Times New Roman" w:eastAsia="Times New Roman" w:hAnsi="Times New Roman"/>
                <w:sz w:val="16"/>
                <w:szCs w:val="16"/>
                <w:color w:val="auto"/>
                <w:w w:val="98"/>
              </w:rPr>
              <w:t>VRSN</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r>
    </w:tbl>
    <w:p>
      <w:pPr>
        <w:spacing w:after="0" w:line="78" w:lineRule="exact"/>
        <w:rPr>
          <w:sz w:val="24"/>
          <w:szCs w:val="24"/>
          <w:color w:val="auto"/>
        </w:rPr>
      </w:pPr>
    </w:p>
    <w:p>
      <w:pPr>
        <w:ind w:right="140" w:firstLine="434"/>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200" w:firstLine="434"/>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600" w:val="left"/>
          <w:tab w:leader="none" w:pos="128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160"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6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line="207" w:lineRule="exact"/>
        <w:tabs>
          <w:tab w:leader="none" w:pos="8640" w:val="left"/>
          <w:tab w:leader="none" w:pos="9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820" w:type="dxa"/>
            <w:vAlign w:val="bottom"/>
          </w:tcPr>
          <w:p>
            <w:pPr>
              <w:spacing w:after="0"/>
              <w:rPr>
                <w:sz w:val="13"/>
                <w:szCs w:val="13"/>
                <w:color w:val="auto"/>
              </w:rPr>
            </w:pPr>
          </w:p>
        </w:tc>
        <w:tc>
          <w:tcPr>
            <w:tcW w:w="57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Shares Outstanding as of October 18, 2024</w:t>
            </w:r>
          </w:p>
        </w:tc>
      </w:tr>
      <w:tr>
        <w:trPr>
          <w:trHeight w:val="20"/>
        </w:trPr>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120" w:type="dxa"/>
            <w:vAlign w:val="bottom"/>
          </w:tcPr>
          <w:p>
            <w:pPr>
              <w:spacing w:after="0"/>
              <w:rPr>
                <w:sz w:val="22"/>
                <w:szCs w:val="22"/>
                <w:color w:val="auto"/>
              </w:rPr>
            </w:pPr>
          </w:p>
        </w:tc>
        <w:tc>
          <w:tcPr>
            <w:tcW w:w="54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7"/>
              </w:rPr>
              <w:t>Common stock, $0.001 par value per share</w:t>
            </w:r>
          </w:p>
        </w:tc>
        <w:tc>
          <w:tcPr>
            <w:tcW w:w="1480" w:type="dxa"/>
            <w:vAlign w:val="bottom"/>
          </w:tcPr>
          <w:p>
            <w:pPr>
              <w:spacing w:after="0"/>
              <w:rPr>
                <w:sz w:val="22"/>
                <w:szCs w:val="22"/>
                <w:color w:val="auto"/>
              </w:rPr>
            </w:pPr>
          </w:p>
        </w:tc>
        <w:tc>
          <w:tcPr>
            <w:tcW w:w="422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7"/>
              </w:rPr>
              <w:t>96.1 million</w:t>
            </w:r>
          </w:p>
        </w:tc>
      </w:tr>
      <w:tr>
        <w:trPr>
          <w:trHeight w:val="132"/>
        </w:trPr>
        <w:tc>
          <w:tcPr>
            <w:tcW w:w="12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1"/>
        </w:trPr>
        <w:tc>
          <w:tcPr>
            <w:tcW w:w="1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100" w:type="dxa"/>
            <w:vAlign w:val="bottom"/>
            <w:vMerge w:val="restart"/>
          </w:tcPr>
          <w:p>
            <w:pPr>
              <w:spacing w:after="0"/>
              <w:rPr>
                <w:sz w:val="2"/>
                <w:szCs w:val="2"/>
                <w:color w:val="auto"/>
              </w:rPr>
            </w:pPr>
          </w:p>
        </w:tc>
        <w:tc>
          <w:tcPr>
            <w:tcW w:w="30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I—FINANCIAL INFORMATION</w:t>
            </w:r>
          </w:p>
        </w:tc>
        <w:tc>
          <w:tcPr>
            <w:tcW w:w="2840" w:type="dxa"/>
            <w:vAlign w:val="bottom"/>
            <w:gridSpan w:val="6"/>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80" w:type="dxa"/>
            <w:vAlign w:val="bottom"/>
            <w:tcBorders>
              <w:bottom w:val="single" w:sz="8" w:color="0000FF"/>
            </w:tcBorders>
            <w:gridSpan w:val="5"/>
            <w:vMerge w:val="continue"/>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1.</w:t>
            </w:r>
          </w:p>
        </w:tc>
        <w:tc>
          <w:tcPr>
            <w:tcW w:w="460" w:type="dxa"/>
            <w:vAlign w:val="bottom"/>
            <w:gridSpan w:val="3"/>
          </w:tcPr>
          <w:p>
            <w:pPr>
              <w:spacing w:after="0"/>
              <w:rPr>
                <w:sz w:val="17"/>
                <w:szCs w:val="17"/>
                <w:color w:val="auto"/>
              </w:rPr>
            </w:pPr>
          </w:p>
        </w:tc>
        <w:tc>
          <w:tcPr>
            <w:tcW w:w="8960" w:type="dxa"/>
            <w:vAlign w:val="bottom"/>
            <w:gridSpan w:val="21"/>
          </w:tcPr>
          <w:p>
            <w:pPr>
              <w:ind w:left="220"/>
              <w:spacing w:after="0" w:line="204" w:lineRule="exact"/>
              <w:rPr>
                <w:sz w:val="20"/>
                <w:szCs w:val="20"/>
                <w:color w:val="auto"/>
              </w:rPr>
            </w:pPr>
            <w:r>
              <w:rPr>
                <w:rFonts w:ascii="Times New Roman" w:cs="Times New Roman" w:eastAsia="Times New Roman" w:hAnsi="Times New Roman"/>
                <w:sz w:val="18"/>
                <w:szCs w:val="18"/>
                <w:color w:val="0000FF"/>
              </w:rPr>
              <w:t>Financial Statements</w:t>
            </w:r>
          </w:p>
        </w:tc>
        <w:tc>
          <w:tcPr>
            <w:tcW w:w="13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4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13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4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w:t>
            </w:r>
          </w:p>
        </w:tc>
        <w:tc>
          <w:tcPr>
            <w:tcW w:w="13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5"/>
                <w:szCs w:val="15"/>
                <w:color w:val="0000FF"/>
              </w:rPr>
              <w:t>2024 and 2023</w:t>
            </w:r>
          </w:p>
        </w:tc>
        <w:tc>
          <w:tcPr>
            <w:tcW w:w="7180" w:type="dxa"/>
            <w:vAlign w:val="bottom"/>
            <w:tcBorders>
              <w:top w:val="single" w:sz="8" w:color="0000FF"/>
            </w:tcBorders>
            <w:gridSpan w:val="13"/>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Stockholders’ Deficit for the Three and Nine Months Ended September 30, 2024</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40" w:type="dxa"/>
            <w:vAlign w:val="bottom"/>
            <w:gridSpan w:val="19"/>
            <w:vMerge w:val="continue"/>
          </w:tcPr>
          <w:p>
            <w:pPr>
              <w:spacing w:after="0"/>
              <w:rPr>
                <w:sz w:val="17"/>
                <w:szCs w:val="17"/>
                <w:color w:val="auto"/>
              </w:rPr>
            </w:pPr>
          </w:p>
        </w:tc>
        <w:tc>
          <w:tcPr>
            <w:tcW w:w="13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0000FF"/>
            </w:tcBorders>
            <w:gridSpan w:val="3"/>
          </w:tcPr>
          <w:p>
            <w:pPr>
              <w:spacing w:after="0" w:line="138" w:lineRule="exact"/>
              <w:rPr>
                <w:sz w:val="20"/>
                <w:szCs w:val="20"/>
                <w:color w:val="auto"/>
              </w:rPr>
            </w:pPr>
            <w:r>
              <w:rPr>
                <w:rFonts w:ascii="Times New Roman" w:cs="Times New Roman" w:eastAsia="Times New Roman" w:hAnsi="Times New Roman"/>
                <w:sz w:val="15"/>
                <w:szCs w:val="15"/>
                <w:color w:val="0000FF"/>
              </w:rPr>
              <w:t>and 2023</w:t>
            </w:r>
          </w:p>
        </w:tc>
        <w:tc>
          <w:tcPr>
            <w:tcW w:w="7780" w:type="dxa"/>
            <w:vAlign w:val="bottom"/>
            <w:tcBorders>
              <w:top w:val="single" w:sz="8" w:color="0000FF"/>
            </w:tcBorders>
            <w:gridSpan w:val="15"/>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0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82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 for the Nine Months Ended September 30, 2024 and 2023</w:t>
            </w:r>
          </w:p>
        </w:tc>
        <w:tc>
          <w:tcPr>
            <w:tcW w:w="820" w:type="dxa"/>
            <w:vAlign w:val="bottom"/>
            <w:gridSpan w:val="3"/>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20" w:type="dxa"/>
            <w:vAlign w:val="bottom"/>
            <w:gridSpan w:val="3"/>
          </w:tcPr>
          <w:p>
            <w:pPr>
              <w:spacing w:after="0"/>
              <w:rPr>
                <w:sz w:val="17"/>
                <w:szCs w:val="17"/>
                <w:color w:val="auto"/>
              </w:rPr>
            </w:pPr>
          </w:p>
        </w:tc>
        <w:tc>
          <w:tcPr>
            <w:tcW w:w="13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2.</w:t>
            </w:r>
          </w:p>
        </w:tc>
        <w:tc>
          <w:tcPr>
            <w:tcW w:w="460" w:type="dxa"/>
            <w:vAlign w:val="bottom"/>
            <w:gridSpan w:val="3"/>
          </w:tcPr>
          <w:p>
            <w:pPr>
              <w:spacing w:after="0"/>
              <w:rPr>
                <w:sz w:val="17"/>
                <w:szCs w:val="17"/>
                <w:color w:val="auto"/>
              </w:rPr>
            </w:pPr>
          </w:p>
        </w:tc>
        <w:tc>
          <w:tcPr>
            <w:tcW w:w="8960" w:type="dxa"/>
            <w:vAlign w:val="bottom"/>
            <w:gridSpan w:val="21"/>
          </w:tcPr>
          <w:p>
            <w:pPr>
              <w:ind w:left="220"/>
              <w:spacing w:after="0" w:line="20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3.</w:t>
            </w:r>
          </w:p>
        </w:tc>
        <w:tc>
          <w:tcPr>
            <w:tcW w:w="460" w:type="dxa"/>
            <w:vAlign w:val="bottom"/>
            <w:gridSpan w:val="3"/>
          </w:tcPr>
          <w:p>
            <w:pPr>
              <w:spacing w:after="0"/>
              <w:rPr>
                <w:sz w:val="17"/>
                <w:szCs w:val="17"/>
                <w:color w:val="auto"/>
              </w:rPr>
            </w:pPr>
          </w:p>
        </w:tc>
        <w:tc>
          <w:tcPr>
            <w:tcW w:w="8960" w:type="dxa"/>
            <w:vAlign w:val="bottom"/>
            <w:gridSpan w:val="21"/>
          </w:tcPr>
          <w:p>
            <w:pPr>
              <w:ind w:left="220"/>
              <w:spacing w:after="0" w:line="20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4.</w:t>
            </w:r>
          </w:p>
        </w:tc>
        <w:tc>
          <w:tcPr>
            <w:tcW w:w="460" w:type="dxa"/>
            <w:vAlign w:val="bottom"/>
            <w:gridSpan w:val="3"/>
          </w:tcPr>
          <w:p>
            <w:pPr>
              <w:spacing w:after="0"/>
              <w:rPr>
                <w:sz w:val="17"/>
                <w:szCs w:val="17"/>
                <w:color w:val="auto"/>
              </w:rPr>
            </w:pPr>
          </w:p>
        </w:tc>
        <w:tc>
          <w:tcPr>
            <w:tcW w:w="8960" w:type="dxa"/>
            <w:vAlign w:val="bottom"/>
            <w:gridSpan w:val="21"/>
          </w:tcPr>
          <w:p>
            <w:pPr>
              <w:ind w:left="220"/>
              <w:spacing w:after="0" w:line="204" w:lineRule="exact"/>
              <w:rPr>
                <w:sz w:val="20"/>
                <w:szCs w:val="20"/>
                <w:color w:val="auto"/>
              </w:rPr>
            </w:pPr>
            <w:r>
              <w:rPr>
                <w:rFonts w:ascii="Times New Roman" w:cs="Times New Roman" w:eastAsia="Times New Roman" w:hAnsi="Times New Roman"/>
                <w:sz w:val="18"/>
                <w:szCs w:val="18"/>
                <w:color w:val="0000FF"/>
              </w:rPr>
              <w:t>Controls and Procedures</w:t>
            </w:r>
          </w:p>
        </w:tc>
        <w:tc>
          <w:tcPr>
            <w:tcW w:w="1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80" w:type="dxa"/>
            <w:vAlign w:val="bottom"/>
            <w:gridSpan w:val="10"/>
          </w:tcPr>
          <w:p>
            <w:pPr>
              <w:jc w:val="center"/>
              <w:ind w:right="2980"/>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PART II—OTHER INFORMATION</w:t>
            </w:r>
          </w:p>
        </w:tc>
        <w:tc>
          <w:tcPr>
            <w:tcW w:w="1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1.</w:t>
            </w:r>
          </w:p>
        </w:tc>
        <w:tc>
          <w:tcPr>
            <w:tcW w:w="460" w:type="dxa"/>
            <w:vAlign w:val="bottom"/>
            <w:gridSpan w:val="3"/>
          </w:tcPr>
          <w:p>
            <w:pPr>
              <w:spacing w:after="0"/>
              <w:rPr>
                <w:sz w:val="17"/>
                <w:szCs w:val="17"/>
                <w:color w:val="auto"/>
              </w:rPr>
            </w:pPr>
          </w:p>
        </w:tc>
        <w:tc>
          <w:tcPr>
            <w:tcW w:w="3180" w:type="dxa"/>
            <w:vAlign w:val="bottom"/>
            <w:gridSpan w:val="11"/>
          </w:tcPr>
          <w:p>
            <w:pPr>
              <w:ind w:left="220"/>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2780" w:type="dxa"/>
            <w:vAlign w:val="bottom"/>
            <w:tcBorders>
              <w:top w:val="single" w:sz="8" w:color="0000FF"/>
            </w:tcBorders>
            <w:gridSpan w:val="3"/>
          </w:tcPr>
          <w:p>
            <w:pPr>
              <w:spacing w:after="0"/>
              <w:rPr>
                <w:sz w:val="17"/>
                <w:szCs w:val="17"/>
                <w:color w:val="auto"/>
              </w:rPr>
            </w:pPr>
          </w:p>
        </w:tc>
        <w:tc>
          <w:tcPr>
            <w:tcW w:w="3000" w:type="dxa"/>
            <w:vAlign w:val="bottom"/>
            <w:gridSpan w:val="7"/>
          </w:tcPr>
          <w:p>
            <w:pPr>
              <w:spacing w:after="0"/>
              <w:rPr>
                <w:sz w:val="17"/>
                <w:szCs w:val="17"/>
                <w:color w:val="auto"/>
              </w:rPr>
            </w:pPr>
          </w:p>
        </w:tc>
        <w:tc>
          <w:tcPr>
            <w:tcW w:w="1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960" w:type="dxa"/>
            <w:vAlign w:val="bottom"/>
            <w:tcBorders>
              <w:left w:val="single" w:sz="8" w:color="0000FF"/>
            </w:tcBorders>
            <w:gridSpan w:val="6"/>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rPr>
              <w:t>Item 1A.</w:t>
            </w:r>
          </w:p>
        </w:tc>
        <w:tc>
          <w:tcPr>
            <w:tcW w:w="8960" w:type="dxa"/>
            <w:vAlign w:val="bottom"/>
            <w:gridSpan w:val="21"/>
          </w:tcPr>
          <w:p>
            <w:pPr>
              <w:ind w:left="220"/>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1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8960" w:type="dxa"/>
            <w:vAlign w:val="bottom"/>
            <w:gridSpan w:val="21"/>
          </w:tcPr>
          <w:p>
            <w:pPr>
              <w:ind w:left="220"/>
              <w:spacing w:after="0" w:line="204"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960" w:type="dxa"/>
            <w:vAlign w:val="bottom"/>
            <w:tcBorders>
              <w:left w:val="single" w:sz="8" w:color="0000FF"/>
            </w:tcBorders>
            <w:gridSpan w:val="6"/>
            <w:shd w:val="clear" w:color="auto" w:fill="0000FF"/>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5.</w:t>
            </w:r>
          </w:p>
        </w:tc>
        <w:tc>
          <w:tcPr>
            <w:tcW w:w="460" w:type="dxa"/>
            <w:vAlign w:val="bottom"/>
            <w:gridSpan w:val="3"/>
          </w:tcPr>
          <w:p>
            <w:pPr>
              <w:spacing w:after="0"/>
              <w:rPr>
                <w:sz w:val="17"/>
                <w:szCs w:val="17"/>
                <w:color w:val="auto"/>
              </w:rPr>
            </w:pPr>
          </w:p>
        </w:tc>
        <w:tc>
          <w:tcPr>
            <w:tcW w:w="8960" w:type="dxa"/>
            <w:vAlign w:val="bottom"/>
            <w:gridSpan w:val="21"/>
          </w:tcPr>
          <w:p>
            <w:pPr>
              <w:ind w:left="220"/>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1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460" w:type="dxa"/>
            <w:vAlign w:val="bottom"/>
            <w:gridSpan w:val="1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6.</w:t>
            </w:r>
          </w:p>
        </w:tc>
        <w:tc>
          <w:tcPr>
            <w:tcW w:w="460" w:type="dxa"/>
            <w:vAlign w:val="bottom"/>
            <w:gridSpan w:val="3"/>
          </w:tcPr>
          <w:p>
            <w:pPr>
              <w:spacing w:after="0"/>
              <w:rPr>
                <w:sz w:val="17"/>
                <w:szCs w:val="17"/>
                <w:color w:val="auto"/>
              </w:rPr>
            </w:pPr>
          </w:p>
        </w:tc>
        <w:tc>
          <w:tcPr>
            <w:tcW w:w="8960" w:type="dxa"/>
            <w:vAlign w:val="bottom"/>
            <w:gridSpan w:val="21"/>
          </w:tcPr>
          <w:p>
            <w:pPr>
              <w:ind w:left="220"/>
              <w:spacing w:after="0" w:line="204" w:lineRule="exact"/>
              <w:rPr>
                <w:sz w:val="20"/>
                <w:szCs w:val="20"/>
                <w:color w:val="auto"/>
              </w:rPr>
            </w:pPr>
            <w:r>
              <w:rPr>
                <w:rFonts w:ascii="Times New Roman" w:cs="Times New Roman" w:eastAsia="Times New Roman" w:hAnsi="Times New Roman"/>
                <w:sz w:val="18"/>
                <w:szCs w:val="18"/>
                <w:color w:val="0000FF"/>
              </w:rPr>
              <w:t>Exhibits</w:t>
            </w:r>
          </w:p>
        </w:tc>
        <w:tc>
          <w:tcPr>
            <w:tcW w:w="1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gridSpan w:val="14"/>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9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22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4440" w:type="dxa"/>
            <w:vAlign w:val="bottom"/>
            <w:gridSpan w:val="3"/>
            <w:shd w:val="clear" w:color="auto" w:fill="CCEEFF"/>
          </w:tcPr>
          <w:p>
            <w:pPr>
              <w:jc w:val="center"/>
              <w:ind w:right="3800"/>
              <w:spacing w:after="0" w:line="170"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Borders>
              <w:top w:val="single" w:sz="8" w:color="auto"/>
            </w:tcBorders>
          </w:tcPr>
          <w:p>
            <w:pPr>
              <w:spacing w:after="0"/>
              <w:rPr>
                <w:sz w:val="19"/>
                <w:szCs w:val="19"/>
                <w:color w:val="auto"/>
              </w:rPr>
            </w:pPr>
          </w:p>
        </w:tc>
        <w:tc>
          <w:tcPr>
            <w:tcW w:w="3800" w:type="dxa"/>
            <w:vAlign w:val="bottom"/>
            <w:tcBorders>
              <w:top w:val="single" w:sz="8" w:color="CCEEFF"/>
            </w:tcBorders>
            <w:gridSpan w:val="2"/>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24"/>
        </w:trPr>
        <w:tc>
          <w:tcPr>
            <w:tcW w:w="8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0" w:type="dxa"/>
            <w:vAlign w:val="bottom"/>
          </w:tcPr>
          <w:p>
            <w:pPr>
              <w:spacing w:after="0"/>
              <w:rPr>
                <w:sz w:val="1"/>
                <w:szCs w:val="1"/>
                <w:color w:val="auto"/>
              </w:rPr>
            </w:pPr>
          </w:p>
        </w:tc>
      </w:tr>
      <w:tr>
        <w:trPr>
          <w:trHeight w:val="224"/>
        </w:trPr>
        <w:tc>
          <w:tcPr>
            <w:tcW w:w="8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gridSpan w:val="5"/>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0" w:type="dxa"/>
            <w:vAlign w:val="bottom"/>
          </w:tcPr>
          <w:p>
            <w:pPr>
              <w:spacing w:after="0"/>
              <w:rPr>
                <w:sz w:val="1"/>
                <w:szCs w:val="1"/>
                <w:color w:val="auto"/>
              </w:rPr>
            </w:pPr>
          </w:p>
        </w:tc>
      </w:tr>
      <w:tr>
        <w:trPr>
          <w:trHeight w:val="217"/>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24"/>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4"/>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24"/>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Deposits to acquire intangible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4"/>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gridSpan w:val="5"/>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spacing w:after="0" w:line="20" w:lineRule="exact"/>
              <w:rPr>
                <w:sz w:val="1"/>
                <w:szCs w:val="1"/>
                <w:color w:val="auto"/>
              </w:rPr>
            </w:pPr>
          </w:p>
        </w:tc>
        <w:tc>
          <w:tcPr>
            <w:tcW w:w="6040" w:type="dxa"/>
            <w:vAlign w:val="bottom"/>
            <w:tcBorders>
              <w:top w:val="single" w:sz="8" w:color="CCEEFF"/>
              <w:bottom w:val="single" w:sz="8" w:color="CCEEFF"/>
            </w:tcBorders>
            <w:gridSpan w:val="4"/>
            <w:vMerge w:val="restart"/>
          </w:tcPr>
          <w:p>
            <w:pPr>
              <w:jc w:val="center"/>
              <w:ind w:right="2200"/>
              <w:spacing w:after="0" w:line="170" w:lineRule="exact"/>
              <w:rPr>
                <w:sz w:val="20"/>
                <w:szCs w:val="20"/>
                <w:color w:val="auto"/>
              </w:rPr>
            </w:pPr>
            <w:r>
              <w:rPr>
                <w:rFonts w:ascii="Times New Roman" w:cs="Times New Roman" w:eastAsia="Times New Roman" w:hAnsi="Times New Roman"/>
                <w:sz w:val="18"/>
                <w:szCs w:val="18"/>
                <w:b w:val="1"/>
                <w:bCs w:val="1"/>
                <w:color w:val="auto"/>
                <w:w w:val="97"/>
              </w:rPr>
              <w:t>LIABILITIES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220" w:type="dxa"/>
            <w:vAlign w:val="bottom"/>
            <w:vMerge w:val="continue"/>
          </w:tcPr>
          <w:p>
            <w:pPr>
              <w:spacing w:after="0"/>
              <w:rPr>
                <w:sz w:val="12"/>
                <w:szCs w:val="12"/>
                <w:color w:val="auto"/>
              </w:rPr>
            </w:pPr>
          </w:p>
        </w:tc>
        <w:tc>
          <w:tcPr>
            <w:tcW w:w="60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40" w:type="dxa"/>
            <w:vAlign w:val="bottom"/>
            <w:tcBorders>
              <w:top w:val="single" w:sz="8" w:color="auto"/>
            </w:tcBorders>
            <w:gridSpan w:val="3"/>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24"/>
        </w:trPr>
        <w:tc>
          <w:tcPr>
            <w:tcW w:w="8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Current senior notes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26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0" w:type="dxa"/>
            <w:vAlign w:val="bottom"/>
          </w:tcPr>
          <w:p>
            <w:pPr>
              <w:spacing w:after="0"/>
              <w:rPr>
                <w:sz w:val="1"/>
                <w:szCs w:val="1"/>
                <w:color w:val="auto"/>
              </w:rPr>
            </w:pPr>
          </w:p>
        </w:tc>
      </w:tr>
      <w:tr>
        <w:trPr>
          <w:trHeight w:val="217"/>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Long-term deferred revenues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4"/>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senior notes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Long-term tax and 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7"/>
        </w:trPr>
        <w:tc>
          <w:tcPr>
            <w:tcW w:w="826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gridSpan w:val="5"/>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04"/>
        </w:trPr>
        <w:tc>
          <w:tcPr>
            <w:tcW w:w="8260" w:type="dxa"/>
            <w:vAlign w:val="bottom"/>
            <w:gridSpan w:val="5"/>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stock—par value $.001 per share; Authorized shares: 5.0; Issued and outstanding shares: none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8260" w:type="dxa"/>
            <w:vAlign w:val="bottom"/>
            <w:gridSpan w:val="5"/>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stock and additional paid-in capital—par value $.001 per share; Authorized shares: 1,000; Issued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260" w:type="dxa"/>
            <w:vAlign w:val="bottom"/>
            <w:gridSpan w:val="5"/>
          </w:tcPr>
          <w:p>
            <w:pPr>
              <w:ind w:left="340"/>
              <w:spacing w:after="0" w:line="179" w:lineRule="exact"/>
              <w:rPr>
                <w:sz w:val="20"/>
                <w:szCs w:val="20"/>
                <w:color w:val="auto"/>
              </w:rPr>
            </w:pPr>
            <w:r>
              <w:rPr>
                <w:rFonts w:ascii="Times New Roman" w:cs="Times New Roman" w:eastAsia="Times New Roman" w:hAnsi="Times New Roman"/>
                <w:sz w:val="18"/>
                <w:szCs w:val="18"/>
                <w:color w:val="auto"/>
              </w:rPr>
              <w:t>shares: 355.2 at September 30, 2024 and 354.9 at December 31, 2023; Outstanding shares: 96.4 at September</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30, 2024 and 101.3 at December 31, 2023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11,808.0</w:t>
            </w:r>
          </w:p>
        </w:tc>
        <w:tc>
          <w:tcPr>
            <w:tcW w:w="0" w:type="dxa"/>
            <w:vAlign w:val="bottom"/>
          </w:tcPr>
          <w:p>
            <w:pPr>
              <w:spacing w:after="0"/>
              <w:rPr>
                <w:sz w:val="1"/>
                <w:szCs w:val="1"/>
                <w:color w:val="auto"/>
              </w:rPr>
            </w:pPr>
          </w:p>
        </w:tc>
      </w:tr>
      <w:tr>
        <w:trPr>
          <w:trHeight w:val="224"/>
        </w:trPr>
        <w:tc>
          <w:tcPr>
            <w:tcW w:w="8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(13,386.4)</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7"/>
        </w:trPr>
        <w:tc>
          <w:tcPr>
            <w:tcW w:w="826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0" w:type="dxa"/>
            <w:vAlign w:val="bottom"/>
          </w:tcPr>
          <w:p>
            <w:pPr>
              <w:spacing w:after="0"/>
              <w:rPr>
                <w:sz w:val="1"/>
                <w:szCs w:val="1"/>
                <w:color w:val="auto"/>
              </w:rPr>
            </w:pPr>
          </w:p>
        </w:tc>
      </w:tr>
      <w:tr>
        <w:trPr>
          <w:trHeight w:val="217"/>
        </w:trPr>
        <w:tc>
          <w:tcPr>
            <w:tcW w:w="82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30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0" w:type="dxa"/>
            <w:vAlign w:val="bottom"/>
          </w:tcPr>
          <w:p>
            <w:pPr>
              <w:spacing w:after="0"/>
              <w:rPr>
                <w:sz w:val="1"/>
                <w:szCs w:val="1"/>
                <w:color w:val="auto"/>
              </w:rPr>
            </w:pPr>
          </w:p>
        </w:tc>
      </w:tr>
      <w:tr>
        <w:trPr>
          <w:trHeight w:val="204"/>
        </w:trPr>
        <w:tc>
          <w:tcPr>
            <w:tcW w:w="52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Costs and expenses: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net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900" w:type="dxa"/>
            <w:vAlign w:val="bottom"/>
            <w:tcBorders>
              <w:bottom w:val="single" w:sz="8" w:color="auto"/>
            </w:tcBorders>
          </w:tcPr>
          <w:p>
            <w:pPr>
              <w:jc w:val="right"/>
              <w:ind w:right="71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Shares used to compute earnings per share</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beginning of period</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r>
      <w:tr>
        <w:trPr>
          <w:trHeight w:val="145"/>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12,644.5</w:t>
            </w:r>
          </w:p>
        </w:tc>
      </w:tr>
      <w:tr>
        <w:trPr>
          <w:trHeight w:val="224"/>
        </w:trPr>
        <w:tc>
          <w:tcPr>
            <w:tcW w:w="4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24"/>
        </w:trPr>
        <w:tc>
          <w:tcPr>
            <w:tcW w:w="4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4"/>
        </w:trPr>
        <w:tc>
          <w:tcPr>
            <w:tcW w:w="4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Issuance of common stock under stock plans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4"/>
        </w:trPr>
        <w:tc>
          <w:tcPr>
            <w:tcW w:w="49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Excise tax on repurchase of common stock</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7"/>
        </w:trPr>
        <w:tc>
          <w:tcPr>
            <w:tcW w:w="4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12,020.7</w:t>
            </w:r>
          </w:p>
        </w:tc>
      </w:tr>
      <w:tr>
        <w:trPr>
          <w:trHeight w:val="125"/>
        </w:trPr>
        <w:tc>
          <w:tcPr>
            <w:tcW w:w="4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2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(14,204.0)</w:t>
            </w:r>
          </w:p>
        </w:tc>
      </w:tr>
      <w:tr>
        <w:trPr>
          <w:trHeight w:val="224"/>
        </w:trPr>
        <w:tc>
          <w:tcPr>
            <w:tcW w:w="4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17"/>
        </w:trPr>
        <w:tc>
          <w:tcPr>
            <w:tcW w:w="4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(13,651.1)</w:t>
            </w:r>
          </w:p>
        </w:tc>
      </w:tr>
      <w:tr>
        <w:trPr>
          <w:trHeight w:val="125"/>
        </w:trPr>
        <w:tc>
          <w:tcPr>
            <w:tcW w:w="4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4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4"/>
        </w:trPr>
        <w:tc>
          <w:tcPr>
            <w:tcW w:w="49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7"/>
        </w:trPr>
        <w:tc>
          <w:tcPr>
            <w:tcW w:w="4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25"/>
        </w:trPr>
        <w:tc>
          <w:tcPr>
            <w:tcW w:w="4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49"/>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end of period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4"/>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4"/>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discount on investments in debt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4"/>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4"/>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4"/>
        </w:trPr>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4"/>
        </w:trPr>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4"/>
        </w:trPr>
        <w:tc>
          <w:tcPr>
            <w:tcW w:w="82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7"/>
        </w:trPr>
        <w:tc>
          <w:tcPr>
            <w:tcW w:w="8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r>
      <w:tr>
        <w:trPr>
          <w:trHeight w:val="204"/>
        </w:trPr>
        <w:tc>
          <w:tcPr>
            <w:tcW w:w="8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7"/>
        </w:trPr>
        <w:tc>
          <w:tcPr>
            <w:tcW w:w="826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7"/>
        </w:trPr>
        <w:tc>
          <w:tcPr>
            <w:tcW w:w="826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w:t>
            </w: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82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Supplemental cash flow disclosures: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1"/>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85"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VeriSign, Inc. (“Verisign” or the “Company”) in accordance with the instructions to Form 10-Q pursuant to the rules and regulations of the Securities and Exchange Commission (“SEC”) and, therefore, do not include all information and notes normally provided in audited financial statements. In the opinion of management, all adjustments (consisting of normal recurring accruals and other adjustments) considered necessary for a fair presentation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Verisign’s Annual Report on Form 10-K for the year ended December 31, 2023 (the “2023 Form 10-K”) filed with the SEC on February 15, 2024.</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85"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current period presentation. Such reclassifications have no effect on net income as previously reported.</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83"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additional disclosure of significant segment expenses on an annual and interim basis. This guidance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applied retrospectively and will be effective for our 2024 Form 10-K, and for interim periods beginning in 2025. We do not expect the adoption of this guidance to have a material impact on our consolidated financial statements.</w:t>
      </w:r>
    </w:p>
    <w:p>
      <w:pPr>
        <w:spacing w:after="0" w:line="48" w:lineRule="exact"/>
        <w:rPr>
          <w:sz w:val="20"/>
          <w:szCs w:val="20"/>
          <w:color w:val="auto"/>
        </w:rPr>
      </w:pPr>
    </w:p>
    <w:p>
      <w:pPr>
        <w:ind w:right="180" w:firstLine="395"/>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improves the transparency of income tax disclosures by requiring consistent categories and greater disaggregation of information in the effective tax rate reconciliation and income taxes paid disaggregated by jurisdiction. This guidance will be effective for our 2025 Form 10-K. We do not expect the adoption of this guidance to have a material impact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Financial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Marketable Securities</w:t>
      </w:r>
    </w:p>
    <w:p>
      <w:pPr>
        <w:spacing w:after="0" w:line="58"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Company’s cash, cash equivalents, and marketable securities and the fair value categorization of the financial instruments measured at fair value on a recurring basis: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12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7"/>
        </w:trPr>
        <w:tc>
          <w:tcPr>
            <w:tcW w:w="7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6"/>
                <w:szCs w:val="16"/>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securities issued by the U.S. Treasury (Level 1)</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w:t>
            </w:r>
          </w:p>
        </w:tc>
      </w:tr>
      <w:tr>
        <w:trPr>
          <w:trHeight w:val="242"/>
        </w:trPr>
        <w:tc>
          <w:tcPr>
            <w:tcW w:w="7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2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7"/>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2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42"/>
        </w:trPr>
        <w:tc>
          <w:tcPr>
            <w:tcW w:w="7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The gross and net unrealized gains and losses included in the fair value of the debt securities were not significant for the periods presented. All of the debt securities held as of September 30, 2024 are scheduled to mature in less than one year.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fair value of the Company’s investments in money market funds approximates their face value. Such instruments are included in Cash and cash equivalents. The fair value of the debt securities consisting of U.S. Treasury bills is based on their quoted market prices. Debt securities purchased with original maturities in excess of three months are included in Marketable securities. The fair value of the Company’s foreign currency forward contracts is based on foreign currency rates quoted by banks or foreign currency dealers and other public data sources. The fair value of all of these financial instruments are classified as Level 1 in the fair value hierarchy.</w:t>
      </w:r>
    </w:p>
    <w:p>
      <w:pPr>
        <w:spacing w:after="0" w:line="8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2024, the Company’s other financial instruments include cash, accounts receivable, restricted cash, and accounts payable whose carrying values approximated their face values. The aggregate fair value of the Company’s current and long-term senior notes is $1.71 billion and $1.69 billion as of September 30, 2024 and December 31, 2023, respectively. The fair values of these debt instruments are based on available market information from public data sources and are classified as Level 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Selected Balance Sheet Items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Current Assets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6"/>
          </w:tcPr>
          <w:p>
            <w:pPr>
              <w:jc w:val="right"/>
              <w:ind w:right="10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Prepaid registry fees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receivable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i w:val="1"/>
                <w:iCs w:val="1"/>
                <w:color w:val="auto"/>
              </w:rPr>
              <w:t>Other Long-Term Assets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8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 consist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6"/>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registry fees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40" w:firstLine="395"/>
        <w:spacing w:after="0" w:line="271" w:lineRule="auto"/>
        <w:rPr>
          <w:sz w:val="20"/>
          <w:szCs w:val="20"/>
          <w:color w:val="auto"/>
        </w:rPr>
      </w:pPr>
      <w:r>
        <w:rPr>
          <w:rFonts w:ascii="Times New Roman" w:cs="Times New Roman" w:eastAsia="Times New Roman" w:hAnsi="Times New Roman"/>
          <w:sz w:val="18"/>
          <w:szCs w:val="18"/>
          <w:color w:val="auto"/>
        </w:rPr>
        <w:t>The prepaid registry fees in the tables above relate to the fees the Company pays to ICANN for each annual term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and renewals which are deferred and amortized over the domain name registration term.</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12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7"/>
        </w:trPr>
        <w:tc>
          <w:tcPr>
            <w:tcW w:w="7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6"/>
                <w:szCs w:val="16"/>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registry fees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incentives payable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2"/>
        </w:trPr>
        <w:tc>
          <w:tcPr>
            <w:tcW w:w="7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Taxes payable reflects amounts accrued for the income tax provision and payments made during the period. This balance fluctuates from period to period due to the timing of income tax payments in the Company’s major tax jurisdictions. Accrued employee compensation primarily consists of liabilities for employee leave, salaries, payroll taxes, employee contributions to the employee stock purchase plan, and incentive compensation. Accrued employee incentive compensation as of December 31, 2023 was paid during the nine months ended September 30, 2024. Interest payable varies at each period-end based on the payment due dates for each senior note issuance. The liability related to the unrealized loss on foreign currency forward contracts as of December 31, 2023 was remeasured and paid upon settlement of the forward contract during the nine months ended September 30, 2024.</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1" w:lineRule="exact"/>
        <w:rPr>
          <w:sz w:val="20"/>
          <w:szCs w:val="20"/>
          <w:color w:val="auto"/>
        </w:rPr>
      </w:pPr>
    </w:p>
    <w:p>
      <w:pPr>
        <w:ind w:right="20" w:firstLine="434"/>
        <w:spacing w:after="0" w:line="289" w:lineRule="auto"/>
        <w:rPr>
          <w:sz w:val="20"/>
          <w:szCs w:val="20"/>
          <w:color w:val="auto"/>
        </w:rPr>
      </w:pPr>
      <w:r>
        <w:rPr>
          <w:rFonts w:ascii="Times New Roman" w:cs="Times New Roman" w:eastAsia="Times New Roman" w:hAnsi="Times New Roman"/>
          <w:sz w:val="16"/>
          <w:szCs w:val="16"/>
          <w:color w:val="auto"/>
        </w:rPr>
        <w:t>Current and long-term senior notes as of September 30, 2024 reflects the classification of $299.7 million of the Company’s $500.0 million senior notes due April 1, 2025 (“2025 Senior Notes”), net of unamortized debt issuance costs, as current liabilities, and the remaining $200.0 million as long-term liabilities. Under existing market conditions, the Company intends to refinance all of its 2025 Senior Notes through the issuance of new long-term debt. As of September 30, 2024, the Company has $200.0 million in borrowing capacity under its credit facility which matures in 2028. If a suitable refinancing arrangement is not available due to a change in market conditions, the Company intends to utilize the credit facility to repay $200.0 million of the 2025 Senior Notes.</w:t>
      </w:r>
    </w:p>
    <w:p>
      <w:pPr>
        <w:sectPr>
          <w:pgSz w:w="11900" w:h="16838" w:orient="portrait"/>
          <w:cols w:equalWidth="0" w:num="1">
            <w:col w:w="11240"/>
          </w:cols>
          <w:pgMar w:left="320" w:top="118" w:right="339" w:bottom="1440" w:gutter="0" w:footer="0" w:header="0"/>
        </w:sectPr>
      </w:pPr>
    </w:p>
    <w:p>
      <w:pPr>
        <w:spacing w:after="0" w:line="48" w:lineRule="exact"/>
        <w:rPr>
          <w:sz w:val="20"/>
          <w:szCs w:val="20"/>
          <w:color w:val="auto"/>
        </w:rPr>
      </w:pPr>
    </w:p>
    <w:p>
      <w:pPr>
        <w:ind w:left="400" w:right="2560"/>
        <w:spacing w:after="0" w:line="377" w:lineRule="auto"/>
        <w:rPr>
          <w:sz w:val="20"/>
          <w:szCs w:val="20"/>
          <w:color w:val="auto"/>
        </w:rPr>
      </w:pPr>
      <w:r>
        <w:rPr>
          <w:rFonts w:ascii="Times New Roman" w:cs="Times New Roman" w:eastAsia="Times New Roman" w:hAnsi="Times New Roman"/>
          <w:sz w:val="18"/>
          <w:szCs w:val="18"/>
          <w:i w:val="1"/>
          <w:iCs w:val="1"/>
          <w:color w:val="auto"/>
        </w:rPr>
        <w:t xml:space="preserve">Long-term Tax and Other Liabilities </w:t>
      </w:r>
      <w:r>
        <w:rPr>
          <w:rFonts w:ascii="Times New Roman" w:cs="Times New Roman" w:eastAsia="Times New Roman" w:hAnsi="Times New Roman"/>
          <w:sz w:val="18"/>
          <w:szCs w:val="18"/>
          <w:color w:val="auto"/>
        </w:rPr>
        <w:t>Long-term tax and other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35495" cy="142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5495" cy="167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tax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7"/>
        </w:trPr>
        <w:tc>
          <w:tcPr>
            <w:tcW w:w="260" w:type="dxa"/>
            <w:vAlign w:val="bottom"/>
          </w:tcPr>
          <w:p>
            <w:pPr>
              <w:spacing w:after="0"/>
              <w:rPr>
                <w:sz w:val="17"/>
                <w:szCs w:val="17"/>
                <w:color w:val="auto"/>
              </w:rPr>
            </w:pPr>
          </w:p>
        </w:tc>
        <w:tc>
          <w:tcPr>
            <w:tcW w:w="140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8"/>
        </w:trPr>
        <w:tc>
          <w:tcPr>
            <w:tcW w:w="26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5"/>
                <w:szCs w:val="15"/>
                <w:color w:val="auto"/>
              </w:rPr>
            </w:pPr>
          </w:p>
        </w:tc>
      </w:tr>
      <w:tr>
        <w:trPr>
          <w:trHeight w:val="231"/>
        </w:trPr>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7"/>
        </w:trPr>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7120" w:space="720"/>
            <w:col w:w="3400"/>
          </w:cols>
          <w:pgMar w:left="320" w:top="118" w:right="339" w:bottom="1440" w:gutter="0" w:footer="0" w:header="0"/>
          <w:type w:val="continuous"/>
        </w:sect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Long-term tax liabilities as of September 30, 2024 reflects a $24.1 million reclassification to current liabilities of the final installment of the transition tax liability on accumulated foreign earnings resulting from the 2017 Tax Cuts and Jobs Act.</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Share Repurchases</w:t>
      </w:r>
    </w:p>
    <w:p>
      <w:pPr>
        <w:spacing w:after="0" w:line="11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Effective July 25, 2024, the Company’s Board of Directors authorized the repurchase of its common stock in the amount of $1.11 billion, in addition to the $388.0 million that remained available for repurchases under the share repurchase program, for a total repurchase authorization of up to $1.50 billion under the program. The program has no expiration date. Purchases made under the program could be effected through open market transactions, block purchases, accelerated share repurchase agreements or other negotiated transactions. As of September 30, 2024 there was approximately $1.28 billion remaining available for repurchases under the program.</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share repurchases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3560" w:type="dxa"/>
            <w:vAlign w:val="bottom"/>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480" w:type="dxa"/>
            <w:vAlign w:val="bottom"/>
            <w:gridSpan w:val="6"/>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24"/>
        </w:trPr>
        <w:tc>
          <w:tcPr>
            <w:tcW w:w="4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4200" w:type="dxa"/>
            <w:vAlign w:val="bottom"/>
          </w:tcPr>
          <w:p>
            <w:pPr>
              <w:spacing w:after="0"/>
              <w:rPr>
                <w:sz w:val="16"/>
                <w:szCs w:val="16"/>
                <w:color w:val="auto"/>
              </w:rPr>
            </w:pPr>
          </w:p>
        </w:tc>
        <w:tc>
          <w:tcPr>
            <w:tcW w:w="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Total Costs</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Total Costs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r>
      <w:tr>
        <w:trPr>
          <w:trHeight w:val="191"/>
        </w:trPr>
        <w:tc>
          <w:tcPr>
            <w:tcW w:w="4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00" w:type="dxa"/>
            <w:vAlign w:val="bottom"/>
            <w:gridSpan w:val="7"/>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millions, except average price amounts)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 under the repurchase plans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183.32</w:t>
            </w:r>
          </w:p>
        </w:tc>
      </w:tr>
      <w:tr>
        <w:trPr>
          <w:trHeight w:val="224"/>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repurchases for tax withholdings</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189.37</w:t>
            </w:r>
          </w:p>
        </w:tc>
      </w:tr>
      <w:tr>
        <w:trPr>
          <w:trHeight w:val="23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180.30</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92"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Since inception, the Company has repurchased 258.8 million shares of its common stock for an aggregate cost of $14.62 billion, which is recorded as a reduction of Additional paid-in capital. The share repurchase and authorization amounts disclosed in this Form 10-Q exclude the excise tax on share repurchases.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Calculation of Earnings per Share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computation of weighted-average shares used in the calculation of basic and diluted earnings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8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9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61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6"/>
                <w:szCs w:val="16"/>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potential shares of common stock outstanding:</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Unvested RSUs and ESPP</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8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0"/>
        </w:trPr>
        <w:tc>
          <w:tcPr>
            <w:tcW w:w="6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right="560" w:firstLine="395"/>
        <w:spacing w:after="0" w:line="256"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excludes performance-based RSUs granted by the Company for which the relevant performance criteria have not been achieved and any awards that are antidilutive. The number of potential shares excluded from the calculation was not significant in any period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Revenues</w:t>
      </w:r>
    </w:p>
    <w:p>
      <w:pPr>
        <w:spacing w:after="0" w:line="98"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The Company generates revenues in the U.S.; Europe, the Middle East and Africa (“EMEA”); China; and certain other countries, including Canada, Japan, and Singapore.</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geography, based on the billing addresses of our customers: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35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Revenues in the table above are attributed to the country of domicile and the respective regions in which registrars are located; however, this may differ from the regions where the registrars operate or where registrants are located. Revenues for each region may be impacted by registrars reincorporating, relocating, or from acquisitions or changes in affiliations of resellers. Revenues for each region may also be impacted by registrars domiciled in one region, registering domain names in another region.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payments for domain name registrations and renewals are due in advance of our performance, we record these amounts as deferred revenues.</w:t>
      </w:r>
    </w:p>
    <w:p>
      <w:pPr>
        <w:spacing w:after="0" w:line="2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increase in the deferred revenues balance for the nine months ended September 30, 2024 was primarily driven by amounts billed in the nine months ended September 30, 2024 for domain name registrations and renewals to be recognized as revenues in future periods, offset by refunds for domain name renewals deleted during the 45-day grace period, and $791.1 million of revenues recognized that were included in the deferred revenues balance at December 31, 2023. The balance of deferred revenues as of September 30, 2024 represents our aggregate remaining performance obligations. Amounts included in current deferred revenues are all expected to be recognized in revenues within 12 months, except for a portion of deferred revenues that relates to domain name renewals that are deleted in the 45-day grace period following the transaction. The long-term deferred revenues amounts will be recognized in revenues over several years and in some cases up to ten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Stock-based Compensation</w:t>
      </w:r>
    </w:p>
    <w:p>
      <w:pPr>
        <w:spacing w:after="0" w:line="98"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Stock-based compensation is classified in the Condensed Consolidated Statements of Comprehensive Income in the same expense line items as cash compensation. The following table presents the classification of stock-based compensation: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5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32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61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7"/>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(included in Property and equipment, net)</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7"/>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6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nature of the Company’s total stock-based compensation: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5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3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61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78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7"/>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6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Non-operating Income, Net</w:t>
      </w:r>
    </w:p>
    <w:p>
      <w:pPr>
        <w:spacing w:after="0" w:line="71"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Non-operating income, net, primarily consists of interest income from the Company’s surplus cash balances and marketable securities. Interest income was $8.7 million and $30.4 million during the three and nine months ended September 30, 2024, respectively, compared to $11.6 million and $33.8 million during the same periods in 2023. The decrease in interest income during the three and nine months ended September 30, 2024, compared to the same periods last year, primarily reflects the lower amounts invested in debt securities in the current periods.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Income tax expense and the effective tax rate: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5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20" w:type="dxa"/>
            <w:vAlign w:val="bottom"/>
            <w:gridSpan w:val="4"/>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59.6</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179.6</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172.0</w:t>
            </w: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135"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The effective tax rate for each of the periods in the table above differed from the statutory federal rate of 21%, due to state income taxes and U.S. taxes on foreign earnings, net of foreign tax credits, partially offset by a lower foreign effective tax rate.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660" w:firstLine="434"/>
        <w:spacing w:after="0" w:line="27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2023 Form 10-K and the interim unaudited Condensed Consolidated Financial Statements and related notes included in Part I, Item I of this Quarterly Report on Form 10-Q.</w:t>
      </w:r>
    </w:p>
    <w:p>
      <w:pPr>
        <w:spacing w:after="0" w:line="59" w:lineRule="exact"/>
        <w:rPr>
          <w:sz w:val="20"/>
          <w:szCs w:val="20"/>
          <w:color w:val="auto"/>
        </w:rPr>
      </w:pPr>
    </w:p>
    <w:p>
      <w:pPr>
        <w:ind w:right="120" w:firstLine="434"/>
        <w:spacing w:after="0" w:line="281"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within the meaning of Section 27A of the Securities Act of 1933, as amended, and Section 21E of the Securities Exchange Act of 1934, as amended (the “Exchange Act”). These forward-looking statements are based on current expectations and assumptions and involve risks and uncertainties, including, among other things, statements regarding our expectations about the sufficiency of our existing cash, cash equivalents and marketable securities, and funds generated from operations, together with our borrowing capacity under the unsecured revolving credit facility. Forward-looking statements include, among others, those statements including the words “expects,” “anticipates,” “intends,” “believes” and similar language. Our actual results may differ significantly from those projected in the forward-looking statements. Factors that might cause or contribute to such differences include, but are not limited to, those discussed in the section titled “Risk Factors” in Part I, Item 1A of the 2023 Form 10-K. You should also carefully review the risks described in other documents we file from time to time with the Securities and Exchange Commission, including the Quarterly Reports on Form 10-Q or Current Reports on Form 8-K that we file in 2024. You are cautioned not to place undue reliance on the forward-looking statements, which speak only as of the date of this Quarterly Report on Form 10-Q. We undertake no obligation to update publicly or revise such statements, whether as a result of new information, future events, or otherwise, except as required by law.</w:t>
      </w:r>
    </w:p>
    <w:p>
      <w:pPr>
        <w:spacing w:after="0" w:line="267" w:lineRule="exact"/>
        <w:rPr>
          <w:sz w:val="20"/>
          <w:szCs w:val="20"/>
          <w:color w:val="auto"/>
        </w:rPr>
      </w:pPr>
    </w:p>
    <w:p>
      <w:pPr>
        <w:ind w:right="500" w:firstLine="434"/>
        <w:spacing w:after="0" w:line="271" w:lineRule="auto"/>
        <w:rPr>
          <w:sz w:val="20"/>
          <w:szCs w:val="20"/>
          <w:color w:val="auto"/>
        </w:rPr>
      </w:pPr>
      <w:r>
        <w:rPr>
          <w:rFonts w:ascii="Times New Roman" w:cs="Times New Roman" w:eastAsia="Times New Roman" w:hAnsi="Times New Roman"/>
          <w:sz w:val="18"/>
          <w:szCs w:val="18"/>
          <w:i w:val="1"/>
          <w:iCs w:val="1"/>
          <w:color w:val="auto"/>
        </w:rPr>
        <w:t>For purposes of this Quarterly Report on Form 10-Q, the terms “Verisign,” “the Company,” “we,” “us,” and “our” refer to VeriSign, Inc. and its consolidated subsidiaries.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1"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We are a global provider of critical internet infrastructure and domain name registry services, enabling internet navigation for many of the world’s most recognized domain names. We help enable the security, stability, and resiliency of the Domain Name System and the internet by providing Root Zone Maintainer Services, operating two of the thirteen global internet root servers, and providing registration services and authoritative resolution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generic top-level domains (“gTLDs”), which support the majority of global e-commerce.</w:t>
      </w:r>
    </w:p>
    <w:p>
      <w:pPr>
        <w:spacing w:after="0" w:line="76"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As of September 30, 2024, we had 169.6 million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The number of domain name registrations under our management may be negatively impacted by certain factors, including overall economic conditions, competition from country code top-level domains (“ccTLDs”), other gTLDs, services that offer alternatives for an online presence, such as social media,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Highlights and Trends</w:t>
      </w:r>
    </w:p>
    <w:p>
      <w:pPr>
        <w:spacing w:after="0" w:line="113" w:lineRule="exact"/>
        <w:rPr>
          <w:sz w:val="20"/>
          <w:szCs w:val="20"/>
          <w:color w:val="auto"/>
        </w:rPr>
      </w:pPr>
    </w:p>
    <w:p>
      <w:pPr>
        <w:ind w:left="720" w:right="100" w:hanging="399"/>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revenues of $390.6 million and $1,162.0 million during the three and nine months ended September 30, 2024, each of which represents an increase of 4% compared to the same periods in 2023.</w:t>
      </w:r>
    </w:p>
    <w:p>
      <w:pPr>
        <w:spacing w:after="0" w:line="64" w:lineRule="exact"/>
        <w:rPr>
          <w:rFonts w:ascii="Times New Roman" w:cs="Times New Roman" w:eastAsia="Times New Roman" w:hAnsi="Times New Roman"/>
          <w:sz w:val="18"/>
          <w:szCs w:val="18"/>
          <w:color w:val="auto"/>
        </w:rPr>
      </w:pPr>
    </w:p>
    <w:p>
      <w:pPr>
        <w:ind w:left="720" w:right="200" w:hanging="399"/>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income of $269.3 million and $794.4 million during the three and nine months ended September 30, 2024, which represents an increase of 6% and 7%, respectively, compared to the same periods in 2023.</w:t>
      </w:r>
    </w:p>
    <w:p>
      <w:pPr>
        <w:spacing w:after="0" w:line="62" w:lineRule="exact"/>
        <w:rPr>
          <w:rFonts w:ascii="Times New Roman" w:cs="Times New Roman" w:eastAsia="Times New Roman" w:hAnsi="Times New Roman"/>
          <w:sz w:val="18"/>
          <w:szCs w:val="18"/>
          <w:color w:val="auto"/>
        </w:rPr>
      </w:pPr>
    </w:p>
    <w:p>
      <w:pPr>
        <w:ind w:left="720" w:right="600" w:hanging="399"/>
        <w:spacing w:after="0" w:line="271"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September 30, 2024, we had 169.6 million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registrations in the domain name base, which represents a 2.5% decrease from September 30, 2023, and a net decrease of 1.1 million domain name registrations from June 30, 2024.</w:t>
      </w:r>
    </w:p>
    <w:p>
      <w:pPr>
        <w:spacing w:after="0" w:line="58" w:lineRule="exact"/>
        <w:rPr>
          <w:rFonts w:ascii="Times New Roman" w:cs="Times New Roman" w:eastAsia="Times New Roman" w:hAnsi="Times New Roman"/>
          <w:sz w:val="18"/>
          <w:szCs w:val="18"/>
          <w:color w:val="auto"/>
        </w:rPr>
      </w:pPr>
    </w:p>
    <w:p>
      <w:pPr>
        <w:ind w:left="720" w:right="680" w:hanging="399"/>
        <w:spacing w:after="0" w:line="271"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three months ended September 30, 2024, we processed 9.3 million new domain name registrations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compared to 9.9 million for the same period in 2023.</w:t>
      </w:r>
    </w:p>
    <w:p>
      <w:pPr>
        <w:spacing w:after="0" w:line="58" w:lineRule="exact"/>
        <w:rPr>
          <w:rFonts w:ascii="Times New Roman" w:cs="Times New Roman" w:eastAsia="Times New Roman" w:hAnsi="Times New Roman"/>
          <w:sz w:val="18"/>
          <w:szCs w:val="18"/>
          <w:color w:val="auto"/>
        </w:rPr>
      </w:pPr>
    </w:p>
    <w:p>
      <w:pPr>
        <w:ind w:left="720" w:right="120" w:hanging="399"/>
        <w:spacing w:after="0" w:line="271"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renewal rate for the second quarter of 2024 was 72.7% compared to 73.4% for the second quarter of 2023. Renewal rates are not fully measurable until 45 days after the end of the quarter.</w:t>
      </w:r>
    </w:p>
    <w:p>
      <w:pPr>
        <w:spacing w:after="0" w:line="60" w:lineRule="exact"/>
        <w:rPr>
          <w:rFonts w:ascii="Times New Roman" w:cs="Times New Roman" w:eastAsia="Times New Roman" w:hAnsi="Times New Roman"/>
          <w:sz w:val="18"/>
          <w:szCs w:val="18"/>
          <w:color w:val="auto"/>
        </w:rPr>
      </w:pPr>
    </w:p>
    <w:p>
      <w:pPr>
        <w:ind w:left="720" w:right="140" w:hanging="399"/>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$671.1 million during the nine months ended September 30, 2024, compared to $649.6 million for the same period in 2023.</w:t>
      </w:r>
    </w:p>
    <w:p>
      <w:pPr>
        <w:spacing w:after="0" w:line="64" w:lineRule="exact"/>
        <w:rPr>
          <w:rFonts w:ascii="Times New Roman" w:cs="Times New Roman" w:eastAsia="Times New Roman" w:hAnsi="Times New Roman"/>
          <w:sz w:val="18"/>
          <w:szCs w:val="18"/>
          <w:color w:val="auto"/>
        </w:rPr>
      </w:pPr>
    </w:p>
    <w:p>
      <w:pPr>
        <w:ind w:left="720" w:right="60" w:hanging="399"/>
        <w:spacing w:after="0" w:line="268" w:lineRule="auto"/>
        <w:tabs>
          <w:tab w:leader="none" w:pos="71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September 30, 2024, we repurchased 1.7 million shares of our common stock for an aggregate cost of $300.9 million. As of September 30, 2024, there was $1.28 billion remaining for future share repurchases under the share repurchase program.</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395"/>
        <w:spacing w:after="0" w:line="284" w:lineRule="auto"/>
        <w:rPr>
          <w:sz w:val="20"/>
          <w:szCs w:val="20"/>
          <w:color w:val="auto"/>
        </w:rPr>
      </w:pPr>
      <w:r>
        <w:rPr>
          <w:rFonts w:ascii="Times New Roman" w:cs="Times New Roman" w:eastAsia="Times New Roman" w:hAnsi="Times New Roman"/>
          <w:sz w:val="16"/>
          <w:szCs w:val="16"/>
          <w:color w:val="auto"/>
        </w:rPr>
        <w:t xml:space="preserve">Pursuant to our agreements with ICANN, we make available files containing all active domain names registered in the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registries. Further, we also make available a summary of the active zone count registered in the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registries and the number of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domain name registrations in the domain name base. The zone counts and information on how to obtain access to the zone files can be found at https://www.Verisign.com/zone.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add or remove from the active zone an immaterial number of domain names. These files and the related summary data are updated daily. The update times may vary each day. The number of domain names provided in this Form 10-Q are as of midnight of the date reported.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regarding our results of operations as a percentage of revenues: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60" w:type="dxa"/>
            <w:vAlign w:val="bottom"/>
            <w:gridSpan w:val="3"/>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8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5820" w:type="dxa"/>
            <w:vAlign w:val="bottom"/>
          </w:tcPr>
          <w:p>
            <w:pPr>
              <w:spacing w:after="0"/>
              <w:rPr>
                <w:sz w:val="15"/>
                <w:szCs w:val="15"/>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4"/>
        </w:trPr>
        <w:tc>
          <w:tcPr>
            <w:tcW w:w="58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Costs and expenses: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4"/>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13.4</w:t>
            </w:r>
          </w:p>
        </w:tc>
      </w:tr>
      <w:tr>
        <w:trPr>
          <w:trHeight w:val="224"/>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6.1</w:t>
            </w:r>
          </w:p>
        </w:tc>
      </w:tr>
      <w:tr>
        <w:trPr>
          <w:trHeight w:val="224"/>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13.6</w:t>
            </w:r>
          </w:p>
        </w:tc>
      </w:tr>
      <w:tr>
        <w:trPr>
          <w:trHeight w:val="217"/>
        </w:trPr>
        <w:tc>
          <w:tcPr>
            <w:tcW w:w="5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33.1</w:t>
            </w:r>
          </w:p>
        </w:tc>
      </w:tr>
      <w:tr>
        <w:trPr>
          <w:trHeight w:val="21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66.9</w:t>
            </w:r>
          </w:p>
        </w:tc>
      </w:tr>
      <w:tr>
        <w:trPr>
          <w:trHeight w:val="22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(5.1)</w:t>
            </w:r>
          </w:p>
        </w:tc>
      </w:tr>
      <w:tr>
        <w:trPr>
          <w:trHeight w:val="224"/>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Non-operating income, net</w:t>
            </w: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3.3</w:t>
            </w:r>
          </w:p>
        </w:tc>
      </w:tr>
      <w:tr>
        <w:trPr>
          <w:trHeight w:val="21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65.1</w:t>
            </w:r>
          </w:p>
        </w:tc>
      </w:tr>
      <w:tr>
        <w:trPr>
          <w:trHeight w:val="224"/>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(15.4)</w:t>
            </w:r>
          </w:p>
        </w:tc>
      </w:tr>
      <w:tr>
        <w:trPr>
          <w:trHeight w:val="242"/>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Our revenues are primarily derived from registrations for domain names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registries. We also derive revenues from operating domain name registries and technical systems for several other gTLDs and one ccTLD, all of which are not significant in relation to our consolidated revenues. For domain names registered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registries, we receive a fee from registrars per annual registration that is determined pursuant to our agreements with ICANN. Individual customers, called registrants, contract directly with registrars or their resellers, and the registrars, who are our direct customers, in turn register the domain names with Verisign. Changes in revenues are driven largely by changes in the number of new domain name registrations and the renewal rate for existing registrations as well as the impact of new and prior price increases, to the extent permitted by ICANN and the Department of Commerce. New registrations and the renewal rate for existing registrations are impacted by continued growth in online advertising, e-commerce, and the number of internet users, as well as marketing activities carried out by us and our registrars. We also offer promotional incentive-based discount programs to registrars based upon market conditions and the business environment in which the registrars operate.</w:t>
      </w:r>
    </w:p>
    <w:p>
      <w:pPr>
        <w:spacing w:after="0" w:line="83"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color w:val="auto"/>
        </w:rPr>
        <w:t>Under the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Registry Agreement, we are permitted to increase the price of a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domain name registration by up to 7% in each of the final four years of each six-year period beginning on October 26, 2018. We increased the annual registry-level wholesale fee for each new and renewal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domain name registration from $8.97 to $9.59 effective September 1, 2023, and from $9.59 to $10.26 effective September 1, 2024. Under the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Registry Agreement, which renewed in June 2023, we are permitted to increase the price of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domain name registrations by up to 10% each year during the term of our agreement with ICANN, through June 30, 2029. We increased the annual registry-level wholesale fee for each new and renewal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domain name registration from $9.02 to $9.92 effective February 1, 2023 and from $9.92 to $10.91 effective February 1, 2024. All fees paid to us for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registrations are in U.S. dollars.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comparison of revenues is presented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740" w:type="dxa"/>
            <w:vAlign w:val="bottom"/>
          </w:tcPr>
          <w:p>
            <w:pPr>
              <w:spacing w:after="0"/>
              <w:rPr>
                <w:sz w:val="16"/>
                <w:szCs w:val="16"/>
                <w:color w:val="auto"/>
              </w:rPr>
            </w:pPr>
          </w:p>
        </w:tc>
      </w:tr>
      <w:tr>
        <w:trPr>
          <w:trHeight w:val="24"/>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4"/>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1"/>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60" w:type="dxa"/>
            <w:vAlign w:val="bottom"/>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390.6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6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1,162.0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5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1,112.7</w:t>
            </w: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The following table compares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in the domain name base: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4"/>
        </w:trPr>
        <w:tc>
          <w:tcPr>
            <w:tcW w:w="67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domain name registrations in the domain name base</w:t>
            </w:r>
          </w:p>
        </w:tc>
        <w:tc>
          <w:tcPr>
            <w:tcW w:w="1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169.6 million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173.9 million</w:t>
            </w: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Revenues increased during the three and nine months ended September 30, 2024, as compared to the same periods last year, primarily due to the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and</w:t>
      </w:r>
    </w:p>
    <w:p>
      <w:pPr>
        <w:spacing w:after="0" w:line="46"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price increases, partially offset by a decline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base, and the elimination of revenue from the operation of the .</w:t>
      </w:r>
      <w:r>
        <w:rPr>
          <w:rFonts w:ascii="Times New Roman" w:cs="Times New Roman" w:eastAsia="Times New Roman" w:hAnsi="Times New Roman"/>
          <w:sz w:val="18"/>
          <w:szCs w:val="18"/>
          <w:i w:val="1"/>
          <w:iCs w:val="1"/>
          <w:color w:val="auto"/>
        </w:rPr>
        <w:t>gov</w:t>
      </w:r>
      <w:r>
        <w:rPr>
          <w:rFonts w:ascii="Times New Roman" w:cs="Times New Roman" w:eastAsia="Times New Roman" w:hAnsi="Times New Roman"/>
          <w:sz w:val="18"/>
          <w:szCs w:val="18"/>
          <w:color w:val="auto"/>
        </w:rPr>
        <w:t xml:space="preserve"> gTLD, which was transitioned to another service provider in the fourth quarter of 2023.</w:t>
      </w:r>
    </w:p>
    <w:p>
      <w:pPr>
        <w:spacing w:after="0" w:line="81"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Demand for domain names has been primarily driven by continued internet growth and marketing activities carried out by us and our registrars. However, competitive pressure from ccTLDs, other gTLDs, services that offer alternatives for an online presence, such as social media, ongoing changes in internet practices and behaviors of consumers and business, as well as the motivation of existing domain name registrants managing their investment in domain names, such as for resale at increased prices or for revenue generation through website advertising, and global economic conditions, has limited the demand for domain names and may continue to do so in the future. While the core value proposition of a domain name remains strong, challenging economic and regulatory conditions have continued to weaken demand for domain name registrations in China, and some registrars, particularly in the U.S., have shifted their focus to increasing profitability through higher retail pricing and a decrease in marketing activities targeting new customer acquisition. The combination of these factors has negatively impacted our renewal rates and the volume of new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domain name registrations, resulting in a decline in our domain name base.</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revenues</w:t>
      </w:r>
    </w:p>
    <w:p>
      <w:pPr>
        <w:spacing w:after="0" w:line="100"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We generate revenues in the U.S.; Europe, the Middle East and Africa (“EMEA”); China; and certain other countries, including Canada, Japan, and Singapore.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comparison of our geographic revenues: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w:t>
            </w:r>
          </w:p>
        </w:tc>
        <w:tc>
          <w:tcPr>
            <w:tcW w:w="280" w:type="dxa"/>
            <w:vAlign w:val="bottom"/>
          </w:tcPr>
          <w:p>
            <w:pPr>
              <w:spacing w:after="0"/>
              <w:rPr>
                <w:sz w:val="16"/>
                <w:szCs w:val="16"/>
                <w:color w:val="auto"/>
              </w:rPr>
            </w:pPr>
          </w:p>
        </w:tc>
        <w:tc>
          <w:tcPr>
            <w:tcW w:w="3240" w:type="dxa"/>
            <w:vAlign w:val="bottom"/>
            <w:gridSpan w:val="4"/>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r>
      <w:tr>
        <w:trPr>
          <w:trHeight w:val="2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24"/>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42"/>
        </w:trPr>
        <w:tc>
          <w:tcPr>
            <w:tcW w:w="4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Revenues in the table above are attributed to the country of domicile and the respective regions in which our registrars are located; however, this may differ from the regions where the registrars operate or where registrants are located. Revenue growth for each region may be impacted by registrars reincorporating, relocating, or from acquisitions or changes in affiliations of resellers. Revenue growth for each region may also be impacted by registrars domiciled in one region, registering domain names in another region. The majority of our revenue growth was generated from registrars based in the U.S., EMEA and certain other countries, while revenues from registrars based in China declined in the three and nine months ended September 30, 2024, compared to the same periods of the prior year, due to the lower demand noted above.</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5" w:lineRule="exact"/>
        <w:rPr>
          <w:sz w:val="20"/>
          <w:szCs w:val="20"/>
          <w:color w:val="auto"/>
        </w:rPr>
      </w:pPr>
    </w:p>
    <w:p>
      <w:pPr>
        <w:ind w:right="300" w:firstLine="434"/>
        <w:spacing w:after="0" w:line="256" w:lineRule="auto"/>
        <w:rPr>
          <w:sz w:val="20"/>
          <w:szCs w:val="20"/>
          <w:color w:val="auto"/>
        </w:rPr>
      </w:pPr>
      <w:r>
        <w:rPr>
          <w:rFonts w:ascii="Times New Roman" w:cs="Times New Roman" w:eastAsia="Times New Roman" w:hAnsi="Times New Roman"/>
          <w:sz w:val="18"/>
          <w:szCs w:val="18"/>
          <w:color w:val="auto"/>
        </w:rPr>
        <w:t>Cost of revenues consist primarily of salaries and employee benefits expenses for our personnel who manage the operational systems, depreciation expenses, operational costs associated with the delivery of our services, fees paid to ICANN, customer support and training, costs of facilities and computer equipment used in these activities, telecommunications expense and allocations of indirect costs such as corporate overhead.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comparison of cost of revenues is presented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720" w:type="dxa"/>
            <w:vAlign w:val="bottom"/>
          </w:tcPr>
          <w:p>
            <w:pPr>
              <w:spacing w:after="0"/>
              <w:rPr>
                <w:sz w:val="16"/>
                <w:szCs w:val="16"/>
                <w:color w:val="auto"/>
              </w:rPr>
            </w:pPr>
          </w:p>
        </w:tc>
      </w:tr>
      <w:tr>
        <w:trPr>
          <w:trHeight w:val="24"/>
        </w:trPr>
        <w:tc>
          <w:tcPr>
            <w:tcW w:w="39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39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1"/>
        </w:trPr>
        <w:tc>
          <w:tcPr>
            <w:tcW w:w="3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00" w:type="dxa"/>
            <w:vAlign w:val="bottom"/>
            <w:gridSpan w:val="4"/>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w:t>
            </w:r>
          </w:p>
        </w:tc>
        <w:tc>
          <w:tcPr>
            <w:tcW w:w="5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143.0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r>
    </w:tbl>
    <w:p>
      <w:pPr>
        <w:spacing w:after="0" w:line="140"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Cost of revenues decreased slightly during the three months ended September 30, 2024, compared to the same period last year, due to a combination of individually insignificant factors.</w:t>
      </w:r>
    </w:p>
    <w:p>
      <w:pPr>
        <w:spacing w:after="0" w:line="6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Cost of revenues decreased during the nine months ended September 30, 2024, compared to the same period last year, due to decreases in depreciation expenses and telecommunication expenses, partially offset by a combination of individually insignificant factors. Depreciation expenses decreased by $5.7 million due to a decrease in capital expenditures in recent periods. Telecommunication expenses decreased by $3.3 million primarily due to savings on renewals of colocation agreements.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3"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research and development personnel, including salaries and other personnel-related expenses, consulting fees, facilities costs, computer and communications equipment, support services used in our service and technology development, and allocations of indirect costs such as corporate overhead.</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comparison of research and development expenses is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720" w:type="dxa"/>
            <w:vAlign w:val="bottom"/>
          </w:tcPr>
          <w:p>
            <w:pPr>
              <w:spacing w:after="0"/>
              <w:rPr>
                <w:sz w:val="16"/>
                <w:szCs w:val="16"/>
                <w:color w:val="auto"/>
              </w:rPr>
            </w:pPr>
          </w:p>
        </w:tc>
      </w:tr>
      <w:tr>
        <w:trPr>
          <w:trHeight w:val="24"/>
        </w:trPr>
        <w:tc>
          <w:tcPr>
            <w:tcW w:w="3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39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1"/>
        </w:trPr>
        <w:tc>
          <w:tcPr>
            <w:tcW w:w="3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71.8</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bl>
    <w:p>
      <w:pPr>
        <w:spacing w:after="0" w:line="140"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Research and development expenses increased during the three and nine months ended September 30, 2024, compared to the same periods last year, due to a combination of individually insignificant factors.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00"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personnel-related expenses for our executive, administrative, legal, finance, information technology, human resources, sales, and marketing personnel, travel and related expenses, trade shows, costs of computer and communications equipment and support services, consulting and professional service fees, costs of marketing programs, costs of facilities, management information systems, support services, and certain tax and license fees, offset by allocations of indirect costs such as facilities and shared services expenses to other cost types.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comparison of selling, general and administrative expenses is presented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720" w:type="dxa"/>
            <w:vAlign w:val="bottom"/>
          </w:tcPr>
          <w:p>
            <w:pPr>
              <w:spacing w:after="0"/>
              <w:rPr>
                <w:sz w:val="16"/>
                <w:szCs w:val="16"/>
                <w:color w:val="auto"/>
              </w:rPr>
            </w:pPr>
          </w:p>
        </w:tc>
      </w:tr>
      <w:tr>
        <w:trPr>
          <w:trHeight w:val="24"/>
        </w:trPr>
        <w:tc>
          <w:tcPr>
            <w:tcW w:w="3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39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1"/>
        </w:trPr>
        <w:tc>
          <w:tcPr>
            <w:tcW w:w="3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00" w:type="dxa"/>
            <w:vAlign w:val="bottom"/>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152.8</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bl>
    <w:p>
      <w:pPr>
        <w:spacing w:after="0" w:line="166"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Selling, general and administrative expenses remained consistent during the three and nine months ended September 30, 2024, compared to the same periods last year.</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remained consistent during the three and nine months ended September 30, 2024 compared to the same periods last year.</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net</w:t>
      </w:r>
    </w:p>
    <w:p>
      <w:pPr>
        <w:spacing w:after="0" w:line="113"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Non-operating income decreased during the three and nine months ended September 30, 2024, compared to the same periods last year, primarily due to a decrease in interest income as a result of lower amounts invested in debt securities in the current period.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Income tax expense and the effective tax rate: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60" w:type="dxa"/>
            <w:vAlign w:val="bottom"/>
            <w:gridSpan w:val="3"/>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4"/>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59.6</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179.6</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172.0</w:t>
            </w: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148"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The effective tax rate for each of the periods in the table above differed from the statutory federal rate of 21%, due to state income taxes and U.S. taxes on foreign earnings, net of foreign tax credits, partially offset by a lower foreign effective tax 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principal sources of liquidity: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7"/>
        </w:trPr>
        <w:tc>
          <w:tcPr>
            <w:tcW w:w="7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6"/>
                <w:szCs w:val="16"/>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2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42"/>
        </w:trPr>
        <w:tc>
          <w:tcPr>
            <w:tcW w:w="7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20" w:firstLine="395"/>
        <w:spacing w:after="0" w:line="289" w:lineRule="auto"/>
        <w:rPr>
          <w:sz w:val="20"/>
          <w:szCs w:val="20"/>
          <w:color w:val="auto"/>
        </w:rPr>
      </w:pPr>
      <w:r>
        <w:rPr>
          <w:rFonts w:ascii="Times New Roman" w:cs="Times New Roman" w:eastAsia="Times New Roman" w:hAnsi="Times New Roman"/>
          <w:sz w:val="16"/>
          <w:szCs w:val="16"/>
          <w:color w:val="auto"/>
        </w:rPr>
        <w:t>The marketable securities primarily consist of debt securities issued by the U.S. Treasury meeting the criteria of our investment policy, which is focused on the preservation of our capital through investment in investment grade securities. The cash equivalents consist of amounts invested in money market funds, time deposits and U.S. Treasury bills purchased with original maturities of three months or less. As of September 30, 2024, all of our debt securities have contractual maturities of less than one year. Our cash and cash equivalents are readily accessible. For additional information on our investment portfolio, see Note 2, “Financial Instruments,” of our Notes to Condensed Consolidated Financial Statements in Part I, Item I of this Quarterly Report on Form 10-Q.</w:t>
      </w:r>
    </w:p>
    <w:p>
      <w:pPr>
        <w:spacing w:after="0" w:line="50" w:lineRule="exact"/>
        <w:rPr>
          <w:sz w:val="20"/>
          <w:szCs w:val="20"/>
          <w:color w:val="auto"/>
        </w:rPr>
      </w:pPr>
    </w:p>
    <w:p>
      <w:pPr>
        <w:ind w:right="100" w:firstLine="395"/>
        <w:spacing w:after="0" w:line="293" w:lineRule="auto"/>
        <w:rPr>
          <w:sz w:val="20"/>
          <w:szCs w:val="20"/>
          <w:color w:val="auto"/>
        </w:rPr>
      </w:pPr>
      <w:r>
        <w:rPr>
          <w:rFonts w:ascii="Times New Roman" w:cs="Times New Roman" w:eastAsia="Times New Roman" w:hAnsi="Times New Roman"/>
          <w:sz w:val="16"/>
          <w:szCs w:val="16"/>
          <w:color w:val="auto"/>
        </w:rPr>
        <w:t>Effective July 25, 2024, our Board of Directors authorized the repurchase of our common stock in the amount of $1.11 billion, in addition to the $388.0 million that remained available for repurchases under the share repurchase program, for a total repurchase authorization of up to $1.50 billion under the program. During the three months ended September 30, 2024, we repurchased 1.7 million shares of our common stock for an aggregate cost of $300.9 million. As of September 30, 2024, there was approximately $1.28 billion remaining available for future share repurchases under the share repurchase program.</w:t>
      </w:r>
    </w:p>
    <w:p>
      <w:pPr>
        <w:spacing w:after="0" w:line="49"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As of September 30, 2024, we had $750.0 million principal amount outstanding of 2.70% senior unsecured notes due 2031, $550.0 million principal amount outstanding of 4.75% senior unsecured notes due 2027, and $500.0 million principal amount outstanding of 5.25% senior unsecured notes due April 2025 (“2025 Senior Notes”). Under existing market conditions, we intend to refinance all of our 2025 Senior Notes through the issuance of new long-term debt. As of September 30, 2024, we had no outstanding borrowings and $200.0 million in borrowing capacity under our credit facility which matures in 2028. If a suitable refinancing arrangement is not available due to a change in market conditions, we intend to utilize the credit facility to repay $200.0 million of the 2025 Senior Notes.</w:t>
      </w:r>
    </w:p>
    <w:p>
      <w:pPr>
        <w:spacing w:after="0" w:line="80"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We believe existing cash, cash equivalents and marketable securities, and funds generated from operations, together with our ability to arrange for additional financing should be sufficient to meet our working capital, capital expenditure requirements, and to service our debt for the next 12 months and beyond. We regularly assess our cash management approach and activities in view of our current and potential future needs. Our cash requirements have not changed materially since the 2023 Form 10-K.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summary, our cash flows for the nine months ended September 30, 2024 and 2023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8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8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r>
      <w:tr>
        <w:trPr>
          <w:trHeight w:val="224"/>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2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r>
      <w:tr>
        <w:trPr>
          <w:trHeight w:val="224"/>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2"/>
        </w:trPr>
        <w:tc>
          <w:tcPr>
            <w:tcW w:w="8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1"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Our largest source of operating cash flows is cash collections from our customers. Our primary uses of cash from operating activities are for personnel-related expenditures, and other general operating expenses, as well as payments related to taxes, interest and facilities.</w:t>
      </w:r>
    </w:p>
    <w:p>
      <w:pPr>
        <w:spacing w:after="0" w:line="6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increased during the nine months ended September 30, 2024, compared to the same period last year, primarily due to an increase in cash received from customers, partially offset by increases in cash paid to employees and vendors and cash paid for income taxes. Cash received from customers increased primarily due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price increases. Cash paid to employees and vendors increased primarily due to the timing of payments. Cash paid for income taxes increased primarily due to comparatively higher state income tax payments and a higher installment payment for the transition tax on our accumulated foreign earnings resulting from the 2017 Tax Cuts and Jobs Act.</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1"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purchases, maturities and sales of marketable securities, and purchases of property and equipment.</w:t>
      </w:r>
    </w:p>
    <w:p>
      <w:pPr>
        <w:spacing w:after="0" w:line="64"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We had net cash inflows from investing activities in the nine months ended September 30, 2024, compared to net cash outflows from investing activities during the same period last year, primarily due to an increase in proceeds from maturities and sales of marketable securities, net of purchases of marketable securities and a decrease in purchases of property and equipment due to the purchase of a building in 2023.</w:t>
      </w:r>
    </w:p>
    <w:p>
      <w:pPr>
        <w:spacing w:after="0" w:line="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cash flows from financing activities primarily relate to share repurchases and proceeds from our employee stock purchase plan.</w:t>
      </w:r>
    </w:p>
    <w:p>
      <w:pPr>
        <w:spacing w:after="0" w:line="109"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Net cash used in financing activities increased during the nine months ended September 30, 2024, compared to the same period last year, due to an increase in share repurchases.</w:t>
      </w:r>
    </w:p>
    <w:p>
      <w:pPr>
        <w:spacing w:after="0" w:line="299" w:lineRule="exact"/>
        <w:rPr>
          <w:sz w:val="20"/>
          <w:szCs w:val="20"/>
          <w:color w:val="auto"/>
        </w:rPr>
      </w:pPr>
    </w:p>
    <w:p>
      <w:pPr>
        <w:jc w:val="right"/>
        <w:ind w:right="4080"/>
        <w:spacing w:after="0" w:line="455" w:lineRule="auto"/>
        <w:rPr>
          <w:sz w:val="20"/>
          <w:szCs w:val="20"/>
          <w:color w:val="auto"/>
        </w:rPr>
      </w:pPr>
      <w:r>
        <w:rPr>
          <w:rFonts w:ascii="Times New Roman" w:cs="Times New Roman" w:eastAsia="Times New Roman" w:hAnsi="Times New Roman"/>
          <w:sz w:val="16"/>
          <w:szCs w:val="16"/>
          <w:b w:val="1"/>
          <w:bCs w:val="1"/>
          <w:color w:val="auto"/>
        </w:rPr>
        <w:t xml:space="preserve">ITEM 3.   QUANTITATIVE AND QUALITATIVE DISCLOSURES ABOUT MARKET RISK </w:t>
      </w:r>
      <w:r>
        <w:rPr>
          <w:rFonts w:ascii="Times New Roman" w:cs="Times New Roman" w:eastAsia="Times New Roman" w:hAnsi="Times New Roman"/>
          <w:sz w:val="16"/>
          <w:szCs w:val="16"/>
          <w:color w:val="auto"/>
        </w:rPr>
        <w:t>There have been no significant changes in our market risk exposures since December 31, 2023.</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1" w:lineRule="exact"/>
        <w:rPr>
          <w:sz w:val="20"/>
          <w:szCs w:val="20"/>
          <w:color w:val="auto"/>
        </w:rPr>
      </w:pPr>
    </w:p>
    <w:p>
      <w:pPr>
        <w:ind w:right="80" w:firstLine="434"/>
        <w:spacing w:after="0" w:line="286"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(our principal executive officer) and our Chief Financial Officer (our principal financial officer), evaluated the effectiveness of our disclosure controls and procedures. Based on this evaluation, as of September 30, 2024, our principal executive officer and principal financial officer have concluded that our disclosure controls and procedures (as defined in Rules 13a-15(e) and 15d-15(e) under the Exchange Act) are effective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1"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Rules 13a-15(f) and 15d-15(f) under the Exchange Act) during the three months ended September 30, 2024 that has materially affected, or is reasonably likely to materially affect, the Company’s internal control over financial reporting.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Disclosure Controls and Internal Control over Financial Reporting</w:t>
      </w:r>
    </w:p>
    <w:p>
      <w:pPr>
        <w:spacing w:after="0" w:line="111" w:lineRule="exact"/>
        <w:rPr>
          <w:sz w:val="20"/>
          <w:szCs w:val="20"/>
          <w:color w:val="auto"/>
        </w:rPr>
      </w:pPr>
    </w:p>
    <w:p>
      <w:pPr>
        <w:ind w:right="240" w:firstLine="434"/>
        <w:spacing w:after="0" w:line="250"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 may become inadequate because of changes in conditions or that the degree of compliance with our policies or procedures may deteriorate.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1" w:lineRule="exact"/>
        <w:rPr>
          <w:sz w:val="20"/>
          <w:szCs w:val="20"/>
          <w:color w:val="auto"/>
        </w:rPr>
      </w:pPr>
    </w:p>
    <w:p>
      <w:pPr>
        <w:ind w:firstLine="395"/>
        <w:spacing w:after="0" w:line="303" w:lineRule="auto"/>
        <w:rPr>
          <w:sz w:val="20"/>
          <w:szCs w:val="20"/>
          <w:color w:val="auto"/>
        </w:rPr>
      </w:pPr>
      <w:r>
        <w:rPr>
          <w:rFonts w:ascii="Times New Roman" w:cs="Times New Roman" w:eastAsia="Times New Roman" w:hAnsi="Times New Roman"/>
          <w:sz w:val="16"/>
          <w:szCs w:val="16"/>
          <w:color w:val="auto"/>
        </w:rPr>
        <w:t>We are involved in various investigations, claims and lawsuits arising in the normal conduct of our business, none of which, in our opinion, will have a material adverse effect on our financial condition, results of operations, or cash flows. We cannot assure you that we will prevail in any litigation. Regardless of the outcome, any litigation may require us to incur significant litigation expense and may result in significant diversion of management attention.</w:t>
      </w:r>
    </w:p>
    <w:p>
      <w:pPr>
        <w:spacing w:after="0" w:line="14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09" w:lineRule="exact"/>
        <w:rPr>
          <w:sz w:val="20"/>
          <w:szCs w:val="20"/>
          <w:color w:val="auto"/>
        </w:rPr>
      </w:pPr>
    </w:p>
    <w:p>
      <w:pPr>
        <w:ind w:right="20" w:firstLine="434"/>
        <w:spacing w:after="0" w:line="248" w:lineRule="auto"/>
        <w:rPr>
          <w:sz w:val="20"/>
          <w:szCs w:val="20"/>
          <w:color w:val="auto"/>
        </w:rPr>
      </w:pPr>
      <w:r>
        <w:rPr>
          <w:rFonts w:ascii="Times New Roman" w:cs="Times New Roman" w:eastAsia="Times New Roman" w:hAnsi="Times New Roman"/>
          <w:sz w:val="18"/>
          <w:szCs w:val="18"/>
          <w:i w:val="1"/>
          <w:iCs w:val="1"/>
          <w:color w:val="auto"/>
        </w:rPr>
        <w:t>Our business, operating results, financial condition, reputation, cash flows or prospects can be materially adversely affected by a number of factors including but not limited to those described in Part I, Item 1A of the 2023 Form 10-K under the heading “Risk Factors.” In such case, the trading price of our common stock could decline and you could lose part or all of your investment. Additional risks and uncertainties not currently known to us or that we currently deem immaterial may also materially adversely affect our business, operating results, financial condition, reputation, cash flows and prospects. Actual results could differ materially from those projected in the forward-looking statements contained in this Form 10-Q as a result of the risk factors described in Part I, Item 1A of the 2023 Form 10-K and in other filings we make with the SEC. There have been no material changes to the Company’s risk factors since the 2023 10-K.</w:t>
      </w:r>
    </w:p>
    <w:p>
      <w:pPr>
        <w:spacing w:after="0" w:line="1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share repurchase activity during the three months ended September 30,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400" w:type="dxa"/>
            <w:vAlign w:val="bottom"/>
          </w:tcPr>
          <w:p>
            <w:pPr>
              <w:spacing w:after="0"/>
              <w:rPr>
                <w:sz w:val="13"/>
                <w:szCs w:val="13"/>
                <w:color w:val="auto"/>
              </w:rPr>
            </w:pPr>
          </w:p>
        </w:tc>
        <w:tc>
          <w:tcPr>
            <w:tcW w:w="1280" w:type="dxa"/>
            <w:vAlign w:val="bottom"/>
            <w:vMerge w:val="restart"/>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4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400" w:type="dxa"/>
            <w:vAlign w:val="bottom"/>
          </w:tcPr>
          <w:p>
            <w:pPr>
              <w:spacing w:after="0"/>
              <w:rPr>
                <w:sz w:val="12"/>
                <w:szCs w:val="12"/>
                <w:color w:val="auto"/>
              </w:rPr>
            </w:pPr>
          </w:p>
        </w:tc>
        <w:tc>
          <w:tcPr>
            <w:tcW w:w="1280" w:type="dxa"/>
            <w:vAlign w:val="bottom"/>
          </w:tcPr>
          <w:p>
            <w:pPr>
              <w:jc w:val="center"/>
              <w:ind w:left="144"/>
              <w:spacing w:after="0" w:line="145" w:lineRule="exact"/>
              <w:rPr>
                <w:sz w:val="20"/>
                <w:szCs w:val="20"/>
                <w:color w:val="auto"/>
              </w:rPr>
            </w:pPr>
            <w:r>
              <w:rPr>
                <w:rFonts w:ascii="Times New Roman" w:cs="Times New Roman" w:eastAsia="Times New Roman" w:hAnsi="Times New Roman"/>
                <w:sz w:val="14"/>
                <w:szCs w:val="14"/>
                <w:b w:val="1"/>
                <w:bCs w:val="1"/>
                <w:color w:val="auto"/>
                <w:w w:val="98"/>
              </w:rPr>
              <w:t>Dollar Value of</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380" w:type="dxa"/>
            <w:vAlign w:val="bottom"/>
          </w:tcPr>
          <w:p>
            <w:pPr>
              <w:spacing w:after="0"/>
              <w:rPr>
                <w:sz w:val="11"/>
                <w:szCs w:val="11"/>
                <w:color w:val="auto"/>
              </w:rPr>
            </w:pPr>
          </w:p>
        </w:tc>
        <w:tc>
          <w:tcPr>
            <w:tcW w:w="13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400" w:type="dxa"/>
            <w:vAlign w:val="bottom"/>
          </w:tcPr>
          <w:p>
            <w:pPr>
              <w:spacing w:after="0"/>
              <w:rPr>
                <w:sz w:val="11"/>
                <w:szCs w:val="11"/>
                <w:color w:val="auto"/>
              </w:rPr>
            </w:pPr>
          </w:p>
        </w:tc>
        <w:tc>
          <w:tcPr>
            <w:tcW w:w="1280" w:type="dxa"/>
            <w:vAlign w:val="bottom"/>
          </w:tcPr>
          <w:p>
            <w:pPr>
              <w:jc w:val="center"/>
              <w:ind w:left="164"/>
              <w:spacing w:after="0" w:line="133"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Announced</w:t>
            </w:r>
          </w:p>
        </w:tc>
        <w:tc>
          <w:tcPr>
            <w:tcW w:w="400" w:type="dxa"/>
            <w:vAlign w:val="bottom"/>
          </w:tcPr>
          <w:p>
            <w:pPr>
              <w:spacing w:after="0"/>
              <w:rPr>
                <w:sz w:val="12"/>
                <w:szCs w:val="12"/>
                <w:color w:val="auto"/>
              </w:rPr>
            </w:pPr>
          </w:p>
        </w:tc>
        <w:tc>
          <w:tcPr>
            <w:tcW w:w="1280" w:type="dxa"/>
            <w:vAlign w:val="bottom"/>
          </w:tcPr>
          <w:p>
            <w:pPr>
              <w:jc w:val="center"/>
              <w:ind w:left="164"/>
              <w:spacing w:after="0" w:line="143" w:lineRule="exact"/>
              <w:rPr>
                <w:sz w:val="20"/>
                <w:szCs w:val="20"/>
                <w:color w:val="auto"/>
              </w:rPr>
            </w:pPr>
            <w:r>
              <w:rPr>
                <w:rFonts w:ascii="Times New Roman" w:cs="Times New Roman" w:eastAsia="Times New Roman" w:hAnsi="Times New Roman"/>
                <w:sz w:val="14"/>
                <w:szCs w:val="14"/>
                <w:b w:val="1"/>
                <w:bCs w:val="1"/>
                <w:color w:val="auto"/>
                <w:w w:val="97"/>
              </w:rPr>
              <w:t>Yet Be Purchased</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spacing w:after="0"/>
              <w:rPr>
                <w:sz w:val="12"/>
                <w:szCs w:val="12"/>
                <w:color w:val="auto"/>
              </w:rPr>
            </w:pPr>
          </w:p>
        </w:tc>
        <w:tc>
          <w:tcPr>
            <w:tcW w:w="1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380" w:type="dxa"/>
            <w:vAlign w:val="bottom"/>
          </w:tcPr>
          <w:p>
            <w:pPr>
              <w:spacing w:after="0"/>
              <w:rPr>
                <w:sz w:val="12"/>
                <w:szCs w:val="12"/>
                <w:color w:val="auto"/>
              </w:rPr>
            </w:pPr>
          </w:p>
        </w:tc>
        <w:tc>
          <w:tcPr>
            <w:tcW w:w="1380" w:type="dxa"/>
            <w:vAlign w:val="bottom"/>
          </w:tcPr>
          <w:p>
            <w:pPr>
              <w:jc w:val="center"/>
              <w:ind w:right="322"/>
              <w:spacing w:after="0" w:line="145"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400" w:type="dxa"/>
            <w:vAlign w:val="bottom"/>
          </w:tcPr>
          <w:p>
            <w:pPr>
              <w:spacing w:after="0"/>
              <w:rPr>
                <w:sz w:val="12"/>
                <w:szCs w:val="12"/>
                <w:color w:val="auto"/>
              </w:rPr>
            </w:pPr>
          </w:p>
        </w:tc>
        <w:tc>
          <w:tcPr>
            <w:tcW w:w="1820" w:type="dxa"/>
            <w:vAlign w:val="bottom"/>
            <w:gridSpan w:val="2"/>
          </w:tcPr>
          <w:p>
            <w:pPr>
              <w:jc w:val="center"/>
              <w:ind w:right="212"/>
              <w:spacing w:after="0" w:line="145" w:lineRule="exact"/>
              <w:rPr>
                <w:sz w:val="20"/>
                <w:szCs w:val="20"/>
                <w:color w:val="auto"/>
              </w:rPr>
            </w:pPr>
            <w:r>
              <w:rPr>
                <w:rFonts w:ascii="Times New Roman" w:cs="Times New Roman" w:eastAsia="Times New Roman" w:hAnsi="Times New Roman"/>
                <w:sz w:val="14"/>
                <w:szCs w:val="14"/>
                <w:b w:val="1"/>
                <w:bCs w:val="1"/>
                <w:color w:val="auto"/>
                <w:w w:val="98"/>
              </w:rPr>
              <w:t>Under the Plans or</w:t>
            </w: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Programs (1) (2)</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2"/>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177.56</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1,485.9</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million</w:t>
            </w:r>
          </w:p>
        </w:tc>
        <w:tc>
          <w:tcPr>
            <w:tcW w:w="0" w:type="dxa"/>
            <w:vAlign w:val="bottom"/>
          </w:tcPr>
          <w:p>
            <w:pPr>
              <w:spacing w:after="0"/>
              <w:rPr>
                <w:sz w:val="1"/>
                <w:szCs w:val="1"/>
                <w:color w:val="auto"/>
              </w:rPr>
            </w:pP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180.18</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433</w:t>
            </w:r>
          </w:p>
        </w:tc>
        <w:tc>
          <w:tcPr>
            <w:tcW w:w="4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1,408.0</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million</w:t>
            </w: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182.63</w:t>
            </w: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686</w:t>
            </w:r>
          </w:p>
        </w:tc>
        <w:tc>
          <w:tcPr>
            <w:tcW w:w="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1,282.7</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million</w:t>
            </w:r>
          </w:p>
        </w:tc>
        <w:tc>
          <w:tcPr>
            <w:tcW w:w="0" w:type="dxa"/>
            <w:vAlign w:val="bottom"/>
          </w:tcPr>
          <w:p>
            <w:pPr>
              <w:spacing w:after="0"/>
              <w:rPr>
                <w:sz w:val="1"/>
                <w:szCs w:val="1"/>
                <w:color w:val="auto"/>
              </w:rPr>
            </w:pPr>
          </w:p>
        </w:tc>
      </w:tr>
      <w:tr>
        <w:trPr>
          <w:trHeight w:val="217"/>
        </w:trPr>
        <w:tc>
          <w:tcPr>
            <w:tcW w:w="40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1,669</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right="40" w:hanging="237"/>
        <w:spacing w:after="0" w:line="252" w:lineRule="auto"/>
        <w:tabs>
          <w:tab w:leader="none" w:pos="5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25, 2024, our Board of Directors authorized the repurchase of our common stock in the amount of $1.11 billion, in addition to the $388.0 million that remained available for repurchases under the share repurchase program, for a total repurchase authorization of up to $1.50 billion under the program. The share repurchase program has no expiration date. Purchases made under the program could be effected through open market transactions, block purchases, accelerated share repurchase agreements or other negotiated transactions.</w:t>
      </w:r>
    </w:p>
    <w:p>
      <w:pPr>
        <w:spacing w:after="0" w:line="91" w:lineRule="exact"/>
        <w:rPr>
          <w:rFonts w:ascii="Times New Roman" w:cs="Times New Roman" w:eastAsia="Times New Roman" w:hAnsi="Times New Roman"/>
          <w:sz w:val="18"/>
          <w:szCs w:val="18"/>
          <w:color w:val="auto"/>
        </w:rPr>
      </w:pPr>
    </w:p>
    <w:p>
      <w:pPr>
        <w:ind w:left="420" w:hanging="257"/>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are exclusive of the excise tax on share repurchases.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Departure of Directors or Certain Officers; Election of Directors; Appointment of Certain Officers; Compensatory Arrangements of Certain Officers</w:t>
      </w:r>
    </w:p>
    <w:p>
      <w:pPr>
        <w:spacing w:after="0" w:line="13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Effective October 21, 2024, the Board of Directors (the “Board”) of VeriSign, Inc. (the “Company”) appointed Debra W. McCann to the Board, increasing the size of the Board from eight to nine directors. Ms. McCann currently serves as Executive Vice President and Chief Financial Officer at Unisys Corporation, a technology and consulting company, a position she has held since May 2022. The Board also appointed Ms. McCann to serve on the Audit Committee of the Board.</w:t>
      </w:r>
    </w:p>
    <w:p>
      <w:pPr>
        <w:spacing w:after="0" w:line="78"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As a non-employee director, Ms. McCann will receive an annual cash retainer of $50,000 and an annual equity award grant of $250,000, made solely in the form of restricted stock units. Ms. McCann will receive an additional annual cash retainer of $25,000 for her service on the Audit Committee. New directors are granted an equity award equal to the pro rata amount of such annual equity award, the amount of which is determined based on the date of such new director's appointment or election to the Board. Ms. McCann’s cash retainer will also be prorated to reflect her service for a portion of the year. In addition, the Company entered into an indemnity agreement with Ms. McCann pursuant to which the Company is required to indemnify Ms. McCann against certain liabilities which may arise by reason of her status or service as a director of the Company and to advance expenses to her arising from the investigation, defense, settlement or appeal of these liabilities. The Company's standard form of indemnity agreement was previously filed as Exhibit 10.01 to the Company's Quarterly Report on Form 10-Q for the quarter ended March 31, 2010 filed with the Securities and Exchange Commission on April 28, 2010.</w:t>
      </w:r>
    </w:p>
    <w:p>
      <w:pPr>
        <w:spacing w:after="0" w:line="60"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There was no arrangement or understanding between Ms. McCann and any other person pursuant to which Ms. McCann was appointed as a director of the Company. There have been no transactions involving the Company or any of its subsidiaries in which Ms. McCann has or will have a direct or indirect material interest that are required to be disclosed under Item 404(a) of Regulation S-K.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11"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There were no directors or executive officers that adopted, terminated or modified plans or other arrangements during the quarter ended September 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4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As required under Item 6—Exhibits, the exhibits filed as part of this report are provided in this separate section. The exhibits included in this section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0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236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00" w:type="dxa"/>
            <w:vAlign w:val="bottom"/>
            <w:gridSpan w:val="10"/>
            <w:vMerge w:val="continue"/>
          </w:tcPr>
          <w:p>
            <w:pPr>
              <w:spacing w:after="0"/>
              <w:rPr>
                <w:sz w:val="18"/>
                <w:szCs w:val="18"/>
                <w:color w:val="auto"/>
              </w:rPr>
            </w:pPr>
          </w:p>
        </w:tc>
        <w:tc>
          <w:tcPr>
            <w:tcW w:w="2360" w:type="dxa"/>
            <w:vAlign w:val="bottom"/>
            <w:gridSpan w:val="6"/>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Pr>
          <w:p>
            <w:pPr>
              <w:spacing w:after="0"/>
              <w:rPr>
                <w:sz w:val="18"/>
                <w:szCs w:val="18"/>
                <w:color w:val="auto"/>
              </w:rPr>
            </w:pPr>
          </w:p>
        </w:tc>
        <w:tc>
          <w:tcPr>
            <w:tcW w:w="5600" w:type="dxa"/>
            <w:vAlign w:val="bottom"/>
            <w:tcBorders>
              <w:top w:val="single" w:sz="8" w:color="auto"/>
            </w:tcBorders>
            <w:gridSpan w:val="9"/>
            <w:vMerge w:val="restart"/>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w:t>
            </w: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Form</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4"/>
        </w:trPr>
        <w:tc>
          <w:tcPr>
            <w:tcW w:w="900" w:type="dxa"/>
            <w:vAlign w:val="bottom"/>
            <w:tcBorders>
              <w:top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0" w:type="dxa"/>
            <w:vAlign w:val="bottom"/>
            <w:tcBorders>
              <w:top w:val="single" w:sz="8" w:color="auto"/>
            </w:tcBorders>
            <w:gridSpan w:val="9"/>
            <w:vMerge w:val="continue"/>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ind w:left="680"/>
              <w:spacing w:after="0" w:line="152"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6"/>
                <w:szCs w:val="16"/>
                <w:color w:val="0000FF"/>
              </w:rPr>
              <w:t>13a-14(a).</w:t>
            </w:r>
          </w:p>
        </w:tc>
        <w:tc>
          <w:tcPr>
            <w:tcW w:w="7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Pr>
          <w:p>
            <w:pPr>
              <w:spacing w:after="0"/>
              <w:rPr>
                <w:sz w:val="23"/>
                <w:szCs w:val="23"/>
                <w:color w:val="auto"/>
              </w:rPr>
            </w:pPr>
          </w:p>
        </w:tc>
        <w:tc>
          <w:tcPr>
            <w:tcW w:w="6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Borders>
              <w:top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6"/>
                <w:szCs w:val="16"/>
                <w:color w:val="0000FF"/>
              </w:rPr>
              <w:t>13a-14(a).</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tcPr>
          <w:p>
            <w:pPr>
              <w:spacing w:after="0"/>
              <w:rPr>
                <w:sz w:val="23"/>
                <w:szCs w:val="23"/>
                <w:color w:val="auto"/>
              </w:rPr>
            </w:pPr>
          </w:p>
        </w:tc>
        <w:tc>
          <w:tcPr>
            <w:tcW w:w="6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6"/>
                <w:szCs w:val="16"/>
                <w:color w:val="0000FF"/>
              </w:rPr>
              <w:t>13a-14(b) and Section 1350 of Chapter 63 of Title 18 of the U.S. Code</w:t>
            </w:r>
          </w:p>
        </w:tc>
        <w:tc>
          <w:tcPr>
            <w:tcW w:w="7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60" w:type="dxa"/>
            <w:vAlign w:val="bottom"/>
            <w:tcBorders>
              <w:top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6"/>
                <w:szCs w:val="16"/>
                <w:color w:val="0000FF"/>
              </w:rPr>
              <w:t>(18 U.S.C. 1350). *</w:t>
            </w: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tcPr>
          <w:p>
            <w:pPr>
              <w:spacing w:after="0"/>
              <w:rPr>
                <w:sz w:val="23"/>
                <w:szCs w:val="23"/>
                <w:color w:val="auto"/>
              </w:rPr>
            </w:pPr>
          </w:p>
        </w:tc>
        <w:tc>
          <w:tcPr>
            <w:tcW w:w="6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6"/>
                <w:szCs w:val="16"/>
                <w:color w:val="0000FF"/>
              </w:rPr>
              <w:t>13a-14(b) and Section 1350 of Chapter 63 of Title 18 of the U.S. Code (18</w:t>
            </w:r>
          </w:p>
        </w:tc>
        <w:tc>
          <w:tcPr>
            <w:tcW w:w="20" w:type="dxa"/>
            <w:vAlign w:val="bottom"/>
            <w:tcBorders>
              <w:bottom w:val="single" w:sz="8" w:color="0000FF"/>
            </w:tcBorders>
          </w:tcPr>
          <w:p>
            <w:pPr>
              <w:spacing w:after="0"/>
              <w:rPr>
                <w:sz w:val="13"/>
                <w:szCs w:val="13"/>
                <w:color w:val="auto"/>
              </w:rPr>
            </w:pPr>
          </w:p>
        </w:tc>
        <w:tc>
          <w:tcPr>
            <w:tcW w:w="7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gridSpan w:val="7"/>
          </w:tcPr>
          <w:p>
            <w:pPr>
              <w:spacing w:after="0" w:line="152" w:lineRule="exact"/>
              <w:rPr>
                <w:sz w:val="20"/>
                <w:szCs w:val="20"/>
                <w:color w:val="auto"/>
              </w:rPr>
            </w:pPr>
            <w:r>
              <w:rPr>
                <w:rFonts w:ascii="Times New Roman" w:cs="Times New Roman" w:eastAsia="Times New Roman" w:hAnsi="Times New Roman"/>
                <w:sz w:val="16"/>
                <w:szCs w:val="16"/>
                <w:color w:val="0000FF"/>
              </w:rPr>
              <w:t>U.S.C. 1350). *</w:t>
            </w:r>
          </w:p>
        </w:tc>
        <w:tc>
          <w:tcPr>
            <w:tcW w:w="7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6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Interactive Data File. The instance document does not appear in the Interactive</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10"/>
          </w:tcPr>
          <w:p>
            <w:pPr>
              <w:spacing w:after="0" w:line="171" w:lineRule="exact"/>
              <w:rPr>
                <w:sz w:val="20"/>
                <w:szCs w:val="20"/>
                <w:color w:val="auto"/>
              </w:rPr>
            </w:pPr>
            <w:r>
              <w:rPr>
                <w:rFonts w:ascii="Times New Roman" w:cs="Times New Roman" w:eastAsia="Times New Roman" w:hAnsi="Times New Roman"/>
                <w:sz w:val="18"/>
                <w:szCs w:val="18"/>
                <w:color w:val="auto"/>
              </w:rPr>
              <w:t>Data File because its XBRL tags are embedded within the Inline XBRL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9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6000" w:type="dxa"/>
            <w:vAlign w:val="bottom"/>
            <w:gridSpan w:val="10"/>
          </w:tcPr>
          <w:p>
            <w:pPr>
              <w:spacing w:after="0" w:line="180"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680"/>
              <w:spacing w:after="0" w:line="180"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8"/>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 101).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20" w:right="100" w:hanging="597"/>
        <w:spacing w:after="0" w:line="225"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by SEC Release No. 33-8212, these exhibits are furnished with this Quarterly Report on Form 10-Q and are not deemed filed with the SEC and are not incorporated by reference in any filing of VeriSign, Inc. under the Securities Act of 1933 or the Securities Exchange Act of 1934, whether made before or after the date hereof and irrespective of any general incorporation language in such filings.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right="76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VERISIGN, INC.</w:t>
            </w:r>
          </w:p>
        </w:tc>
        <w:tc>
          <w:tcPr>
            <w:tcW w:w="3380" w:type="dxa"/>
            <w:vAlign w:val="bottom"/>
          </w:tcPr>
          <w:p>
            <w:pPr>
              <w:spacing w:after="0"/>
              <w:rPr>
                <w:sz w:val="19"/>
                <w:szCs w:val="19"/>
                <w:color w:val="auto"/>
              </w:rPr>
            </w:pPr>
          </w:p>
        </w:tc>
      </w:tr>
      <w:tr>
        <w:trPr>
          <w:trHeight w:val="65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24, 2024</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18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 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IDZOS</w:t>
            </w:r>
          </w:p>
        </w:tc>
      </w:tr>
      <w:tr>
        <w:trPr>
          <w:trHeight w:val="208"/>
        </w:trPr>
        <w:tc>
          <w:tcPr>
            <w:tcW w:w="3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380" w:type="dxa"/>
            <w:vAlign w:val="bottom"/>
          </w:tcPr>
          <w:p>
            <w:pPr>
              <w:jc w:val="center"/>
              <w:ind w:right="1792"/>
              <w:spacing w:after="0"/>
              <w:rPr>
                <w:sz w:val="20"/>
                <w:szCs w:val="20"/>
                <w:color w:val="auto"/>
              </w:rPr>
            </w:pPr>
            <w:r>
              <w:rPr>
                <w:rFonts w:ascii="Times New Roman" w:cs="Times New Roman" w:eastAsia="Times New Roman" w:hAnsi="Times New Roman"/>
                <w:sz w:val="18"/>
                <w:szCs w:val="18"/>
                <w:b w:val="1"/>
                <w:bCs w:val="1"/>
                <w:color w:val="auto"/>
                <w:w w:val="97"/>
              </w:rPr>
              <w:t>D. James Bidzos</w:t>
            </w:r>
          </w:p>
        </w:tc>
      </w:tr>
      <w:tr>
        <w:trPr>
          <w:trHeight w:val="232"/>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Chief Executive Officer</w:t>
            </w:r>
          </w:p>
        </w:tc>
      </w:tr>
      <w:tr>
        <w:trPr>
          <w:trHeight w:val="6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24, 2024</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18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EORGE</w:t>
            </w:r>
            <w:r>
              <w:rPr>
                <w:rFonts w:ascii="Times New Roman" w:cs="Times New Roman" w:eastAsia="Times New Roman" w:hAnsi="Times New Roman"/>
                <w:sz w:val="18"/>
                <w:szCs w:val="18"/>
                <w:color w:val="auto"/>
              </w:rPr>
              <w:t xml:space="preserve"> E. K</w:t>
            </w:r>
            <w:r>
              <w:rPr>
                <w:rFonts w:ascii="Times New Roman" w:cs="Times New Roman" w:eastAsia="Times New Roman" w:hAnsi="Times New Roman"/>
                <w:sz w:val="14"/>
                <w:szCs w:val="14"/>
                <w:color w:val="auto"/>
              </w:rPr>
              <w:t>ILGUSS</w:t>
            </w:r>
            <w:r>
              <w:rPr>
                <w:rFonts w:ascii="Times New Roman" w:cs="Times New Roman" w:eastAsia="Times New Roman" w:hAnsi="Times New Roman"/>
                <w:sz w:val="18"/>
                <w:szCs w:val="18"/>
                <w:color w:val="auto"/>
              </w:rPr>
              <w:t>, III</w:t>
            </w:r>
          </w:p>
        </w:tc>
      </w:tr>
      <w:tr>
        <w:trPr>
          <w:trHeight w:val="208"/>
        </w:trPr>
        <w:tc>
          <w:tcPr>
            <w:tcW w:w="3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George E. Kilguss, III</w:t>
            </w:r>
          </w:p>
        </w:tc>
      </w:tr>
      <w:tr>
        <w:trPr>
          <w:trHeight w:val="232"/>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Chief Financial Officer</w:t>
            </w:r>
          </w:p>
        </w:tc>
      </w:tr>
      <w:tr>
        <w:trPr>
          <w:trHeight w:val="711"/>
        </w:trPr>
        <w:tc>
          <w:tcPr>
            <w:tcW w:w="3580" w:type="dxa"/>
            <w:vAlign w:val="bottom"/>
          </w:tcPr>
          <w:p>
            <w:pPr>
              <w:spacing w:after="0"/>
              <w:rPr>
                <w:sz w:val="24"/>
                <w:szCs w:val="24"/>
                <w:color w:val="auto"/>
              </w:rPr>
            </w:pPr>
          </w:p>
        </w:tc>
        <w:tc>
          <w:tcPr>
            <w:tcW w:w="23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21</w:t>
            </w:r>
          </w:p>
        </w:tc>
        <w:tc>
          <w:tcPr>
            <w:tcW w:w="188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96"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D. James Bidzos, certify that:</w:t>
      </w:r>
    </w:p>
    <w:p>
      <w:pPr>
        <w:spacing w:after="0" w:line="83" w:lineRule="exact"/>
        <w:rPr>
          <w:sz w:val="20"/>
          <w:szCs w:val="20"/>
          <w:color w:val="auto"/>
        </w:rPr>
      </w:pPr>
    </w:p>
    <w:p>
      <w:pPr>
        <w:ind w:left="820" w:hanging="183"/>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VeriSign, Inc.;</w:t>
      </w:r>
    </w:p>
    <w:p>
      <w:pPr>
        <w:spacing w:after="0" w:line="95" w:lineRule="exact"/>
        <w:rPr>
          <w:rFonts w:ascii="Times New Roman" w:cs="Times New Roman" w:eastAsia="Times New Roman" w:hAnsi="Times New Roman"/>
          <w:sz w:val="18"/>
          <w:szCs w:val="18"/>
          <w:color w:val="auto"/>
        </w:rPr>
      </w:pPr>
    </w:p>
    <w:p>
      <w:pPr>
        <w:ind w:right="220" w:firstLine="637"/>
        <w:spacing w:after="0" w:line="332" w:lineRule="auto"/>
        <w:tabs>
          <w:tab w:leader="none" w:pos="80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right="200" w:firstLine="637"/>
        <w:spacing w:after="0" w:line="268" w:lineRule="auto"/>
        <w:tabs>
          <w:tab w:leader="none" w:pos="8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Times New Roman" w:cs="Times New Roman" w:eastAsia="Times New Roman" w:hAnsi="Times New Roman"/>
          <w:sz w:val="18"/>
          <w:szCs w:val="18"/>
          <w:color w:val="auto"/>
        </w:rPr>
      </w:pPr>
    </w:p>
    <w:p>
      <w:pPr>
        <w:ind w:right="120" w:firstLine="637"/>
        <w:spacing w:after="0" w:line="256" w:lineRule="auto"/>
        <w:tabs>
          <w:tab w:leader="none" w:pos="8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640" w:right="20" w:firstLine="628"/>
        <w:spacing w:after="0" w:line="256" w:lineRule="auto"/>
        <w:tabs>
          <w:tab w:leader="none" w:pos="14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220" w:firstLine="628"/>
        <w:spacing w:after="0" w:line="256" w:lineRule="auto"/>
        <w:tabs>
          <w:tab w:leader="none" w:pos="146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640" w:right="340" w:firstLine="628"/>
        <w:spacing w:after="0" w:line="332" w:lineRule="auto"/>
        <w:tabs>
          <w:tab w:leader="none" w:pos="1452"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6"/>
          <w:szCs w:val="16"/>
          <w:color w:val="auto"/>
        </w:rPr>
      </w:pPr>
    </w:p>
    <w:p>
      <w:pPr>
        <w:ind w:left="640" w:right="300" w:firstLine="628"/>
        <w:spacing w:after="0" w:line="256" w:lineRule="auto"/>
        <w:tabs>
          <w:tab w:leader="none" w:pos="146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right="180" w:firstLine="637"/>
        <w:spacing w:after="0" w:line="268" w:lineRule="auto"/>
        <w:tabs>
          <w:tab w:leader="none" w:pos="8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Times New Roman" w:cs="Times New Roman" w:eastAsia="Times New Roman" w:hAnsi="Times New Roman"/>
          <w:sz w:val="18"/>
          <w:szCs w:val="18"/>
          <w:color w:val="auto"/>
        </w:rPr>
      </w:pPr>
    </w:p>
    <w:p>
      <w:pPr>
        <w:ind w:left="640" w:right="540" w:firstLine="628"/>
        <w:spacing w:after="0" w:line="268" w:lineRule="auto"/>
        <w:tabs>
          <w:tab w:leader="none" w:pos="14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8"/>
          <w:szCs w:val="18"/>
          <w:color w:val="auto"/>
        </w:rPr>
      </w:pPr>
    </w:p>
    <w:p>
      <w:pPr>
        <w:ind w:left="640" w:right="240" w:firstLine="628"/>
        <w:spacing w:after="0" w:line="268" w:lineRule="auto"/>
        <w:tabs>
          <w:tab w:leader="none" w:pos="146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680"/>
        <w:spacing w:after="0"/>
        <w:tabs>
          <w:tab w:leader="none" w:pos="5840" w:val="left"/>
          <w:tab w:leader="none" w:pos="7700" w:val="left"/>
        </w:tabs>
        <w:rPr>
          <w:sz w:val="20"/>
          <w:szCs w:val="20"/>
          <w:color w:val="auto"/>
        </w:rPr>
      </w:pPr>
      <w:r>
        <w:rPr>
          <w:rFonts w:ascii="Times New Roman" w:cs="Times New Roman" w:eastAsia="Times New Roman" w:hAnsi="Times New Roman"/>
          <w:sz w:val="18"/>
          <w:szCs w:val="18"/>
          <w:color w:val="auto"/>
        </w:rPr>
        <w:t>Date: October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 J</w:t>
      </w:r>
      <w:r>
        <w:rPr>
          <w:rFonts w:ascii="Times New Roman" w:cs="Times New Roman" w:eastAsia="Times New Roman" w:hAnsi="Times New Roman"/>
          <w:sz w:val="13"/>
          <w:szCs w:val="13"/>
          <w:color w:val="auto"/>
        </w:rPr>
        <w:t>AMES</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22225</wp:posOffset>
            </wp:positionV>
            <wp:extent cx="2715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15895" cy="8255"/>
                    </a:xfrm>
                    <a:prstGeom prst="rect">
                      <a:avLst/>
                    </a:prstGeom>
                    <a:noFill/>
                  </pic:spPr>
                </pic:pic>
              </a:graphicData>
            </a:graphic>
          </wp:anchor>
        </w:drawing>
      </w:r>
    </w:p>
    <w:p>
      <w:pPr>
        <w:spacing w:after="0" w:line="2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D. James Bidzos</w:t>
      </w:r>
    </w:p>
    <w:p>
      <w:pPr>
        <w:spacing w:after="0" w:line="23"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ectPr>
          <w:pgSz w:w="11900" w:h="16838" w:orient="portrait"/>
          <w:cols w:equalWidth="0" w:num="1">
            <w:col w:w="11240"/>
          </w:cols>
          <w:pgMar w:left="320" w:top="127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96"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George E. Kilguss, III, certify that:</w:t>
      </w:r>
    </w:p>
    <w:p>
      <w:pPr>
        <w:spacing w:after="0" w:line="83" w:lineRule="exact"/>
        <w:rPr>
          <w:sz w:val="20"/>
          <w:szCs w:val="20"/>
          <w:color w:val="auto"/>
        </w:rPr>
      </w:pPr>
    </w:p>
    <w:p>
      <w:pPr>
        <w:ind w:left="820" w:hanging="183"/>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VeriSign, Inc.;</w:t>
      </w:r>
    </w:p>
    <w:p>
      <w:pPr>
        <w:spacing w:after="0" w:line="95" w:lineRule="exact"/>
        <w:rPr>
          <w:rFonts w:ascii="Times New Roman" w:cs="Times New Roman" w:eastAsia="Times New Roman" w:hAnsi="Times New Roman"/>
          <w:sz w:val="18"/>
          <w:szCs w:val="18"/>
          <w:color w:val="auto"/>
        </w:rPr>
      </w:pPr>
    </w:p>
    <w:p>
      <w:pPr>
        <w:ind w:right="220" w:firstLine="637"/>
        <w:spacing w:after="0" w:line="332" w:lineRule="auto"/>
        <w:tabs>
          <w:tab w:leader="none" w:pos="80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right="200" w:firstLine="637"/>
        <w:spacing w:after="0" w:line="268" w:lineRule="auto"/>
        <w:tabs>
          <w:tab w:leader="none" w:pos="8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Times New Roman" w:cs="Times New Roman" w:eastAsia="Times New Roman" w:hAnsi="Times New Roman"/>
          <w:sz w:val="18"/>
          <w:szCs w:val="18"/>
          <w:color w:val="auto"/>
        </w:rPr>
      </w:pPr>
    </w:p>
    <w:p>
      <w:pPr>
        <w:ind w:right="120" w:firstLine="637"/>
        <w:spacing w:after="0" w:line="256" w:lineRule="auto"/>
        <w:tabs>
          <w:tab w:leader="none" w:pos="8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640" w:right="20" w:firstLine="628"/>
        <w:spacing w:after="0" w:line="256" w:lineRule="auto"/>
        <w:tabs>
          <w:tab w:leader="none" w:pos="14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220" w:firstLine="628"/>
        <w:spacing w:after="0" w:line="256" w:lineRule="auto"/>
        <w:tabs>
          <w:tab w:leader="none" w:pos="14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640" w:right="340" w:firstLine="628"/>
        <w:spacing w:after="0" w:line="332" w:lineRule="auto"/>
        <w:tabs>
          <w:tab w:leader="none" w:pos="1452"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6"/>
          <w:szCs w:val="16"/>
          <w:color w:val="auto"/>
        </w:rPr>
      </w:pPr>
    </w:p>
    <w:p>
      <w:pPr>
        <w:ind w:left="640" w:right="300" w:firstLine="628"/>
        <w:spacing w:after="0" w:line="256" w:lineRule="auto"/>
        <w:tabs>
          <w:tab w:leader="none" w:pos="14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right="180" w:firstLine="637"/>
        <w:spacing w:after="0" w:line="268" w:lineRule="auto"/>
        <w:tabs>
          <w:tab w:leader="none" w:pos="8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Times New Roman" w:cs="Times New Roman" w:eastAsia="Times New Roman" w:hAnsi="Times New Roman"/>
          <w:sz w:val="18"/>
          <w:szCs w:val="18"/>
          <w:color w:val="auto"/>
        </w:rPr>
      </w:pPr>
    </w:p>
    <w:p>
      <w:pPr>
        <w:ind w:left="640" w:right="540" w:firstLine="628"/>
        <w:spacing w:after="0" w:line="268" w:lineRule="auto"/>
        <w:tabs>
          <w:tab w:leader="none" w:pos="14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8"/>
          <w:szCs w:val="18"/>
          <w:color w:val="auto"/>
        </w:rPr>
      </w:pPr>
    </w:p>
    <w:p>
      <w:pPr>
        <w:ind w:left="640" w:right="240" w:firstLine="628"/>
        <w:spacing w:after="0" w:line="268" w:lineRule="auto"/>
        <w:tabs>
          <w:tab w:leader="none" w:pos="14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tabs>
          <w:tab w:leader="none" w:pos="5920" w:val="left"/>
          <w:tab w:leader="none" w:pos="7800" w:val="left"/>
        </w:tabs>
        <w:rPr>
          <w:sz w:val="20"/>
          <w:szCs w:val="20"/>
          <w:color w:val="auto"/>
        </w:rPr>
      </w:pPr>
      <w:r>
        <w:rPr>
          <w:rFonts w:ascii="Times New Roman" w:cs="Times New Roman" w:eastAsia="Times New Roman" w:hAnsi="Times New Roman"/>
          <w:sz w:val="18"/>
          <w:szCs w:val="18"/>
          <w:color w:val="auto"/>
        </w:rPr>
        <w:t>Date: October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G</w:t>
      </w:r>
      <w:r>
        <w:rPr>
          <w:rFonts w:ascii="Times New Roman" w:cs="Times New Roman" w:eastAsia="Times New Roman" w:hAnsi="Times New Roman"/>
          <w:sz w:val="13"/>
          <w:szCs w:val="13"/>
          <w:color w:val="auto"/>
        </w:rPr>
        <w:t>EORGE</w:t>
      </w:r>
      <w:r>
        <w:rPr>
          <w:rFonts w:ascii="Times New Roman" w:cs="Times New Roman" w:eastAsia="Times New Roman" w:hAnsi="Times New Roman"/>
          <w:sz w:val="16"/>
          <w:szCs w:val="16"/>
          <w:color w:val="auto"/>
        </w:rPr>
        <w:t xml:space="preserve"> E. K</w:t>
      </w:r>
      <w:r>
        <w:rPr>
          <w:rFonts w:ascii="Times New Roman" w:cs="Times New Roman" w:eastAsia="Times New Roman" w:hAnsi="Times New Roman"/>
          <w:sz w:val="13"/>
          <w:szCs w:val="13"/>
          <w:color w:val="auto"/>
        </w:rPr>
        <w:t>ILGUSS</w:t>
      </w:r>
      <w:r>
        <w:rPr>
          <w:rFonts w:ascii="Times New Roman" w:cs="Times New Roman" w:eastAsia="Times New Roman" w:hAnsi="Times New Roman"/>
          <w:sz w:val="16"/>
          <w:szCs w:val="16"/>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4047490</wp:posOffset>
            </wp:positionH>
            <wp:positionV relativeFrom="paragraph">
              <wp:posOffset>22225</wp:posOffset>
            </wp:positionV>
            <wp:extent cx="30835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83560" cy="8255"/>
                    </a:xfrm>
                    <a:prstGeom prst="rect">
                      <a:avLst/>
                    </a:prstGeom>
                    <a:noFill/>
                  </pic:spPr>
                </pic:pic>
              </a:graphicData>
            </a:graphic>
          </wp:anchor>
        </w:drawing>
      </w:r>
    </w:p>
    <w:p>
      <w:pPr>
        <w:spacing w:after="0" w:line="2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George E. Kilguss, III</w:t>
      </w:r>
    </w:p>
    <w:p>
      <w:pPr>
        <w:spacing w:after="0" w:line="2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11240"/>
          </w:cols>
          <w:pgMar w:left="320" w:top="127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5" w:lineRule="exact"/>
        <w:rPr>
          <w:sz w:val="20"/>
          <w:szCs w:val="20"/>
          <w:color w:val="auto"/>
        </w:rPr>
      </w:pPr>
    </w:p>
    <w:p>
      <w:pPr>
        <w:ind w:right="380" w:firstLine="632"/>
        <w:spacing w:after="0" w:line="268" w:lineRule="auto"/>
        <w:rPr>
          <w:sz w:val="20"/>
          <w:szCs w:val="20"/>
          <w:color w:val="auto"/>
        </w:rPr>
      </w:pPr>
      <w:r>
        <w:rPr>
          <w:rFonts w:ascii="Times New Roman" w:cs="Times New Roman" w:eastAsia="Times New Roman" w:hAnsi="Times New Roman"/>
          <w:sz w:val="18"/>
          <w:szCs w:val="18"/>
          <w:color w:val="auto"/>
        </w:rPr>
        <w:t>I, D. James Bidzos, Chief Executive Officer of VeriSign, Inc. (the “Company”), do hereby certify, pursuant to 18 U.S.C. Section 1350, as adopted pursuant to Section 906 of the Sarbanes-Oxley Act of 2002, that, to my knowledge:</w:t>
      </w:r>
    </w:p>
    <w:p>
      <w:pPr>
        <w:spacing w:after="0" w:line="38" w:lineRule="exact"/>
        <w:rPr>
          <w:sz w:val="20"/>
          <w:szCs w:val="20"/>
          <w:color w:val="auto"/>
        </w:rPr>
      </w:pPr>
    </w:p>
    <w:p>
      <w:pPr>
        <w:ind w:left="640" w:right="320" w:firstLine="628"/>
        <w:spacing w:after="0" w:line="332" w:lineRule="auto"/>
        <w:tabs>
          <w:tab w:leader="none" w:pos="144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fiscal quarter ended September 30, 2024, as filed with the Securities and Exchange Commission (the “Report”), fully complies with the requirements of Section 13(a) or 15(d) of the Securities Exchange Act of 1934; and</w:t>
      </w:r>
    </w:p>
    <w:p>
      <w:pPr>
        <w:spacing w:after="0" w:line="4" w:lineRule="exact"/>
        <w:rPr>
          <w:rFonts w:ascii="Times New Roman" w:cs="Times New Roman" w:eastAsia="Times New Roman" w:hAnsi="Times New Roman"/>
          <w:sz w:val="16"/>
          <w:szCs w:val="16"/>
          <w:color w:val="auto"/>
        </w:rPr>
      </w:pPr>
    </w:p>
    <w:p>
      <w:pPr>
        <w:ind w:left="1440" w:hanging="172"/>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17" w:lineRule="exact"/>
        <w:rPr>
          <w:sz w:val="20"/>
          <w:szCs w:val="20"/>
          <w:color w:val="auto"/>
        </w:rPr>
      </w:pPr>
    </w:p>
    <w:p>
      <w:pPr>
        <w:ind w:left="980"/>
        <w:spacing w:after="0"/>
        <w:tabs>
          <w:tab w:leader="none" w:pos="7560" w:val="left"/>
        </w:tabs>
        <w:rPr>
          <w:sz w:val="20"/>
          <w:szCs w:val="20"/>
          <w:color w:val="auto"/>
        </w:rPr>
      </w:pPr>
      <w:r>
        <w:rPr>
          <w:rFonts w:ascii="Times New Roman" w:cs="Times New Roman" w:eastAsia="Times New Roman" w:hAnsi="Times New Roman"/>
          <w:sz w:val="18"/>
          <w:szCs w:val="18"/>
          <w:color w:val="auto"/>
        </w:rPr>
        <w:t>Date: October 24, 2024</w:t>
      </w:r>
      <w:r>
        <w:rPr>
          <w:sz w:val="20"/>
          <w:szCs w:val="20"/>
          <w:color w:val="auto"/>
        </w:rPr>
        <w:tab/>
      </w:r>
      <w:r>
        <w:rPr>
          <w:rFonts w:ascii="Times New Roman" w:cs="Times New Roman" w:eastAsia="Times New Roman" w:hAnsi="Times New Roman"/>
          <w:sz w:val="16"/>
          <w:szCs w:val="16"/>
          <w:color w:val="auto"/>
        </w:rPr>
        <w:t>/S/ D. J</w:t>
      </w:r>
      <w:r>
        <w:rPr>
          <w:rFonts w:ascii="Times New Roman" w:cs="Times New Roman" w:eastAsia="Times New Roman" w:hAnsi="Times New Roman"/>
          <w:sz w:val="13"/>
          <w:szCs w:val="13"/>
          <w:color w:val="auto"/>
        </w:rPr>
        <w:t>AMES</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4039235</wp:posOffset>
            </wp:positionH>
            <wp:positionV relativeFrom="paragraph">
              <wp:posOffset>22225</wp:posOffset>
            </wp:positionV>
            <wp:extent cx="2489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D. James Bidzos</w:t>
      </w:r>
    </w:p>
    <w:p>
      <w:pPr>
        <w:spacing w:after="0" w:line="23"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ectPr>
          <w:pgSz w:w="11900" w:h="16838" w:orient="portrait"/>
          <w:cols w:equalWidth="0" w:num="1">
            <w:col w:w="11240"/>
          </w:cols>
          <w:pgMar w:left="320" w:top="127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32.02</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5" w:lineRule="exact"/>
        <w:rPr>
          <w:sz w:val="20"/>
          <w:szCs w:val="20"/>
          <w:color w:val="auto"/>
        </w:rPr>
      </w:pPr>
    </w:p>
    <w:p>
      <w:pPr>
        <w:ind w:right="40" w:firstLine="632"/>
        <w:spacing w:after="0" w:line="268" w:lineRule="auto"/>
        <w:rPr>
          <w:sz w:val="20"/>
          <w:szCs w:val="20"/>
          <w:color w:val="auto"/>
        </w:rPr>
      </w:pPr>
      <w:r>
        <w:rPr>
          <w:rFonts w:ascii="Times New Roman" w:cs="Times New Roman" w:eastAsia="Times New Roman" w:hAnsi="Times New Roman"/>
          <w:sz w:val="18"/>
          <w:szCs w:val="18"/>
          <w:color w:val="auto"/>
        </w:rPr>
        <w:t>I, George E. Kilguss, III, Chief Financial Officer of VeriSign, Inc. (the “Company”), do hereby certify, pursuant to 18 U.S.C. Section 1350, as adopted pursuant to Section 906 of the Sarbanes-Oxley Act of 2002, that, to my knowledge:</w:t>
      </w:r>
    </w:p>
    <w:p>
      <w:pPr>
        <w:spacing w:after="0" w:line="38" w:lineRule="exact"/>
        <w:rPr>
          <w:sz w:val="20"/>
          <w:szCs w:val="20"/>
          <w:color w:val="auto"/>
        </w:rPr>
      </w:pPr>
    </w:p>
    <w:p>
      <w:pPr>
        <w:ind w:left="640" w:right="320" w:firstLine="628"/>
        <w:spacing w:after="0" w:line="332" w:lineRule="auto"/>
        <w:tabs>
          <w:tab w:leader="none" w:pos="144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fiscal quarter ended September 30, 2024, as filed with the Securities and Exchange Commission (the “Report”), fully complies with the requirements of Section 13(a) or 15(d) of the Securities Exchange Act of 1934; and</w:t>
      </w:r>
    </w:p>
    <w:p>
      <w:pPr>
        <w:spacing w:after="0" w:line="4" w:lineRule="exact"/>
        <w:rPr>
          <w:rFonts w:ascii="Times New Roman" w:cs="Times New Roman" w:eastAsia="Times New Roman" w:hAnsi="Times New Roman"/>
          <w:sz w:val="16"/>
          <w:szCs w:val="16"/>
          <w:color w:val="auto"/>
        </w:rPr>
      </w:pPr>
    </w:p>
    <w:p>
      <w:pPr>
        <w:ind w:left="1440" w:hanging="172"/>
        <w:spacing w:after="0"/>
        <w:tabs>
          <w:tab w:leader="none" w:pos="1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17" w:lineRule="exact"/>
        <w:rPr>
          <w:sz w:val="20"/>
          <w:szCs w:val="20"/>
          <w:color w:val="auto"/>
        </w:rPr>
      </w:pPr>
    </w:p>
    <w:p>
      <w:pPr>
        <w:ind w:left="980"/>
        <w:spacing w:after="0"/>
        <w:tabs>
          <w:tab w:leader="none" w:pos="7300" w:val="left"/>
        </w:tabs>
        <w:rPr>
          <w:sz w:val="20"/>
          <w:szCs w:val="20"/>
          <w:color w:val="auto"/>
        </w:rPr>
      </w:pPr>
      <w:r>
        <w:rPr>
          <w:rFonts w:ascii="Times New Roman" w:cs="Times New Roman" w:eastAsia="Times New Roman" w:hAnsi="Times New Roman"/>
          <w:sz w:val="18"/>
          <w:szCs w:val="18"/>
          <w:color w:val="auto"/>
        </w:rPr>
        <w:t>Date: October 24, 2024</w:t>
      </w:r>
      <w:r>
        <w:rPr>
          <w:sz w:val="20"/>
          <w:szCs w:val="20"/>
          <w:color w:val="auto"/>
        </w:rPr>
        <w:tab/>
      </w:r>
      <w:r>
        <w:rPr>
          <w:rFonts w:ascii="Times New Roman" w:cs="Times New Roman" w:eastAsia="Times New Roman" w:hAnsi="Times New Roman"/>
          <w:sz w:val="16"/>
          <w:szCs w:val="16"/>
          <w:color w:val="auto"/>
        </w:rPr>
        <w:t>/S/ G</w:t>
      </w:r>
      <w:r>
        <w:rPr>
          <w:rFonts w:ascii="Times New Roman" w:cs="Times New Roman" w:eastAsia="Times New Roman" w:hAnsi="Times New Roman"/>
          <w:sz w:val="13"/>
          <w:szCs w:val="13"/>
          <w:color w:val="auto"/>
        </w:rPr>
        <w:t>EORGE</w:t>
      </w:r>
      <w:r>
        <w:rPr>
          <w:rFonts w:ascii="Times New Roman" w:cs="Times New Roman" w:eastAsia="Times New Roman" w:hAnsi="Times New Roman"/>
          <w:sz w:val="16"/>
          <w:szCs w:val="16"/>
          <w:color w:val="auto"/>
        </w:rPr>
        <w:t xml:space="preserve"> E. K</w:t>
      </w:r>
      <w:r>
        <w:rPr>
          <w:rFonts w:ascii="Times New Roman" w:cs="Times New Roman" w:eastAsia="Times New Roman" w:hAnsi="Times New Roman"/>
          <w:sz w:val="13"/>
          <w:szCs w:val="13"/>
          <w:color w:val="auto"/>
        </w:rPr>
        <w:t>ILGUSS</w:t>
      </w:r>
      <w:r>
        <w:rPr>
          <w:rFonts w:ascii="Times New Roman" w:cs="Times New Roman" w:eastAsia="Times New Roman" w:hAnsi="Times New Roman"/>
          <w:sz w:val="16"/>
          <w:szCs w:val="16"/>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22225</wp:posOffset>
            </wp:positionV>
            <wp:extent cx="25234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3490" cy="8255"/>
                    </a:xfrm>
                    <a:prstGeom prst="rect">
                      <a:avLst/>
                    </a:prstGeom>
                    <a:noFill/>
                  </pic:spPr>
                </pic:pic>
              </a:graphicData>
            </a:graphic>
          </wp:anchor>
        </w:drawing>
      </w:r>
    </w:p>
    <w:p>
      <w:pPr>
        <w:spacing w:after="0" w:line="2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George E. Kilguss, III</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sectPr>
      <w:pgSz w:w="11900" w:h="16838" w:orient="portrait"/>
      <w:cols w:equalWidth="0" w:num="1">
        <w:col w:w="11240"/>
      </w:cols>
      <w:pgMar w:left="320" w:top="12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2024-10-24T16:14:46Z</dcterms:created>
  <dcterms:modified xsi:type="dcterms:W3CDTF">2024-10-24T16:14:46Z</dcterms:modified>
</cp:coreProperties>
</file>