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97118.xml.htm"/>
      <w:bookmarkStart w:id="1" w:name="kswkform4_17895971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McPherson Danny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- Technology &amp; CSO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3"/>
        <w:gridCol w:w="900"/>
        <w:gridCol w:w="772"/>
        <w:gridCol w:w="597"/>
        <w:gridCol w:w="336"/>
        <w:gridCol w:w="991"/>
        <w:gridCol w:w="420"/>
        <w:gridCol w:w="829"/>
        <w:gridCol w:w="1468"/>
        <w:gridCol w:w="955"/>
        <w:gridCol w:w="90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20.6884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297.26</w:t>
            </w:r>
          </w:p>
        </w:tc>
        <w:tc>
          <w:tcPr>
            <w:tcW w:w="1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33,804.4209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 of shares exempt under Rule 16b-3 as payment of tax liability to Company by delivery or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58.0847 dividend equivalent restricted stock units acquired on August 27, 2026, in respect of previously granted restricted stock units under the Company's Amended and Restated 2006 Equity Incentive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Danny R. McPherson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0987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629</Words>
  <Characters>3432</Characters>
  <CharactersWithSpaces>3992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