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431165</wp:posOffset>
            </wp:positionH>
            <wp:positionV relativeFrom="page">
              <wp:posOffset>509270</wp:posOffset>
            </wp:positionV>
            <wp:extent cx="6694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534670</wp:posOffset>
            </wp:positionV>
            <wp:extent cx="6694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4805" cy="8890"/>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135255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21" w:lineRule="exact"/>
        <w:rPr>
          <w:sz w:val="24"/>
          <w:szCs w:val="24"/>
          <w:color w:val="auto"/>
        </w:rPr>
      </w:pPr>
    </w:p>
    <w:tbl>
      <w:tblPr>
        <w:tblLayout w:type="fixed"/>
        <w:tblInd w:w="1480" w:type="dxa"/>
        <w:tblCellMar>
          <w:top w:w="0" w:type="dxa"/>
          <w:left w:w="0" w:type="dxa"/>
          <w:bottom w:w="0" w:type="dxa"/>
          <w:right w:w="0" w:type="dxa"/>
        </w:tblCellMar>
      </w:tblPr>
      <w:tr>
        <w:trPr>
          <w:trHeight w:val="522"/>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41"/>
                <w:szCs w:val="41"/>
                <w:b w:val="1"/>
                <w:bCs w:val="1"/>
                <w:color w:val="auto"/>
              </w:rPr>
              <w:t>VERISIGN, INC.</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1760" w:type="dxa"/>
            <w:vAlign w:val="bottom"/>
          </w:tcPr>
          <w:p>
            <w:pPr>
              <w:spacing w:after="0"/>
              <w:rPr>
                <w:sz w:val="20"/>
                <w:szCs w:val="20"/>
                <w:color w:val="auto"/>
              </w:rPr>
            </w:pPr>
          </w:p>
        </w:tc>
        <w:tc>
          <w:tcPr>
            <w:tcW w:w="456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62"/>
        </w:trPr>
        <w:tc>
          <w:tcPr>
            <w:tcW w:w="176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r>
      <w:tr>
        <w:trPr>
          <w:trHeight w:val="374"/>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17"/>
        </w:trPr>
        <w:tc>
          <w:tcPr>
            <w:tcW w:w="17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w w:val="97"/>
              </w:rPr>
              <w:t>000-23593</w:t>
            </w:r>
          </w:p>
        </w:tc>
        <w:tc>
          <w:tcPr>
            <w:tcW w:w="4560" w:type="dxa"/>
            <w:vAlign w:val="bottom"/>
          </w:tcPr>
          <w:p>
            <w:pPr>
              <w:spacing w:after="0"/>
              <w:rPr>
                <w:sz w:val="24"/>
                <w:szCs w:val="24"/>
                <w:color w:val="auto"/>
              </w:rPr>
            </w:pP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6320" w:type="dxa"/>
            <w:vAlign w:val="bottom"/>
            <w:gridSpan w:val="2"/>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4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320" w:type="dxa"/>
            <w:vAlign w:val="bottom"/>
            <w:gridSpan w:val="2"/>
          </w:tcPr>
          <w:p>
            <w:pPr>
              <w:jc w:val="center"/>
              <w:ind w:right="3861"/>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7"/>
        </w:trPr>
        <w:tc>
          <w:tcPr>
            <w:tcW w:w="6320" w:type="dxa"/>
            <w:vAlign w:val="bottom"/>
            <w:gridSpan w:val="2"/>
          </w:tcPr>
          <w:p>
            <w:pPr>
              <w:jc w:val="center"/>
              <w:ind w:right="3821"/>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12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6320" w:type="dxa"/>
            <w:vAlign w:val="bottom"/>
            <w:gridSpan w:val="2"/>
          </w:tcPr>
          <w:p>
            <w:pPr>
              <w:jc w:val="center"/>
              <w:ind w:right="38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10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58"/>
        </w:trPr>
        <w:tc>
          <w:tcPr>
            <w:tcW w:w="6320" w:type="dxa"/>
            <w:vAlign w:val="bottom"/>
            <w:gridSpan w:val="2"/>
          </w:tcPr>
          <w:p>
            <w:pPr>
              <w:jc w:val="center"/>
              <w:ind w:left="1878"/>
              <w:spacing w:after="0"/>
              <w:rPr>
                <w:sz w:val="20"/>
                <w:szCs w:val="20"/>
                <w:color w:val="auto"/>
              </w:rPr>
            </w:pPr>
            <w:r>
              <w:rPr>
                <w:rFonts w:ascii="Times New Roman" w:cs="Times New Roman" w:eastAsia="Times New Roman" w:hAnsi="Times New Roman"/>
                <w:sz w:val="18"/>
                <w:szCs w:val="18"/>
                <w:b w:val="1"/>
                <w:bCs w:val="1"/>
                <w:color w:val="auto"/>
                <w:w w:val="99"/>
              </w:rPr>
              <w:t>(703) 948-3200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09"/>
        </w:trPr>
        <w:tc>
          <w:tcPr>
            <w:tcW w:w="1760" w:type="dxa"/>
            <w:vAlign w:val="bottom"/>
          </w:tcPr>
          <w:p>
            <w:pPr>
              <w:spacing w:after="0"/>
              <w:rPr>
                <w:sz w:val="24"/>
                <w:szCs w:val="24"/>
                <w:color w:val="auto"/>
              </w:rPr>
            </w:pPr>
          </w:p>
        </w:tc>
        <w:tc>
          <w:tcPr>
            <w:tcW w:w="456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456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117475</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90"/>
        </w:trPr>
        <w:tc>
          <w:tcPr>
            <w:tcW w:w="1400" w:type="dxa"/>
            <w:vAlign w:val="bottom"/>
          </w:tcPr>
          <w:p>
            <w:pPr>
              <w:spacing w:after="0"/>
              <w:rPr>
                <w:sz w:val="24"/>
                <w:szCs w:val="24"/>
                <w:color w:val="auto"/>
              </w:rPr>
            </w:pPr>
          </w:p>
        </w:tc>
        <w:tc>
          <w:tcPr>
            <w:tcW w:w="2760" w:type="dxa"/>
            <w:vAlign w:val="bottom"/>
            <w:gridSpan w:val="2"/>
          </w:tcPr>
          <w:p>
            <w:pPr>
              <w:jc w:val="center"/>
              <w:ind w:right="15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41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40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41"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20" w:type="dxa"/>
            <w:vAlign w:val="bottom"/>
          </w:tcPr>
          <w:p>
            <w:pPr>
              <w:spacing w:after="0"/>
              <w:rPr>
                <w:sz w:val="23"/>
                <w:szCs w:val="23"/>
                <w:color w:val="auto"/>
              </w:rPr>
            </w:pPr>
          </w:p>
        </w:tc>
        <w:tc>
          <w:tcPr>
            <w:tcW w:w="10400" w:type="dxa"/>
            <w:vAlign w:val="bottom"/>
          </w:tcPr>
          <w:p>
            <w:pPr>
              <w:ind w:left="7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gridSpan w:val="2"/>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gridSpan w:val="2"/>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0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22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May 23, 2024, VeriSign, Inc. (the “Company”) held its 2024 Annual Meeting of Stockholders (the “2024 Annual Meeting”). At the 2024 Annual Meeting, the Company’s stockholders voted on three proposals as described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Directors</w:t>
      </w:r>
    </w:p>
    <w:p>
      <w:pPr>
        <w:spacing w:after="0" w:line="13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nominees listed below as directors of the Company, each to serve until the Company’s next annual meeting of stockholders, or until a successor has been elected and qualified or until the director’s earlier resignation or removal. The voting results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54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James Bidzos</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76,262,555</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4,675,352</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2,320,061</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Courtney D. Armstrong</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76,617,966</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5,077,782</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1,562,220</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Yehuda Ari Buchalter</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76,457,444</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5,237,449</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1,563,075</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A. Cote</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65,983,714</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14,950,132</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2,324,122</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F. Frist III</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76,361,227</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5,334,052</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1,562,689</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S. Gorelick</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76,580,232</w:t>
            </w:r>
          </w:p>
        </w:tc>
        <w:tc>
          <w:tcPr>
            <w:tcW w:w="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5,154,330</w:t>
            </w:r>
          </w:p>
        </w:tc>
        <w:tc>
          <w:tcPr>
            <w:tcW w:w="5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1,523,406</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H. Moore</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70,525,571</w:t>
            </w:r>
          </w:p>
        </w:tc>
        <w:tc>
          <w:tcPr>
            <w:tcW w:w="5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11,170,092</w:t>
            </w: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1,562,305</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Tomlinson</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70,054,340</w:t>
            </w:r>
          </w:p>
        </w:tc>
        <w:tc>
          <w:tcPr>
            <w:tcW w:w="5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11,640,936</w:t>
            </w:r>
          </w:p>
        </w:tc>
        <w:tc>
          <w:tcPr>
            <w:tcW w:w="5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1,562,692</w:t>
            </w:r>
          </w:p>
        </w:tc>
        <w:tc>
          <w:tcPr>
            <w:tcW w:w="22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4,566,763</w:t>
            </w:r>
          </w:p>
        </w:tc>
        <w:tc>
          <w:tcPr>
            <w:tcW w:w="2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To Approve, on a Non-Binding, Advisory Basis, the Company’s Executive Compensation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Company’s executive compensation. The voting results were as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5020" w:type="dxa"/>
            <w:vAlign w:val="bottom"/>
          </w:tcPr>
          <w:p>
            <w:pPr>
              <w:spacing w:after="0"/>
              <w:rPr>
                <w:sz w:val="20"/>
                <w:szCs w:val="20"/>
                <w:color w:val="auto"/>
              </w:rPr>
            </w:pPr>
          </w:p>
        </w:tc>
      </w:tr>
      <w:tr>
        <w:trPr>
          <w:trHeight w:val="103"/>
        </w:trPr>
        <w:tc>
          <w:tcPr>
            <w:tcW w:w="5520" w:type="dxa"/>
            <w:vAlign w:val="bottom"/>
          </w:tcPr>
          <w:p>
            <w:pPr>
              <w:spacing w:after="0"/>
              <w:rPr>
                <w:sz w:val="8"/>
                <w:szCs w:val="8"/>
                <w:color w:val="auto"/>
              </w:rPr>
            </w:pPr>
          </w:p>
        </w:tc>
        <w:tc>
          <w:tcPr>
            <w:tcW w:w="5020" w:type="dxa"/>
            <w:vAlign w:val="bottom"/>
          </w:tcPr>
          <w:p>
            <w:pPr>
              <w:spacing w:after="0"/>
              <w:rPr>
                <w:sz w:val="8"/>
                <w:szCs w:val="8"/>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76,928,082</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4,562,319</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1,767,567</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4,566,763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 Ratification of the Selection of Independent Registered Public Accounting Firm</w:t>
      </w:r>
    </w:p>
    <w:p>
      <w:pPr>
        <w:spacing w:after="0" w:line="13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KPMG LLP as the Company’s independent registered public accounting firm for the year ending December 31, 2024. The voting results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80,433,430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5,883,099</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3604895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May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sectPr>
      <w:pgSz w:w="11900" w:h="16838" w:orient="portrait"/>
      <w:cols w:equalWidth="0" w:num="1">
        <w:col w:w="10720"/>
      </w:cols>
      <w:pgMar w:left="320" w:top="40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2024-05-23T16:32:47Z</dcterms:created>
  <dcterms:modified xsi:type="dcterms:W3CDTF">2024-05-23T16:32:47Z</dcterms:modified>
</cp:coreProperties>
</file>