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wp:posOffset>
            </wp:positionH>
            <wp:positionV relativeFrom="paragraph">
              <wp:posOffset>218440</wp:posOffset>
            </wp:positionV>
            <wp:extent cx="701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243840</wp:posOffset>
            </wp:positionV>
            <wp:extent cx="70161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9"/>
        <w:spacing w:after="0" w:line="236" w:lineRule="auto"/>
        <w:rPr>
          <w:sz w:val="20"/>
          <w:szCs w:val="20"/>
          <w:color w:val="auto"/>
        </w:rPr>
      </w:pPr>
      <w:r>
        <w:rPr>
          <w:rFonts w:ascii="Times New Roman" w:cs="Times New Roman" w:eastAsia="Times New Roman" w:hAnsi="Times New Roman"/>
          <w:sz w:val="18"/>
          <w:szCs w:val="18"/>
          <w:b w:val="1"/>
          <w:bCs w:val="1"/>
          <w:color w:val="auto"/>
        </w:rPr>
        <w:t>Washington, D.C. 20549</w:t>
      </w:r>
    </w:p>
    <w:p>
      <w:pPr>
        <w:jc w:val="center"/>
        <w:ind w:right="-19"/>
        <w:spacing w:after="0" w:line="208" w:lineRule="auto"/>
        <w:rPr>
          <w:sz w:val="20"/>
          <w:szCs w:val="20"/>
          <w:color w:val="auto"/>
        </w:rPr>
      </w:pPr>
      <w:r>
        <w:rPr>
          <w:rFonts w:ascii="Times New Roman" w:cs="Times New Roman" w:eastAsia="Times New Roman" w:hAnsi="Times New Roman"/>
          <w:sz w:val="20"/>
          <w:szCs w:val="20"/>
          <w:b w:val="1"/>
          <w:bCs w:val="1"/>
          <w:color w:val="auto"/>
        </w:rPr>
        <w:t>————————</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27" w:lineRule="exact"/>
        <w:rPr>
          <w:sz w:val="24"/>
          <w:szCs w:val="24"/>
          <w:color w:val="auto"/>
        </w:rPr>
      </w:pPr>
    </w:p>
    <w:p>
      <w:pPr>
        <w:ind w:left="380" w:hanging="35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3" w:lineRule="exact"/>
        <w:rPr>
          <w:sz w:val="24"/>
          <w:szCs w:val="24"/>
          <w:color w:val="auto"/>
        </w:rPr>
      </w:pPr>
    </w:p>
    <w:p>
      <w:pPr>
        <w:ind w:left="360" w:hanging="33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2"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5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2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000-23593</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900" w:type="dxa"/>
            <w:vAlign w:val="bottom"/>
            <w:gridSpan w:val="4"/>
          </w:tcPr>
          <w:p>
            <w:pPr>
              <w:jc w:val="center"/>
              <w:ind w:left="59"/>
              <w:spacing w:after="0" w:line="222" w:lineRule="exact"/>
              <w:rPr>
                <w:sz w:val="20"/>
                <w:szCs w:val="20"/>
                <w:color w:val="auto"/>
              </w:rPr>
            </w:pPr>
            <w:r>
              <w:rPr>
                <w:rFonts w:ascii="Times New Roman" w:cs="Times New Roman" w:eastAsia="Times New Roman" w:hAnsi="Times New Roman"/>
                <w:sz w:val="21"/>
                <w:szCs w:val="21"/>
                <w:b w:val="1"/>
                <w:bCs w:val="1"/>
                <w:color w:val="auto"/>
              </w:rPr>
              <w:t>————————</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00" w:type="dxa"/>
            <w:vAlign w:val="bottom"/>
            <w:gridSpan w:val="4"/>
          </w:tcPr>
          <w:p>
            <w:pPr>
              <w:jc w:val="center"/>
              <w:ind w:left="59"/>
              <w:spacing w:after="0"/>
              <w:rPr>
                <w:sz w:val="20"/>
                <w:szCs w:val="20"/>
                <w:color w:val="auto"/>
              </w:rPr>
            </w:pPr>
            <w:r>
              <w:rPr>
                <w:rFonts w:ascii="Times New Roman" w:cs="Times New Roman" w:eastAsia="Times New Roman" w:hAnsi="Times New Roman"/>
                <w:sz w:val="23"/>
                <w:szCs w:val="23"/>
                <w:b w:val="1"/>
                <w:bCs w:val="1"/>
                <w:color w:val="auto"/>
              </w:rPr>
              <w:t>VERISIGN, INC.</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60" w:type="dxa"/>
            <w:vAlign w:val="bottom"/>
            <w:gridSpan w:val="7"/>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3"/>
        </w:trPr>
        <w:tc>
          <w:tcPr>
            <w:tcW w:w="1020" w:type="dxa"/>
            <w:vAlign w:val="bottom"/>
          </w:tcPr>
          <w:p>
            <w:pPr>
              <w:spacing w:after="0"/>
              <w:rPr>
                <w:sz w:val="24"/>
                <w:szCs w:val="24"/>
                <w:color w:val="auto"/>
              </w:rPr>
            </w:pPr>
          </w:p>
        </w:tc>
        <w:tc>
          <w:tcPr>
            <w:tcW w:w="2540" w:type="dxa"/>
            <w:vAlign w:val="bottom"/>
            <w:gridSpan w:val="2"/>
          </w:tcPr>
          <w:p>
            <w:pPr>
              <w:jc w:val="center"/>
              <w:ind w:left="10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jc w:val="right"/>
              <w:ind w:right="1261"/>
              <w:spacing w:after="0"/>
              <w:rPr>
                <w:sz w:val="20"/>
                <w:szCs w:val="20"/>
                <w:color w:val="auto"/>
              </w:rPr>
            </w:pPr>
            <w:r>
              <w:rPr>
                <w:rFonts w:ascii="Times New Roman" w:cs="Times New Roman" w:eastAsia="Times New Roman" w:hAnsi="Times New Roman"/>
                <w:sz w:val="16"/>
                <w:szCs w:val="16"/>
                <w:b w:val="1"/>
                <w:bCs w:val="1"/>
                <w:color w:val="auto"/>
              </w:rPr>
              <w:t>94-3221585</w:t>
            </w:r>
          </w:p>
        </w:tc>
        <w:tc>
          <w:tcPr>
            <w:tcW w:w="0" w:type="dxa"/>
            <w:vAlign w:val="bottom"/>
          </w:tcPr>
          <w:p>
            <w:pPr>
              <w:spacing w:after="0"/>
              <w:rPr>
                <w:sz w:val="1"/>
                <w:szCs w:val="1"/>
                <w:color w:val="auto"/>
              </w:rPr>
            </w:pPr>
          </w:p>
        </w:tc>
      </w:tr>
      <w:tr>
        <w:trPr>
          <w:trHeight w:val="146"/>
        </w:trPr>
        <w:tc>
          <w:tcPr>
            <w:tcW w:w="1020" w:type="dxa"/>
            <w:vAlign w:val="bottom"/>
          </w:tcPr>
          <w:p>
            <w:pPr>
              <w:spacing w:after="0"/>
              <w:rPr>
                <w:sz w:val="12"/>
                <w:szCs w:val="12"/>
                <w:color w:val="auto"/>
              </w:rPr>
            </w:pPr>
          </w:p>
        </w:tc>
        <w:tc>
          <w:tcPr>
            <w:tcW w:w="2540" w:type="dxa"/>
            <w:vAlign w:val="bottom"/>
            <w:gridSpan w:val="2"/>
          </w:tcPr>
          <w:p>
            <w:pPr>
              <w:jc w:val="center"/>
              <w:ind w:left="104"/>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80" w:type="dxa"/>
            <w:vAlign w:val="bottom"/>
          </w:tcPr>
          <w:p>
            <w:pPr>
              <w:jc w:val="center"/>
              <w:ind w:right="1101"/>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2540" w:type="dxa"/>
            <w:vAlign w:val="bottom"/>
            <w:gridSpan w:val="2"/>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80" w:type="dxa"/>
            <w:vAlign w:val="bottom"/>
          </w:tcPr>
          <w:p>
            <w:pPr>
              <w:jc w:val="center"/>
              <w:ind w:right="110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19"/>
        </w:trPr>
        <w:tc>
          <w:tcPr>
            <w:tcW w:w="1020" w:type="dxa"/>
            <w:vAlign w:val="bottom"/>
          </w:tcPr>
          <w:p>
            <w:pPr>
              <w:spacing w:after="0"/>
              <w:rPr>
                <w:sz w:val="19"/>
                <w:szCs w:val="19"/>
                <w:color w:val="auto"/>
              </w:rPr>
            </w:pPr>
          </w:p>
        </w:tc>
        <w:tc>
          <w:tcPr>
            <w:tcW w:w="2540" w:type="dxa"/>
            <w:vAlign w:val="bottom"/>
            <w:gridSpan w:val="2"/>
          </w:tcPr>
          <w:p>
            <w:pPr>
              <w:jc w:val="center"/>
              <w:ind w:left="104"/>
              <w:spacing w:after="0"/>
              <w:rPr>
                <w:sz w:val="20"/>
                <w:szCs w:val="20"/>
                <w:color w:val="auto"/>
              </w:rPr>
            </w:pPr>
            <w:r>
              <w:rPr>
                <w:rFonts w:ascii="Times New Roman" w:cs="Times New Roman" w:eastAsia="Times New Roman" w:hAnsi="Times New Roman"/>
                <w:sz w:val="16"/>
                <w:szCs w:val="16"/>
                <w:b w:val="1"/>
                <w:bCs w:val="1"/>
                <w:color w:val="auto"/>
                <w:w w:val="98"/>
              </w:rPr>
              <w:t>12061 Bluemont Way,</w:t>
            </w: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20" w:type="dxa"/>
            <w:vAlign w:val="bottom"/>
          </w:tcPr>
          <w:p>
            <w:pPr>
              <w:spacing w:after="0"/>
              <w:rPr>
                <w:sz w:val="17"/>
                <w:szCs w:val="17"/>
                <w:color w:val="auto"/>
              </w:rPr>
            </w:pPr>
          </w:p>
        </w:tc>
        <w:tc>
          <w:tcPr>
            <w:tcW w:w="2540" w:type="dxa"/>
            <w:vAlign w:val="bottom"/>
            <w:gridSpan w:val="2"/>
          </w:tcPr>
          <w:p>
            <w:pPr>
              <w:jc w:val="center"/>
              <w:ind w:left="144"/>
              <w:spacing w:after="0"/>
              <w:rPr>
                <w:sz w:val="20"/>
                <w:szCs w:val="20"/>
                <w:color w:val="auto"/>
              </w:rPr>
            </w:pPr>
            <w:r>
              <w:rPr>
                <w:rFonts w:ascii="Times New Roman" w:cs="Times New Roman" w:eastAsia="Times New Roman" w:hAnsi="Times New Roman"/>
                <w:sz w:val="16"/>
                <w:szCs w:val="16"/>
                <w:b w:val="1"/>
                <w:bCs w:val="1"/>
                <w:color w:val="auto"/>
                <w:w w:val="99"/>
              </w:rPr>
              <w:t>Reston, Virginia</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80" w:type="dxa"/>
            <w:vAlign w:val="bottom"/>
          </w:tcPr>
          <w:p>
            <w:pPr>
              <w:jc w:val="right"/>
              <w:ind w:right="1441"/>
              <w:spacing w:after="0"/>
              <w:rPr>
                <w:sz w:val="20"/>
                <w:szCs w:val="20"/>
                <w:color w:val="auto"/>
              </w:rPr>
            </w:pPr>
            <w:r>
              <w:rPr>
                <w:rFonts w:ascii="Times New Roman" w:cs="Times New Roman" w:eastAsia="Times New Roman" w:hAnsi="Times New Roman"/>
                <w:sz w:val="16"/>
                <w:szCs w:val="16"/>
                <w:b w:val="1"/>
                <w:bCs w:val="1"/>
                <w:color w:val="auto"/>
              </w:rPr>
              <w:t>20190</w:t>
            </w: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2540" w:type="dxa"/>
            <w:vAlign w:val="bottom"/>
            <w:gridSpan w:val="2"/>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80" w:type="dxa"/>
            <w:vAlign w:val="bottom"/>
          </w:tcPr>
          <w:p>
            <w:pPr>
              <w:jc w:val="center"/>
              <w:ind w:right="110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57"/>
        </w:trPr>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420" w:type="dxa"/>
            <w:vAlign w:val="bottom"/>
            <w:gridSpan w:val="11"/>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(703) 948-3200</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60" w:type="dxa"/>
            <w:vAlign w:val="bottom"/>
            <w:gridSpan w:val="7"/>
          </w:tcPr>
          <w:p>
            <w:pPr>
              <w:jc w:val="cente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10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340" w:type="dxa"/>
            <w:vAlign w:val="bottom"/>
          </w:tcPr>
          <w:p>
            <w:pPr>
              <w:spacing w:after="0"/>
              <w:rPr>
                <w:sz w:val="24"/>
                <w:szCs w:val="24"/>
                <w:color w:val="auto"/>
              </w:rPr>
            </w:pPr>
          </w:p>
        </w:tc>
        <w:tc>
          <w:tcPr>
            <w:tcW w:w="2540" w:type="dxa"/>
            <w:vAlign w:val="bottom"/>
            <w:gridSpan w:val="5"/>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560" w:type="dxa"/>
            <w:vAlign w:val="bottom"/>
            <w:gridSpan w:val="3"/>
          </w:tcPr>
          <w:p>
            <w:pPr>
              <w:jc w:val="center"/>
              <w:ind w:right="249"/>
              <w:spacing w:after="0"/>
              <w:rPr>
                <w:sz w:val="20"/>
                <w:szCs w:val="20"/>
                <w:color w:val="auto"/>
              </w:rPr>
            </w:pPr>
            <w:r>
              <w:rPr>
                <w:rFonts w:ascii="Times New Roman" w:cs="Times New Roman" w:eastAsia="Times New Roman" w:hAnsi="Times New Roman"/>
                <w:sz w:val="16"/>
                <w:szCs w:val="16"/>
                <w:color w:val="auto"/>
                <w:w w:val="99"/>
              </w:rPr>
              <w:t>Common Stock, $0.001 par value per share</w:t>
            </w:r>
          </w:p>
        </w:tc>
        <w:tc>
          <w:tcPr>
            <w:tcW w:w="640" w:type="dxa"/>
            <w:vAlign w:val="bottom"/>
          </w:tcPr>
          <w:p>
            <w:pPr>
              <w:spacing w:after="0"/>
              <w:rPr>
                <w:sz w:val="19"/>
                <w:szCs w:val="19"/>
                <w:color w:val="auto"/>
              </w:rPr>
            </w:pPr>
          </w:p>
        </w:tc>
        <w:tc>
          <w:tcPr>
            <w:tcW w:w="1900" w:type="dxa"/>
            <w:vAlign w:val="bottom"/>
            <w:gridSpan w:val="4"/>
          </w:tcPr>
          <w:p>
            <w:pPr>
              <w:ind w:left="420"/>
              <w:spacing w:after="0"/>
              <w:rPr>
                <w:sz w:val="20"/>
                <w:szCs w:val="20"/>
                <w:color w:val="auto"/>
              </w:rPr>
            </w:pPr>
            <w:r>
              <w:rPr>
                <w:rFonts w:ascii="Times New Roman" w:cs="Times New Roman" w:eastAsia="Times New Roman" w:hAnsi="Times New Roman"/>
                <w:sz w:val="16"/>
                <w:szCs w:val="16"/>
                <w:color w:val="auto"/>
              </w:rPr>
              <w:t>VRSN</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2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color w:val="auto"/>
                <w:w w:val="99"/>
              </w:rPr>
              <w:t>Nasdaq Global Select Market</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540" w:type="dxa"/>
            <w:vAlign w:val="bottom"/>
            <w:gridSpan w:val="9"/>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12(g) of the Act: None</w:t>
            </w:r>
          </w:p>
        </w:tc>
        <w:tc>
          <w:tcPr>
            <w:tcW w:w="540" w:type="dxa"/>
            <w:vAlign w:val="bottom"/>
            <w:vMerge w:val="restart"/>
          </w:tcPr>
          <w:p>
            <w:pPr>
              <w:ind w:left="6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tc>
        <w:tc>
          <w:tcPr>
            <w:tcW w:w="228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8"/>
        </w:trPr>
        <w:tc>
          <w:tcPr>
            <w:tcW w:w="682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Yes</w:t>
            </w:r>
          </w:p>
        </w:tc>
        <w:tc>
          <w:tcPr>
            <w:tcW w:w="540" w:type="dxa"/>
            <w:vAlign w:val="bottom"/>
            <w:vMerge w:val="continue"/>
          </w:tcPr>
          <w:p>
            <w:pPr>
              <w:spacing w:after="0"/>
              <w:rPr>
                <w:sz w:val="18"/>
                <w:szCs w:val="18"/>
                <w:color w:val="auto"/>
              </w:rPr>
            </w:pPr>
          </w:p>
        </w:tc>
        <w:tc>
          <w:tcPr>
            <w:tcW w:w="2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682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Yes</w:t>
            </w:r>
          </w:p>
        </w:tc>
        <w:tc>
          <w:tcPr>
            <w:tcW w:w="540" w:type="dxa"/>
            <w:vAlign w:val="bottom"/>
          </w:tcPr>
          <w:p>
            <w:pPr>
              <w:ind w:left="4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tc>
        <w:tc>
          <w:tcPr>
            <w:tcW w:w="22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right="160" w:firstLine="399"/>
        <w:spacing w:after="0" w:line="20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53" w:lineRule="exact"/>
        <w:rPr>
          <w:sz w:val="24"/>
          <w:szCs w:val="24"/>
          <w:color w:val="auto"/>
        </w:rPr>
      </w:pPr>
    </w:p>
    <w:p>
      <w:pPr>
        <w:ind w:right="280" w:firstLine="439"/>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4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w:t>
      </w:r>
    </w:p>
    <w:p>
      <w:pPr>
        <w:sectPr>
          <w:pgSz w:w="11900" w:h="16838" w:orient="portrait"/>
          <w:cols w:equalWidth="0" w:num="1">
            <w:col w:w="11220"/>
          </w:cols>
          <w:pgMar w:left="320" w:top="228" w:right="359" w:bottom="1440" w:gutter="0" w:footer="0" w:header="0"/>
        </w:sectPr>
      </w:pP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filer,” “accelerated filer,” “smaller reporting company” and “emerging growth company” in Rule 12b-2 of the Exchange Act.</w:t>
      </w:r>
    </w:p>
    <w:p>
      <w:pPr>
        <w:spacing w:after="0" w:line="33" w:lineRule="exact"/>
        <w:rPr>
          <w:sz w:val="24"/>
          <w:szCs w:val="24"/>
          <w:color w:val="auto"/>
        </w:rPr>
      </w:pPr>
    </w:p>
    <w:p>
      <w:pPr>
        <w:ind w:left="540"/>
        <w:spacing w:after="0" w:line="161" w:lineRule="exact"/>
        <w:tabs>
          <w:tab w:leader="none" w:pos="3720" w:val="left"/>
          <w:tab w:leader="none" w:pos="704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61" w:lineRule="exact"/>
        <w:rPr>
          <w:sz w:val="24"/>
          <w:szCs w:val="24"/>
          <w:color w:val="auto"/>
        </w:rPr>
      </w:pPr>
    </w:p>
    <w:p>
      <w:pPr>
        <w:ind w:left="540"/>
        <w:spacing w:after="0" w:line="161" w:lineRule="exact"/>
        <w:tabs>
          <w:tab w:leader="none" w:pos="3720" w:val="left"/>
          <w:tab w:leader="none" w:pos="704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39" w:lineRule="exact"/>
        <w:rPr>
          <w:sz w:val="24"/>
          <w:szCs w:val="24"/>
          <w:color w:val="auto"/>
        </w:rPr>
      </w:pPr>
    </w:p>
    <w:p>
      <w:pPr>
        <w:ind w:left="706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31" w:lineRule="exact"/>
        <w:rPr>
          <w:sz w:val="24"/>
          <w:szCs w:val="24"/>
          <w:color w:val="auto"/>
        </w:rPr>
      </w:pPr>
    </w:p>
    <w:p>
      <w:pPr>
        <w:sectPr>
          <w:pgSz w:w="11900" w:h="16838" w:orient="portrait"/>
          <w:cols w:equalWidth="0" w:num="2">
            <w:col w:w="9540" w:space="720"/>
            <w:col w:w="960"/>
          </w:cols>
          <w:pgMar w:left="320" w:top="228" w:right="359" w:bottom="1440" w:gutter="0" w:footer="0" w:header="0"/>
          <w:type w:val="continuous"/>
        </w:sectPr>
      </w:pPr>
    </w:p>
    <w:p>
      <w:pPr>
        <w:ind w:right="300" w:firstLine="399"/>
        <w:spacing w:after="0" w:line="29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260" w:firstLine="399"/>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 w:lineRule="exact"/>
        <w:rPr>
          <w:sz w:val="24"/>
          <w:szCs w:val="24"/>
          <w:color w:val="auto"/>
        </w:rPr>
      </w:pPr>
    </w:p>
    <w:p>
      <w:pPr>
        <w:ind w:firstLine="399"/>
        <w:spacing w:after="0" w:line="276"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20" w:firstLine="399"/>
        <w:spacing w:after="0" w:line="279"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left="400"/>
        <w:spacing w:after="0" w:line="196" w:lineRule="exact"/>
        <w:tabs>
          <w:tab w:leader="none" w:pos="7040" w:val="left"/>
          <w:tab w:leader="none" w:pos="76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7"/>
          <w:szCs w:val="17"/>
          <w:color w:val="auto"/>
        </w:rPr>
        <w:t>☒</w:t>
      </w:r>
    </w:p>
    <w:p>
      <w:pPr>
        <w:spacing w:after="0" w:line="83" w:lineRule="exact"/>
        <w:rPr>
          <w:sz w:val="24"/>
          <w:szCs w:val="24"/>
          <w:color w:val="auto"/>
        </w:rPr>
      </w:pPr>
    </w:p>
    <w:p>
      <w:pPr>
        <w:ind w:right="220" w:firstLine="399"/>
        <w:spacing w:after="0" w:line="262"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stock held by non-affiliates of the Registrant as of June 30, 2022, was $12.4 billion based upon the last sale price reported for such date on the Nasdaq Global Select Market. For purposes of this disclosure, shares of Common Stock held by persons known to the Registrant (based on information provided by such persons and/or the most recent Schedule 13Gs filed by such persons) to beneficially own more than 5% of the Registrant’s Common Stock and shares held by officers and directors of the Registrant have been excluded because such persons may be deemed to be affiliates. This determination is not necessarily a conclusive determination for other purposes.</w:t>
      </w:r>
    </w:p>
    <w:p>
      <w:pPr>
        <w:spacing w:after="0" w:line="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4"/>
          <w:szCs w:val="14"/>
          <w:color w:val="auto"/>
        </w:rPr>
        <w:t>Number of shares of Common Stock, $0.001 par value, outstanding as of the close of business on February 10, 2023: 104,879,307 shares.</w:t>
      </w:r>
    </w:p>
    <w:p>
      <w:pPr>
        <w:spacing w:after="0" w:line="6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0" w:lineRule="exact"/>
        <w:rPr>
          <w:sz w:val="24"/>
          <w:szCs w:val="24"/>
          <w:color w:val="auto"/>
        </w:rPr>
      </w:pPr>
    </w:p>
    <w:p>
      <w:pPr>
        <w:ind w:right="60" w:firstLine="399"/>
        <w:spacing w:after="0" w:line="269" w:lineRule="auto"/>
        <w:rPr>
          <w:sz w:val="20"/>
          <w:szCs w:val="20"/>
          <w:color w:val="auto"/>
        </w:rPr>
      </w:pPr>
      <w:r>
        <w:rPr>
          <w:rFonts w:ascii="Times New Roman" w:cs="Times New Roman" w:eastAsia="Times New Roman" w:hAnsi="Times New Roman"/>
          <w:sz w:val="14"/>
          <w:szCs w:val="14"/>
          <w:color w:val="auto"/>
        </w:rPr>
        <w:t>Portions of the Registrant’s definitive proxy statement to be delivered to stockholders in connection with the 2023 Annual Meeting of Stockholders are incorporated by reference into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531495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79375</wp:posOffset>
            </wp:positionV>
            <wp:extent cx="701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104775</wp:posOffset>
            </wp:positionV>
            <wp:extent cx="70161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8255"/>
                    </a:xfrm>
                    <a:prstGeom prst="rect">
                      <a:avLst/>
                    </a:prstGeom>
                    <a:noFill/>
                  </pic:spPr>
                </pic:pic>
              </a:graphicData>
            </a:graphic>
          </wp:anchor>
        </w:drawing>
      </w:r>
    </w:p>
    <w:p>
      <w:pPr>
        <w:sectPr>
          <w:pgSz w:w="11900" w:h="16838" w:orient="portrait"/>
          <w:cols w:equalWidth="0" w:num="1">
            <w:col w:w="11220"/>
          </w:cols>
          <w:pgMar w:left="320" w:top="228"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720" w:type="dxa"/>
            <w:vAlign w:val="bottom"/>
            <w:gridSpan w:val="15"/>
          </w:tcPr>
          <w:p>
            <w:pPr>
              <w:ind w:left="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4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38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7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66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660" w:type="dxa"/>
            <w:vAlign w:val="bottom"/>
            <w:gridSpan w:val="10"/>
            <w:vMerge w:val="restart"/>
          </w:tcPr>
          <w:p>
            <w:pPr>
              <w:jc w:val="center"/>
              <w:ind w:right="404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660" w:type="dxa"/>
            <w:vAlign w:val="bottom"/>
            <w:gridSpan w:val="10"/>
            <w:vMerge w:val="continue"/>
          </w:tcPr>
          <w:p>
            <w:pPr>
              <w:spacing w:after="0"/>
              <w:rPr>
                <w:sz w:val="17"/>
                <w:szCs w:val="17"/>
                <w:color w:val="auto"/>
              </w:rPr>
            </w:pPr>
          </w:p>
        </w:tc>
        <w:tc>
          <w:tcPr>
            <w:tcW w:w="14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174"/>
        </w:trPr>
        <w:tc>
          <w:tcPr>
            <w:tcW w:w="460" w:type="dxa"/>
            <w:vAlign w:val="bottom"/>
          </w:tcPr>
          <w:p>
            <w:pPr>
              <w:spacing w:after="0" w:line="154" w:lineRule="exact"/>
              <w:rPr>
                <w:sz w:val="20"/>
                <w:szCs w:val="20"/>
                <w:color w:val="auto"/>
              </w:rPr>
            </w:pPr>
            <w:r>
              <w:rPr>
                <w:rFonts w:ascii="Times New Roman" w:cs="Times New Roman" w:eastAsia="Times New Roman" w:hAnsi="Times New Roman"/>
                <w:sz w:val="16"/>
                <w:szCs w:val="16"/>
                <w:color w:val="0000FF"/>
                <w:w w:val="96"/>
              </w:rPr>
              <w:t>Item 1.</w:t>
            </w:r>
          </w:p>
        </w:tc>
        <w:tc>
          <w:tcPr>
            <w:tcW w:w="600" w:type="dxa"/>
            <w:vAlign w:val="bottom"/>
            <w:gridSpan w:val="6"/>
          </w:tcPr>
          <w:p>
            <w:pPr>
              <w:spacing w:after="0"/>
              <w:rPr>
                <w:sz w:val="15"/>
                <w:szCs w:val="15"/>
                <w:color w:val="auto"/>
              </w:rPr>
            </w:pPr>
          </w:p>
        </w:tc>
        <w:tc>
          <w:tcPr>
            <w:tcW w:w="64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0000FF"/>
              </w:rPr>
              <w:t>Business</w:t>
            </w:r>
          </w:p>
        </w:tc>
        <w:tc>
          <w:tcPr>
            <w:tcW w:w="8040" w:type="dxa"/>
            <w:vAlign w:val="bottom"/>
            <w:gridSpan w:val="26"/>
          </w:tcPr>
          <w:p>
            <w:pPr>
              <w:spacing w:after="0"/>
              <w:rPr>
                <w:sz w:val="15"/>
                <w:szCs w:val="15"/>
                <w:color w:val="auto"/>
              </w:rPr>
            </w:pPr>
          </w:p>
        </w:tc>
        <w:tc>
          <w:tcPr>
            <w:tcW w:w="14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gridSpan w:val="2"/>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680" w:type="dxa"/>
            <w:vAlign w:val="bottom"/>
            <w:gridSpan w:val="6"/>
          </w:tcPr>
          <w:p>
            <w:pPr>
              <w:spacing w:after="0" w:line="180" w:lineRule="exact"/>
              <w:rPr>
                <w:sz w:val="20"/>
                <w:szCs w:val="20"/>
                <w:color w:val="auto"/>
              </w:rPr>
            </w:pPr>
            <w:r>
              <w:rPr>
                <w:rFonts w:ascii="Times New Roman" w:cs="Times New Roman" w:eastAsia="Times New Roman" w:hAnsi="Times New Roman"/>
                <w:sz w:val="16"/>
                <w:szCs w:val="16"/>
                <w:color w:val="0000FF"/>
              </w:rPr>
              <w:t>Item 1A.</w:t>
            </w:r>
          </w:p>
        </w:tc>
        <w:tc>
          <w:tcPr>
            <w:tcW w:w="380" w:type="dxa"/>
            <w:vAlign w:val="bottom"/>
          </w:tcPr>
          <w:p>
            <w:pPr>
              <w:spacing w:after="0"/>
              <w:rPr>
                <w:sz w:val="17"/>
                <w:szCs w:val="17"/>
                <w:color w:val="auto"/>
              </w:rPr>
            </w:pPr>
          </w:p>
        </w:tc>
        <w:tc>
          <w:tcPr>
            <w:tcW w:w="98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color w:val="0000FF"/>
              </w:rPr>
              <w:t>Risk Factors</w:t>
            </w:r>
          </w:p>
        </w:tc>
        <w:tc>
          <w:tcPr>
            <w:tcW w:w="7700" w:type="dxa"/>
            <w:vAlign w:val="bottom"/>
            <w:gridSpan w:val="23"/>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8"/>
                <w:szCs w:val="18"/>
                <w:color w:val="0000FF"/>
                <w:w w:val="88"/>
              </w:rPr>
              <w:t>10</w:t>
            </w:r>
          </w:p>
        </w:tc>
        <w:tc>
          <w:tcPr>
            <w:tcW w:w="0" w:type="dxa"/>
            <w:vAlign w:val="bottom"/>
          </w:tcPr>
          <w:p>
            <w:pPr>
              <w:spacing w:after="0"/>
              <w:rPr>
                <w:sz w:val="1"/>
                <w:szCs w:val="1"/>
                <w:color w:val="auto"/>
              </w:rPr>
            </w:pPr>
          </w:p>
        </w:tc>
      </w:tr>
      <w:tr>
        <w:trPr>
          <w:trHeight w:val="27"/>
        </w:trPr>
        <w:tc>
          <w:tcPr>
            <w:tcW w:w="4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20" w:type="dxa"/>
            <w:vAlign w:val="bottom"/>
            <w:gridSpan w:val="2"/>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gridSpan w:val="2"/>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680" w:type="dxa"/>
            <w:vAlign w:val="bottom"/>
            <w:gridSpan w:val="6"/>
          </w:tcPr>
          <w:p>
            <w:pPr>
              <w:spacing w:after="0" w:line="180" w:lineRule="exact"/>
              <w:rPr>
                <w:sz w:val="20"/>
                <w:szCs w:val="20"/>
                <w:color w:val="auto"/>
              </w:rPr>
            </w:pPr>
            <w:r>
              <w:rPr>
                <w:rFonts w:ascii="Times New Roman" w:cs="Times New Roman" w:eastAsia="Times New Roman" w:hAnsi="Times New Roman"/>
                <w:sz w:val="16"/>
                <w:szCs w:val="16"/>
                <w:color w:val="0000FF"/>
              </w:rPr>
              <w:t>Item 1B.</w:t>
            </w:r>
          </w:p>
        </w:tc>
        <w:tc>
          <w:tcPr>
            <w:tcW w:w="380" w:type="dxa"/>
            <w:vAlign w:val="bottom"/>
          </w:tcPr>
          <w:p>
            <w:pPr>
              <w:spacing w:after="0"/>
              <w:rPr>
                <w:sz w:val="17"/>
                <w:szCs w:val="17"/>
                <w:color w:val="auto"/>
              </w:rPr>
            </w:pPr>
          </w:p>
        </w:tc>
        <w:tc>
          <w:tcPr>
            <w:tcW w:w="2540" w:type="dxa"/>
            <w:vAlign w:val="bottom"/>
            <w:gridSpan w:val="11"/>
          </w:tcPr>
          <w:p>
            <w:pPr>
              <w:spacing w:after="0" w:line="180" w:lineRule="exact"/>
              <w:rPr>
                <w:sz w:val="20"/>
                <w:szCs w:val="20"/>
                <w:color w:val="auto"/>
              </w:rPr>
            </w:pPr>
            <w:r>
              <w:rPr>
                <w:rFonts w:ascii="Times New Roman" w:cs="Times New Roman" w:eastAsia="Times New Roman" w:hAnsi="Times New Roman"/>
                <w:sz w:val="16"/>
                <w:szCs w:val="16"/>
                <w:color w:val="0000FF"/>
              </w:rPr>
              <w:t>Unresolved Staff Comments</w:t>
            </w:r>
          </w:p>
        </w:tc>
        <w:tc>
          <w:tcPr>
            <w:tcW w:w="6140" w:type="dxa"/>
            <w:vAlign w:val="bottom"/>
            <w:gridSpan w:val="17"/>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8"/>
                <w:szCs w:val="18"/>
                <w:color w:val="0000FF"/>
                <w:w w:val="88"/>
              </w:rPr>
              <w:t>19</w:t>
            </w:r>
          </w:p>
        </w:tc>
        <w:tc>
          <w:tcPr>
            <w:tcW w:w="0" w:type="dxa"/>
            <w:vAlign w:val="bottom"/>
          </w:tcPr>
          <w:p>
            <w:pPr>
              <w:spacing w:after="0"/>
              <w:rPr>
                <w:sz w:val="1"/>
                <w:szCs w:val="1"/>
                <w:color w:val="auto"/>
              </w:rPr>
            </w:pPr>
          </w:p>
        </w:tc>
      </w:tr>
      <w:tr>
        <w:trPr>
          <w:trHeight w:val="27"/>
        </w:trPr>
        <w:tc>
          <w:tcPr>
            <w:tcW w:w="4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gridSpan w:val="3"/>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gridSpan w:val="2"/>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94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0000FF"/>
                <w:w w:val="96"/>
              </w:rPr>
              <w:t>Item 2.</w:t>
            </w:r>
          </w:p>
        </w:tc>
        <w:tc>
          <w:tcPr>
            <w:tcW w:w="22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0000FF"/>
              </w:rPr>
              <w:t>Properties</w:t>
            </w:r>
          </w:p>
        </w:tc>
        <w:tc>
          <w:tcPr>
            <w:tcW w:w="1840" w:type="dxa"/>
            <w:vAlign w:val="bottom"/>
            <w:gridSpan w:val="8"/>
          </w:tcPr>
          <w:p>
            <w:pPr>
              <w:spacing w:after="0"/>
              <w:rPr>
                <w:sz w:val="17"/>
                <w:szCs w:val="17"/>
                <w:color w:val="auto"/>
              </w:rPr>
            </w:pPr>
          </w:p>
        </w:tc>
        <w:tc>
          <w:tcPr>
            <w:tcW w:w="6140" w:type="dxa"/>
            <w:vAlign w:val="bottom"/>
            <w:gridSpan w:val="17"/>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8"/>
                <w:szCs w:val="18"/>
                <w:color w:val="0000FF"/>
                <w:w w:val="88"/>
              </w:rPr>
              <w:t>19</w:t>
            </w:r>
          </w:p>
        </w:tc>
        <w:tc>
          <w:tcPr>
            <w:tcW w:w="0" w:type="dxa"/>
            <w:vAlign w:val="bottom"/>
          </w:tcPr>
          <w:p>
            <w:pPr>
              <w:spacing w:after="0"/>
              <w:rPr>
                <w:sz w:val="1"/>
                <w:szCs w:val="1"/>
                <w:color w:val="auto"/>
              </w:rPr>
            </w:pPr>
          </w:p>
        </w:tc>
      </w:tr>
      <w:tr>
        <w:trPr>
          <w:trHeight w:val="27"/>
        </w:trPr>
        <w:tc>
          <w:tcPr>
            <w:tcW w:w="4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gridSpan w:val="3"/>
            <w:shd w:val="clear" w:color="auto" w:fill="0000FF"/>
          </w:tcPr>
          <w:p>
            <w:pPr>
              <w:spacing w:after="0"/>
              <w:rPr>
                <w:sz w:val="2"/>
                <w:szCs w:val="2"/>
                <w:color w:val="auto"/>
              </w:rPr>
            </w:pPr>
          </w:p>
        </w:tc>
        <w:tc>
          <w:tcPr>
            <w:tcW w:w="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0000FF"/>
                <w:w w:val="96"/>
              </w:rPr>
              <w:t>Item 3.</w:t>
            </w:r>
          </w:p>
        </w:tc>
        <w:tc>
          <w:tcPr>
            <w:tcW w:w="600" w:type="dxa"/>
            <w:vAlign w:val="bottom"/>
            <w:gridSpan w:val="6"/>
          </w:tcPr>
          <w:p>
            <w:pPr>
              <w:spacing w:after="0"/>
              <w:rPr>
                <w:sz w:val="17"/>
                <w:szCs w:val="17"/>
                <w:color w:val="auto"/>
              </w:rPr>
            </w:pPr>
          </w:p>
        </w:tc>
        <w:tc>
          <w:tcPr>
            <w:tcW w:w="1560" w:type="dxa"/>
            <w:vAlign w:val="bottom"/>
            <w:gridSpan w:val="8"/>
          </w:tcPr>
          <w:p>
            <w:pPr>
              <w:spacing w:after="0" w:line="180" w:lineRule="exact"/>
              <w:rPr>
                <w:sz w:val="20"/>
                <w:szCs w:val="20"/>
                <w:color w:val="auto"/>
              </w:rPr>
            </w:pPr>
            <w:r>
              <w:rPr>
                <w:rFonts w:ascii="Times New Roman" w:cs="Times New Roman" w:eastAsia="Times New Roman" w:hAnsi="Times New Roman"/>
                <w:sz w:val="16"/>
                <w:szCs w:val="16"/>
                <w:color w:val="0000FF"/>
              </w:rPr>
              <w:t>Legal Proceedings</w:t>
            </w:r>
          </w:p>
        </w:tc>
        <w:tc>
          <w:tcPr>
            <w:tcW w:w="7120" w:type="dxa"/>
            <w:vAlign w:val="bottom"/>
            <w:gridSpan w:val="20"/>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8"/>
                <w:szCs w:val="18"/>
                <w:color w:val="0000FF"/>
                <w:w w:val="88"/>
              </w:rPr>
              <w:t>19</w:t>
            </w:r>
          </w:p>
        </w:tc>
        <w:tc>
          <w:tcPr>
            <w:tcW w:w="0" w:type="dxa"/>
            <w:vAlign w:val="bottom"/>
          </w:tcPr>
          <w:p>
            <w:pPr>
              <w:spacing w:after="0"/>
              <w:rPr>
                <w:sz w:val="1"/>
                <w:szCs w:val="1"/>
                <w:color w:val="auto"/>
              </w:rPr>
            </w:pPr>
          </w:p>
        </w:tc>
      </w:tr>
      <w:tr>
        <w:trPr>
          <w:trHeight w:val="27"/>
        </w:trPr>
        <w:tc>
          <w:tcPr>
            <w:tcW w:w="4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gridSpan w:val="3"/>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00" w:type="dxa"/>
            <w:vAlign w:val="bottom"/>
            <w:gridSpan w:val="2"/>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0000FF"/>
                <w:w w:val="96"/>
              </w:rPr>
              <w:t>Item 4.</w:t>
            </w:r>
          </w:p>
        </w:tc>
        <w:tc>
          <w:tcPr>
            <w:tcW w:w="600" w:type="dxa"/>
            <w:vAlign w:val="bottom"/>
            <w:gridSpan w:val="6"/>
          </w:tcPr>
          <w:p>
            <w:pPr>
              <w:spacing w:after="0"/>
              <w:rPr>
                <w:sz w:val="17"/>
                <w:szCs w:val="17"/>
                <w:color w:val="auto"/>
              </w:rPr>
            </w:pPr>
          </w:p>
        </w:tc>
        <w:tc>
          <w:tcPr>
            <w:tcW w:w="8680" w:type="dxa"/>
            <w:vAlign w:val="bottom"/>
            <w:gridSpan w:val="28"/>
          </w:tcPr>
          <w:p>
            <w:pPr>
              <w:spacing w:after="0" w:line="180" w:lineRule="exact"/>
              <w:rPr>
                <w:sz w:val="20"/>
                <w:szCs w:val="20"/>
                <w:color w:val="auto"/>
              </w:rPr>
            </w:pPr>
            <w:r>
              <w:rPr>
                <w:rFonts w:ascii="Times New Roman" w:cs="Times New Roman" w:eastAsia="Times New Roman" w:hAnsi="Times New Roman"/>
                <w:sz w:val="16"/>
                <w:szCs w:val="16"/>
                <w:color w:val="0000FF"/>
              </w:rPr>
              <w:t>Mine Safety Disclosures</w:t>
            </w:r>
          </w:p>
        </w:tc>
        <w:tc>
          <w:tcPr>
            <w:tcW w:w="1440" w:type="dxa"/>
            <w:vAlign w:val="bottom"/>
            <w:gridSpan w:val="4"/>
          </w:tcPr>
          <w:p>
            <w:pPr>
              <w:jc w:val="right"/>
              <w:ind w:right="20"/>
              <w:spacing w:after="0" w:line="180" w:lineRule="exact"/>
              <w:rPr>
                <w:sz w:val="20"/>
                <w:szCs w:val="20"/>
                <w:color w:val="auto"/>
              </w:rPr>
            </w:pPr>
            <w:r>
              <w:rPr>
                <w:rFonts w:ascii="Times New Roman" w:cs="Times New Roman" w:eastAsia="Times New Roman" w:hAnsi="Times New Roman"/>
                <w:sz w:val="18"/>
                <w:szCs w:val="18"/>
                <w:color w:val="0000FF"/>
              </w:rPr>
              <w:t>19</w:t>
            </w:r>
          </w:p>
        </w:tc>
        <w:tc>
          <w:tcPr>
            <w:tcW w:w="0" w:type="dxa"/>
            <w:vAlign w:val="bottom"/>
          </w:tcPr>
          <w:p>
            <w:pPr>
              <w:spacing w:after="0"/>
              <w:rPr>
                <w:sz w:val="1"/>
                <w:szCs w:val="1"/>
                <w:color w:val="auto"/>
              </w:rPr>
            </w:pPr>
          </w:p>
        </w:tc>
      </w:tr>
      <w:tr>
        <w:trPr>
          <w:trHeight w:val="27"/>
        </w:trPr>
        <w:tc>
          <w:tcPr>
            <w:tcW w:w="4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4020" w:type="dxa"/>
            <w:vAlign w:val="bottom"/>
            <w:gridSpan w:val="7"/>
            <w:vMerge w:val="restart"/>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Borders>
              <w:bottom w:val="single" w:sz="8" w:color="0000FF"/>
            </w:tcBorders>
            <w:gridSpan w:val="4"/>
            <w:vMerge w:val="continue"/>
          </w:tcPr>
          <w:p>
            <w:pPr>
              <w:spacing w:after="0"/>
              <w:rPr>
                <w:sz w:val="18"/>
                <w:szCs w:val="18"/>
                <w:color w:val="auto"/>
              </w:rPr>
            </w:pPr>
          </w:p>
        </w:tc>
        <w:tc>
          <w:tcPr>
            <w:tcW w:w="4020" w:type="dxa"/>
            <w:vAlign w:val="bottom"/>
            <w:gridSpan w:val="7"/>
            <w:vMerge w:val="continue"/>
          </w:tcPr>
          <w:p>
            <w:pPr>
              <w:spacing w:after="0"/>
              <w:rPr>
                <w:sz w:val="18"/>
                <w:szCs w:val="18"/>
                <w:color w:val="auto"/>
              </w:rPr>
            </w:pPr>
          </w:p>
        </w:tc>
        <w:tc>
          <w:tcPr>
            <w:tcW w:w="1240" w:type="dxa"/>
            <w:vAlign w:val="bottom"/>
            <w:vMerge w:val="restart"/>
          </w:tcPr>
          <w:p>
            <w:pPr>
              <w:spacing w:after="0"/>
              <w:rPr>
                <w:sz w:val="18"/>
                <w:szCs w:val="18"/>
                <w:color w:val="auto"/>
              </w:rPr>
            </w:pPr>
          </w:p>
        </w:tc>
        <w:tc>
          <w:tcPr>
            <w:tcW w:w="2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8"/>
              </w:rPr>
              <w:t>20</w:t>
            </w:r>
          </w:p>
        </w:tc>
        <w:tc>
          <w:tcPr>
            <w:tcW w:w="0" w:type="dxa"/>
            <w:vAlign w:val="bottom"/>
          </w:tcPr>
          <w:p>
            <w:pPr>
              <w:spacing w:after="0"/>
              <w:rPr>
                <w:sz w:val="1"/>
                <w:szCs w:val="1"/>
                <w:color w:val="auto"/>
              </w:rPr>
            </w:pPr>
          </w:p>
        </w:tc>
      </w:tr>
      <w:tr>
        <w:trPr>
          <w:trHeight w:val="193"/>
        </w:trPr>
        <w:tc>
          <w:tcPr>
            <w:tcW w:w="5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0000FF"/>
              </w:rPr>
              <w:t>Item 5.</w:t>
            </w:r>
          </w:p>
        </w:tc>
        <w:tc>
          <w:tcPr>
            <w:tcW w:w="540" w:type="dxa"/>
            <w:vAlign w:val="bottom"/>
            <w:gridSpan w:val="5"/>
          </w:tcPr>
          <w:p>
            <w:pPr>
              <w:spacing w:after="0"/>
              <w:rPr>
                <w:sz w:val="16"/>
                <w:szCs w:val="16"/>
                <w:color w:val="auto"/>
              </w:rPr>
            </w:pPr>
          </w:p>
        </w:tc>
        <w:tc>
          <w:tcPr>
            <w:tcW w:w="8680" w:type="dxa"/>
            <w:vAlign w:val="bottom"/>
            <w:gridSpan w:val="28"/>
          </w:tcPr>
          <w:p>
            <w:pPr>
              <w:spacing w:after="0" w:line="180" w:lineRule="exact"/>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1240" w:type="dxa"/>
            <w:vAlign w:val="bottom"/>
            <w:vMerge w:val="continue"/>
          </w:tcPr>
          <w:p>
            <w:pPr>
              <w:spacing w:after="0"/>
              <w:rPr>
                <w:sz w:val="16"/>
                <w:szCs w:val="16"/>
                <w:color w:val="auto"/>
              </w:rPr>
            </w:pP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2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gridSpan w:val="3"/>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40" w:type="dxa"/>
            <w:vAlign w:val="bottom"/>
            <w:gridSpan w:val="3"/>
            <w:shd w:val="clear" w:color="auto" w:fill="0000FF"/>
          </w:tcPr>
          <w:p>
            <w:pPr>
              <w:spacing w:after="0"/>
              <w:rPr>
                <w:sz w:val="2"/>
                <w:szCs w:val="2"/>
                <w:color w:val="auto"/>
              </w:rPr>
            </w:pPr>
          </w:p>
        </w:tc>
        <w:tc>
          <w:tcPr>
            <w:tcW w:w="94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 w:type="dxa"/>
            <w:vAlign w:val="bottom"/>
            <w:gridSpan w:val="2"/>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 w:type="dxa"/>
            <w:vAlign w:val="bottom"/>
            <w:gridSpan w:val="2"/>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220" w:type="dxa"/>
            <w:vAlign w:val="bottom"/>
            <w:gridSpan w:val="2"/>
            <w:shd w:val="clear" w:color="auto" w:fill="0000FF"/>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5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0000FF"/>
              </w:rPr>
              <w:t>Item 6.</w:t>
            </w:r>
          </w:p>
        </w:tc>
        <w:tc>
          <w:tcPr>
            <w:tcW w:w="540" w:type="dxa"/>
            <w:vAlign w:val="bottom"/>
            <w:gridSpan w:val="5"/>
          </w:tcPr>
          <w:p>
            <w:pPr>
              <w:spacing w:after="0"/>
              <w:rPr>
                <w:sz w:val="17"/>
                <w:szCs w:val="17"/>
                <w:color w:val="auto"/>
              </w:rPr>
            </w:pPr>
          </w:p>
        </w:tc>
        <w:tc>
          <w:tcPr>
            <w:tcW w:w="98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color w:val="0000FF"/>
              </w:rPr>
              <w:t>[Reserved]</w:t>
            </w:r>
          </w:p>
        </w:tc>
        <w:tc>
          <w:tcPr>
            <w:tcW w:w="7700" w:type="dxa"/>
            <w:vAlign w:val="bottom"/>
            <w:gridSpan w:val="23"/>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8"/>
                <w:szCs w:val="18"/>
                <w:color w:val="0000FF"/>
                <w:w w:val="88"/>
              </w:rPr>
              <w:t>21</w:t>
            </w:r>
          </w:p>
        </w:tc>
        <w:tc>
          <w:tcPr>
            <w:tcW w:w="0" w:type="dxa"/>
            <w:vAlign w:val="bottom"/>
          </w:tcPr>
          <w:p>
            <w:pPr>
              <w:spacing w:after="0"/>
              <w:rPr>
                <w:sz w:val="1"/>
                <w:szCs w:val="1"/>
                <w:color w:val="auto"/>
              </w:rPr>
            </w:pPr>
          </w:p>
        </w:tc>
      </w:tr>
      <w:tr>
        <w:trPr>
          <w:trHeight w:val="27"/>
        </w:trPr>
        <w:tc>
          <w:tcPr>
            <w:tcW w:w="52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gridSpan w:val="5"/>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9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5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0000FF"/>
              </w:rPr>
              <w:t>Item 7.</w:t>
            </w:r>
          </w:p>
        </w:tc>
        <w:tc>
          <w:tcPr>
            <w:tcW w:w="540" w:type="dxa"/>
            <w:vAlign w:val="bottom"/>
            <w:gridSpan w:val="5"/>
          </w:tcPr>
          <w:p>
            <w:pPr>
              <w:spacing w:after="0"/>
              <w:rPr>
                <w:sz w:val="17"/>
                <w:szCs w:val="17"/>
                <w:color w:val="auto"/>
              </w:rPr>
            </w:pPr>
          </w:p>
        </w:tc>
        <w:tc>
          <w:tcPr>
            <w:tcW w:w="5780" w:type="dxa"/>
            <w:vAlign w:val="bottom"/>
            <w:gridSpan w:val="25"/>
          </w:tcPr>
          <w:p>
            <w:pPr>
              <w:spacing w:after="0" w:line="180"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2900" w:type="dxa"/>
            <w:vAlign w:val="bottom"/>
            <w:gridSpan w:val="3"/>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8"/>
                <w:szCs w:val="18"/>
                <w:color w:val="0000FF"/>
                <w:w w:val="88"/>
              </w:rPr>
              <w:t>22</w:t>
            </w:r>
          </w:p>
        </w:tc>
        <w:tc>
          <w:tcPr>
            <w:tcW w:w="0" w:type="dxa"/>
            <w:vAlign w:val="bottom"/>
          </w:tcPr>
          <w:p>
            <w:pPr>
              <w:spacing w:after="0"/>
              <w:rPr>
                <w:sz w:val="1"/>
                <w:szCs w:val="1"/>
                <w:color w:val="auto"/>
              </w:rPr>
            </w:pPr>
          </w:p>
        </w:tc>
      </w:tr>
      <w:tr>
        <w:trPr>
          <w:trHeight w:val="27"/>
        </w:trPr>
        <w:tc>
          <w:tcPr>
            <w:tcW w:w="52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gridSpan w:val="5"/>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40" w:type="dxa"/>
            <w:vAlign w:val="bottom"/>
            <w:gridSpan w:val="3"/>
            <w:shd w:val="clear" w:color="auto" w:fill="0000FF"/>
          </w:tcPr>
          <w:p>
            <w:pPr>
              <w:spacing w:after="0"/>
              <w:rPr>
                <w:sz w:val="2"/>
                <w:szCs w:val="2"/>
                <w:color w:val="auto"/>
              </w:rPr>
            </w:pPr>
          </w:p>
        </w:tc>
        <w:tc>
          <w:tcPr>
            <w:tcW w:w="94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 w:type="dxa"/>
            <w:vAlign w:val="bottom"/>
            <w:gridSpan w:val="2"/>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 w:type="dxa"/>
            <w:vAlign w:val="bottom"/>
            <w:gridSpan w:val="2"/>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940" w:type="dxa"/>
            <w:vAlign w:val="bottom"/>
            <w:gridSpan w:val="2"/>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680" w:type="dxa"/>
            <w:vAlign w:val="bottom"/>
            <w:gridSpan w:val="6"/>
          </w:tcPr>
          <w:p>
            <w:pPr>
              <w:spacing w:after="0" w:line="180" w:lineRule="exact"/>
              <w:rPr>
                <w:sz w:val="20"/>
                <w:szCs w:val="20"/>
                <w:color w:val="auto"/>
              </w:rPr>
            </w:pPr>
            <w:r>
              <w:rPr>
                <w:rFonts w:ascii="Times New Roman" w:cs="Times New Roman" w:eastAsia="Times New Roman" w:hAnsi="Times New Roman"/>
                <w:sz w:val="16"/>
                <w:szCs w:val="16"/>
                <w:color w:val="0000FF"/>
              </w:rPr>
              <w:t>Item 7A.</w:t>
            </w:r>
          </w:p>
        </w:tc>
        <w:tc>
          <w:tcPr>
            <w:tcW w:w="380" w:type="dxa"/>
            <w:vAlign w:val="bottom"/>
          </w:tcPr>
          <w:p>
            <w:pPr>
              <w:spacing w:after="0"/>
              <w:rPr>
                <w:sz w:val="17"/>
                <w:szCs w:val="17"/>
                <w:color w:val="auto"/>
              </w:rPr>
            </w:pPr>
          </w:p>
        </w:tc>
        <w:tc>
          <w:tcPr>
            <w:tcW w:w="3960" w:type="dxa"/>
            <w:vAlign w:val="bottom"/>
            <w:gridSpan w:val="16"/>
          </w:tcPr>
          <w:p>
            <w:pPr>
              <w:spacing w:after="0" w:line="180"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4720" w:type="dxa"/>
            <w:vAlign w:val="bottom"/>
            <w:gridSpan w:val="12"/>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8"/>
                <w:szCs w:val="18"/>
                <w:color w:val="0000FF"/>
                <w:w w:val="88"/>
              </w:rPr>
              <w:t>28</w:t>
            </w:r>
          </w:p>
        </w:tc>
        <w:tc>
          <w:tcPr>
            <w:tcW w:w="0" w:type="dxa"/>
            <w:vAlign w:val="bottom"/>
          </w:tcPr>
          <w:p>
            <w:pPr>
              <w:spacing w:after="0"/>
              <w:rPr>
                <w:sz w:val="1"/>
                <w:szCs w:val="1"/>
                <w:color w:val="auto"/>
              </w:rPr>
            </w:pPr>
          </w:p>
        </w:tc>
      </w:tr>
      <w:tr>
        <w:trPr>
          <w:trHeight w:val="27"/>
        </w:trPr>
        <w:tc>
          <w:tcPr>
            <w:tcW w:w="52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gridSpan w:val="3"/>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gridSpan w:val="5"/>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40" w:type="dxa"/>
            <w:vAlign w:val="bottom"/>
            <w:gridSpan w:val="3"/>
            <w:shd w:val="clear" w:color="auto" w:fill="0000FF"/>
          </w:tcPr>
          <w:p>
            <w:pPr>
              <w:spacing w:after="0"/>
              <w:rPr>
                <w:sz w:val="2"/>
                <w:szCs w:val="2"/>
                <w:color w:val="auto"/>
              </w:rPr>
            </w:pPr>
          </w:p>
        </w:tc>
        <w:tc>
          <w:tcPr>
            <w:tcW w:w="94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340" w:type="dxa"/>
            <w:vAlign w:val="bottom"/>
            <w:gridSpan w:val="2"/>
            <w:shd w:val="clear" w:color="auto" w:fill="0000FF"/>
          </w:tcPr>
          <w:p>
            <w:pPr>
              <w:spacing w:after="0"/>
              <w:rPr>
                <w:sz w:val="2"/>
                <w:szCs w:val="2"/>
                <w:color w:val="auto"/>
              </w:rPr>
            </w:pPr>
          </w:p>
        </w:tc>
        <w:tc>
          <w:tcPr>
            <w:tcW w:w="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5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0000FF"/>
              </w:rPr>
              <w:t>Item 8.</w:t>
            </w:r>
          </w:p>
        </w:tc>
        <w:tc>
          <w:tcPr>
            <w:tcW w:w="160" w:type="dxa"/>
            <w:vAlign w:val="bottom"/>
            <w:gridSpan w:val="4"/>
          </w:tcPr>
          <w:p>
            <w:pPr>
              <w:spacing w:after="0"/>
              <w:rPr>
                <w:sz w:val="17"/>
                <w:szCs w:val="17"/>
                <w:color w:val="auto"/>
              </w:rPr>
            </w:pPr>
          </w:p>
        </w:tc>
        <w:tc>
          <w:tcPr>
            <w:tcW w:w="380" w:type="dxa"/>
            <w:vAlign w:val="bottom"/>
          </w:tcPr>
          <w:p>
            <w:pPr>
              <w:spacing w:after="0"/>
              <w:rPr>
                <w:sz w:val="17"/>
                <w:szCs w:val="17"/>
                <w:color w:val="auto"/>
              </w:rPr>
            </w:pPr>
          </w:p>
        </w:tc>
        <w:tc>
          <w:tcPr>
            <w:tcW w:w="3620" w:type="dxa"/>
            <w:vAlign w:val="bottom"/>
            <w:gridSpan w:val="14"/>
          </w:tcPr>
          <w:p>
            <w:pPr>
              <w:spacing w:after="0" w:line="180" w:lineRule="exact"/>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340" w:type="dxa"/>
            <w:vAlign w:val="bottom"/>
            <w:gridSpan w:val="2"/>
          </w:tcPr>
          <w:p>
            <w:pPr>
              <w:spacing w:after="0"/>
              <w:rPr>
                <w:sz w:val="17"/>
                <w:szCs w:val="17"/>
                <w:color w:val="auto"/>
              </w:rPr>
            </w:pPr>
          </w:p>
        </w:tc>
        <w:tc>
          <w:tcPr>
            <w:tcW w:w="4720" w:type="dxa"/>
            <w:vAlign w:val="bottom"/>
            <w:gridSpan w:val="12"/>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8"/>
                <w:szCs w:val="18"/>
                <w:color w:val="0000FF"/>
                <w:w w:val="88"/>
              </w:rPr>
              <w:t>30</w:t>
            </w:r>
          </w:p>
        </w:tc>
        <w:tc>
          <w:tcPr>
            <w:tcW w:w="0" w:type="dxa"/>
            <w:vAlign w:val="bottom"/>
          </w:tcPr>
          <w:p>
            <w:pPr>
              <w:spacing w:after="0"/>
              <w:rPr>
                <w:sz w:val="1"/>
                <w:szCs w:val="1"/>
                <w:color w:val="auto"/>
              </w:rPr>
            </w:pPr>
          </w:p>
        </w:tc>
      </w:tr>
      <w:tr>
        <w:trPr>
          <w:trHeight w:val="27"/>
        </w:trPr>
        <w:tc>
          <w:tcPr>
            <w:tcW w:w="52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gridSpan w:val="5"/>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40" w:type="dxa"/>
            <w:vAlign w:val="bottom"/>
            <w:gridSpan w:val="3"/>
            <w:shd w:val="clear" w:color="auto" w:fill="0000FF"/>
          </w:tcPr>
          <w:p>
            <w:pPr>
              <w:spacing w:after="0"/>
              <w:rPr>
                <w:sz w:val="2"/>
                <w:szCs w:val="2"/>
                <w:color w:val="auto"/>
              </w:rPr>
            </w:pPr>
          </w:p>
        </w:tc>
        <w:tc>
          <w:tcPr>
            <w:tcW w:w="94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60" w:type="dxa"/>
            <w:vAlign w:val="bottom"/>
            <w:gridSpan w:val="2"/>
            <w:shd w:val="clear" w:color="auto" w:fill="0000FF"/>
          </w:tcPr>
          <w:p>
            <w:pPr>
              <w:spacing w:after="0"/>
              <w:rPr>
                <w:sz w:val="2"/>
                <w:szCs w:val="2"/>
                <w:color w:val="auto"/>
              </w:rPr>
            </w:pPr>
          </w:p>
        </w:tc>
        <w:tc>
          <w:tcPr>
            <w:tcW w:w="34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5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0000FF"/>
              </w:rPr>
              <w:t>Item 9.</w:t>
            </w:r>
          </w:p>
        </w:tc>
        <w:tc>
          <w:tcPr>
            <w:tcW w:w="540" w:type="dxa"/>
            <w:vAlign w:val="bottom"/>
            <w:gridSpan w:val="5"/>
          </w:tcPr>
          <w:p>
            <w:pPr>
              <w:spacing w:after="0"/>
              <w:rPr>
                <w:sz w:val="17"/>
                <w:szCs w:val="17"/>
                <w:color w:val="auto"/>
              </w:rPr>
            </w:pPr>
          </w:p>
        </w:tc>
        <w:tc>
          <w:tcPr>
            <w:tcW w:w="6460" w:type="dxa"/>
            <w:vAlign w:val="bottom"/>
            <w:gridSpan w:val="26"/>
          </w:tcPr>
          <w:p>
            <w:pPr>
              <w:spacing w:after="0" w:line="180" w:lineRule="exact"/>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2220" w:type="dxa"/>
            <w:vAlign w:val="bottom"/>
            <w:gridSpan w:val="2"/>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8"/>
                <w:szCs w:val="18"/>
                <w:color w:val="0000FF"/>
                <w:w w:val="88"/>
              </w:rPr>
              <w:t>52</w:t>
            </w:r>
          </w:p>
        </w:tc>
        <w:tc>
          <w:tcPr>
            <w:tcW w:w="0" w:type="dxa"/>
            <w:vAlign w:val="bottom"/>
          </w:tcPr>
          <w:p>
            <w:pPr>
              <w:spacing w:after="0"/>
              <w:rPr>
                <w:sz w:val="1"/>
                <w:szCs w:val="1"/>
                <w:color w:val="auto"/>
              </w:rPr>
            </w:pPr>
          </w:p>
        </w:tc>
      </w:tr>
      <w:tr>
        <w:trPr>
          <w:trHeight w:val="27"/>
        </w:trPr>
        <w:tc>
          <w:tcPr>
            <w:tcW w:w="52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gridSpan w:val="5"/>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40" w:type="dxa"/>
            <w:vAlign w:val="bottom"/>
            <w:gridSpan w:val="3"/>
            <w:shd w:val="clear" w:color="auto" w:fill="0000FF"/>
          </w:tcPr>
          <w:p>
            <w:pPr>
              <w:spacing w:after="0"/>
              <w:rPr>
                <w:sz w:val="2"/>
                <w:szCs w:val="2"/>
                <w:color w:val="auto"/>
              </w:rPr>
            </w:pPr>
          </w:p>
        </w:tc>
        <w:tc>
          <w:tcPr>
            <w:tcW w:w="94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60" w:type="dxa"/>
            <w:vAlign w:val="bottom"/>
            <w:gridSpan w:val="2"/>
            <w:shd w:val="clear" w:color="auto" w:fill="0000FF"/>
          </w:tcPr>
          <w:p>
            <w:pPr>
              <w:spacing w:after="0"/>
              <w:rPr>
                <w:sz w:val="2"/>
                <w:szCs w:val="2"/>
                <w:color w:val="auto"/>
              </w:rPr>
            </w:pPr>
          </w:p>
        </w:tc>
        <w:tc>
          <w:tcPr>
            <w:tcW w:w="340" w:type="dxa"/>
            <w:vAlign w:val="bottom"/>
            <w:gridSpan w:val="2"/>
            <w:shd w:val="clear" w:color="auto" w:fill="0000FF"/>
          </w:tcPr>
          <w:p>
            <w:pPr>
              <w:spacing w:after="0"/>
              <w:rPr>
                <w:sz w:val="2"/>
                <w:szCs w:val="2"/>
                <w:color w:val="auto"/>
              </w:rPr>
            </w:pPr>
          </w:p>
        </w:tc>
        <w:tc>
          <w:tcPr>
            <w:tcW w:w="60" w:type="dxa"/>
            <w:vAlign w:val="bottom"/>
            <w:gridSpan w:val="2"/>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 w:type="dxa"/>
            <w:vAlign w:val="bottom"/>
            <w:gridSpan w:val="2"/>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20" w:type="dxa"/>
            <w:vAlign w:val="bottom"/>
            <w:gridSpan w:val="3"/>
            <w:shd w:val="clear" w:color="auto" w:fill="0000FF"/>
          </w:tcPr>
          <w:p>
            <w:pPr>
              <w:spacing w:after="0"/>
              <w:rPr>
                <w:sz w:val="2"/>
                <w:szCs w:val="2"/>
                <w:color w:val="auto"/>
              </w:rPr>
            </w:pPr>
          </w:p>
        </w:tc>
        <w:tc>
          <w:tcPr>
            <w:tcW w:w="22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680" w:type="dxa"/>
            <w:vAlign w:val="bottom"/>
            <w:gridSpan w:val="6"/>
          </w:tcPr>
          <w:p>
            <w:pPr>
              <w:spacing w:after="0" w:line="180" w:lineRule="exact"/>
              <w:rPr>
                <w:sz w:val="20"/>
                <w:szCs w:val="20"/>
                <w:color w:val="auto"/>
              </w:rPr>
            </w:pPr>
            <w:r>
              <w:rPr>
                <w:rFonts w:ascii="Times New Roman" w:cs="Times New Roman" w:eastAsia="Times New Roman" w:hAnsi="Times New Roman"/>
                <w:sz w:val="16"/>
                <w:szCs w:val="16"/>
                <w:color w:val="0000FF"/>
              </w:rPr>
              <w:t>Item 9A.</w:t>
            </w:r>
          </w:p>
        </w:tc>
        <w:tc>
          <w:tcPr>
            <w:tcW w:w="380" w:type="dxa"/>
            <w:vAlign w:val="bottom"/>
          </w:tcPr>
          <w:p>
            <w:pPr>
              <w:spacing w:after="0"/>
              <w:rPr>
                <w:sz w:val="17"/>
                <w:szCs w:val="17"/>
                <w:color w:val="auto"/>
              </w:rPr>
            </w:pPr>
          </w:p>
        </w:tc>
        <w:tc>
          <w:tcPr>
            <w:tcW w:w="1600" w:type="dxa"/>
            <w:vAlign w:val="bottom"/>
            <w:gridSpan w:val="9"/>
          </w:tcPr>
          <w:p>
            <w:pPr>
              <w:spacing w:after="0" w:line="180" w:lineRule="exact"/>
              <w:rPr>
                <w:sz w:val="20"/>
                <w:szCs w:val="20"/>
                <w:color w:val="auto"/>
              </w:rPr>
            </w:pPr>
            <w:r>
              <w:rPr>
                <w:rFonts w:ascii="Times New Roman" w:cs="Times New Roman" w:eastAsia="Times New Roman" w:hAnsi="Times New Roman"/>
                <w:sz w:val="16"/>
                <w:szCs w:val="16"/>
                <w:color w:val="0000FF"/>
              </w:rPr>
              <w:t>Controls and Procedures</w:t>
            </w:r>
          </w:p>
        </w:tc>
        <w:tc>
          <w:tcPr>
            <w:tcW w:w="7080" w:type="dxa"/>
            <w:vAlign w:val="bottom"/>
            <w:gridSpan w:val="19"/>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8"/>
                <w:szCs w:val="18"/>
                <w:color w:val="0000FF"/>
                <w:w w:val="88"/>
              </w:rPr>
              <w:t>52</w:t>
            </w:r>
          </w:p>
        </w:tc>
        <w:tc>
          <w:tcPr>
            <w:tcW w:w="0" w:type="dxa"/>
            <w:vAlign w:val="bottom"/>
          </w:tcPr>
          <w:p>
            <w:pPr>
              <w:spacing w:after="0"/>
              <w:rPr>
                <w:sz w:val="1"/>
                <w:szCs w:val="1"/>
                <w:color w:val="auto"/>
              </w:rPr>
            </w:pPr>
          </w:p>
        </w:tc>
      </w:tr>
      <w:tr>
        <w:trPr>
          <w:trHeight w:val="27"/>
        </w:trPr>
        <w:tc>
          <w:tcPr>
            <w:tcW w:w="52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gridSpan w:val="3"/>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gridSpan w:val="5"/>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40" w:type="dxa"/>
            <w:vAlign w:val="bottom"/>
            <w:gridSpan w:val="3"/>
            <w:shd w:val="clear" w:color="auto" w:fill="0000FF"/>
          </w:tcPr>
          <w:p>
            <w:pPr>
              <w:spacing w:after="0"/>
              <w:rPr>
                <w:sz w:val="2"/>
                <w:szCs w:val="2"/>
                <w:color w:val="auto"/>
              </w:rPr>
            </w:pPr>
          </w:p>
        </w:tc>
        <w:tc>
          <w:tcPr>
            <w:tcW w:w="9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22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680" w:type="dxa"/>
            <w:vAlign w:val="bottom"/>
            <w:gridSpan w:val="6"/>
          </w:tcPr>
          <w:p>
            <w:pPr>
              <w:spacing w:after="0" w:line="180" w:lineRule="exact"/>
              <w:rPr>
                <w:sz w:val="20"/>
                <w:szCs w:val="20"/>
                <w:color w:val="auto"/>
              </w:rPr>
            </w:pPr>
            <w:r>
              <w:rPr>
                <w:rFonts w:ascii="Times New Roman" w:cs="Times New Roman" w:eastAsia="Times New Roman" w:hAnsi="Times New Roman"/>
                <w:sz w:val="16"/>
                <w:szCs w:val="16"/>
                <w:color w:val="0000FF"/>
              </w:rPr>
              <w:t>Item 9B.</w:t>
            </w:r>
          </w:p>
        </w:tc>
        <w:tc>
          <w:tcPr>
            <w:tcW w:w="380" w:type="dxa"/>
            <w:vAlign w:val="bottom"/>
          </w:tcPr>
          <w:p>
            <w:pPr>
              <w:spacing w:after="0"/>
              <w:rPr>
                <w:sz w:val="17"/>
                <w:szCs w:val="17"/>
                <w:color w:val="auto"/>
              </w:rPr>
            </w:pPr>
          </w:p>
        </w:tc>
        <w:tc>
          <w:tcPr>
            <w:tcW w:w="1600" w:type="dxa"/>
            <w:vAlign w:val="bottom"/>
            <w:gridSpan w:val="9"/>
          </w:tcPr>
          <w:p>
            <w:pPr>
              <w:spacing w:after="0" w:line="180" w:lineRule="exact"/>
              <w:rPr>
                <w:sz w:val="20"/>
                <w:szCs w:val="20"/>
                <w:color w:val="auto"/>
              </w:rPr>
            </w:pPr>
            <w:r>
              <w:rPr>
                <w:rFonts w:ascii="Times New Roman" w:cs="Times New Roman" w:eastAsia="Times New Roman" w:hAnsi="Times New Roman"/>
                <w:sz w:val="16"/>
                <w:szCs w:val="16"/>
                <w:color w:val="0000FF"/>
              </w:rPr>
              <w:t>Other Information</w:t>
            </w:r>
          </w:p>
        </w:tc>
        <w:tc>
          <w:tcPr>
            <w:tcW w:w="7080" w:type="dxa"/>
            <w:vAlign w:val="bottom"/>
            <w:gridSpan w:val="19"/>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8"/>
                <w:szCs w:val="18"/>
                <w:color w:val="0000FF"/>
                <w:w w:val="88"/>
              </w:rPr>
              <w:t>52</w:t>
            </w:r>
          </w:p>
        </w:tc>
        <w:tc>
          <w:tcPr>
            <w:tcW w:w="0" w:type="dxa"/>
            <w:vAlign w:val="bottom"/>
          </w:tcPr>
          <w:p>
            <w:pPr>
              <w:spacing w:after="0"/>
              <w:rPr>
                <w:sz w:val="1"/>
                <w:szCs w:val="1"/>
                <w:color w:val="auto"/>
              </w:rPr>
            </w:pPr>
          </w:p>
        </w:tc>
      </w:tr>
      <w:tr>
        <w:trPr>
          <w:trHeight w:val="27"/>
        </w:trPr>
        <w:tc>
          <w:tcPr>
            <w:tcW w:w="52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gridSpan w:val="3"/>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gridSpan w:val="5"/>
            <w:shd w:val="clear" w:color="auto" w:fill="0000FF"/>
          </w:tcPr>
          <w:p>
            <w:pPr>
              <w:spacing w:after="0"/>
              <w:rPr>
                <w:sz w:val="2"/>
                <w:szCs w:val="2"/>
                <w:color w:val="auto"/>
              </w:rPr>
            </w:pPr>
          </w:p>
        </w:tc>
        <w:tc>
          <w:tcPr>
            <w:tcW w:w="620" w:type="dxa"/>
            <w:vAlign w:val="bottom"/>
            <w:gridSpan w:val="4"/>
            <w:shd w:val="clear" w:color="auto" w:fill="0000FF"/>
          </w:tcPr>
          <w:p>
            <w:pPr>
              <w:spacing w:after="0"/>
              <w:rPr>
                <w:sz w:val="2"/>
                <w:szCs w:val="2"/>
                <w:color w:val="auto"/>
              </w:rPr>
            </w:pPr>
          </w:p>
        </w:tc>
        <w:tc>
          <w:tcPr>
            <w:tcW w:w="9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22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680" w:type="dxa"/>
            <w:vAlign w:val="bottom"/>
            <w:gridSpan w:val="6"/>
          </w:tcPr>
          <w:p>
            <w:pPr>
              <w:spacing w:after="0" w:line="180" w:lineRule="exact"/>
              <w:rPr>
                <w:sz w:val="20"/>
                <w:szCs w:val="20"/>
                <w:color w:val="auto"/>
              </w:rPr>
            </w:pPr>
            <w:r>
              <w:rPr>
                <w:rFonts w:ascii="Times New Roman" w:cs="Times New Roman" w:eastAsia="Times New Roman" w:hAnsi="Times New Roman"/>
                <w:sz w:val="16"/>
                <w:szCs w:val="16"/>
                <w:color w:val="0000FF"/>
              </w:rPr>
              <w:t>Item 9C</w:t>
            </w:r>
            <w:r>
              <w:rPr>
                <w:rFonts w:ascii="Times New Roman" w:cs="Times New Roman" w:eastAsia="Times New Roman" w:hAnsi="Times New Roman"/>
                <w:sz w:val="16"/>
                <w:szCs w:val="16"/>
                <w:color w:val="000000"/>
              </w:rPr>
              <w:t>.</w:t>
            </w:r>
          </w:p>
        </w:tc>
        <w:tc>
          <w:tcPr>
            <w:tcW w:w="380" w:type="dxa"/>
            <w:vAlign w:val="bottom"/>
          </w:tcPr>
          <w:p>
            <w:pPr>
              <w:spacing w:after="0"/>
              <w:rPr>
                <w:sz w:val="17"/>
                <w:szCs w:val="17"/>
                <w:color w:val="auto"/>
              </w:rPr>
            </w:pPr>
          </w:p>
        </w:tc>
        <w:tc>
          <w:tcPr>
            <w:tcW w:w="8680" w:type="dxa"/>
            <w:vAlign w:val="bottom"/>
            <w:gridSpan w:val="28"/>
          </w:tcPr>
          <w:p>
            <w:pPr>
              <w:spacing w:after="0" w:line="180" w:lineRule="exact"/>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r>
              <w:rPr>
                <w:rFonts w:ascii="Times New Roman" w:cs="Times New Roman" w:eastAsia="Times New Roman" w:hAnsi="Times New Roman"/>
                <w:sz w:val="16"/>
                <w:szCs w:val="16"/>
                <w:color w:val="000000"/>
              </w:rPr>
              <w:t>.</w:t>
            </w:r>
          </w:p>
        </w:tc>
        <w:tc>
          <w:tcPr>
            <w:tcW w:w="1440" w:type="dxa"/>
            <w:vAlign w:val="bottom"/>
            <w:gridSpan w:val="4"/>
          </w:tcPr>
          <w:p>
            <w:pPr>
              <w:jc w:val="right"/>
              <w:ind w:right="20"/>
              <w:spacing w:after="0" w:line="180" w:lineRule="exact"/>
              <w:rPr>
                <w:sz w:val="20"/>
                <w:szCs w:val="20"/>
                <w:color w:val="auto"/>
              </w:rPr>
            </w:pPr>
            <w:r>
              <w:rPr>
                <w:rFonts w:ascii="Times New Roman" w:cs="Times New Roman" w:eastAsia="Times New Roman" w:hAnsi="Times New Roman"/>
                <w:sz w:val="18"/>
                <w:szCs w:val="18"/>
                <w:color w:val="0000FF"/>
              </w:rPr>
              <w:t>52</w:t>
            </w:r>
          </w:p>
        </w:tc>
        <w:tc>
          <w:tcPr>
            <w:tcW w:w="0" w:type="dxa"/>
            <w:vAlign w:val="bottom"/>
          </w:tcPr>
          <w:p>
            <w:pPr>
              <w:spacing w:after="0"/>
              <w:rPr>
                <w:sz w:val="1"/>
                <w:szCs w:val="1"/>
                <w:color w:val="auto"/>
              </w:rPr>
            </w:pPr>
          </w:p>
        </w:tc>
      </w:tr>
      <w:tr>
        <w:trPr>
          <w:trHeight w:val="20"/>
        </w:trPr>
        <w:tc>
          <w:tcPr>
            <w:tcW w:w="46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20" w:type="dxa"/>
            <w:vAlign w:val="bottom"/>
            <w:gridSpan w:val="12"/>
          </w:tcPr>
          <w:p>
            <w:pPr>
              <w:jc w:val="center"/>
              <w:ind w:right="4000"/>
              <w:spacing w:after="0" w:line="200" w:lineRule="exact"/>
              <w:rPr>
                <w:sz w:val="20"/>
                <w:szCs w:val="20"/>
                <w:color w:val="auto"/>
              </w:rPr>
            </w:pPr>
            <w:r>
              <w:rPr>
                <w:rFonts w:ascii="Times New Roman" w:cs="Times New Roman" w:eastAsia="Times New Roman" w:hAnsi="Times New Roman"/>
                <w:sz w:val="18"/>
                <w:szCs w:val="18"/>
                <w:b w:val="1"/>
                <w:bCs w:val="1"/>
                <w:color w:val="0000FF"/>
                <w:w w:val="96"/>
              </w:rPr>
              <w:t>PART III</w:t>
            </w:r>
          </w:p>
        </w:tc>
        <w:tc>
          <w:tcPr>
            <w:tcW w:w="1240" w:type="dxa"/>
            <w:vAlign w:val="bottom"/>
            <w:vMerge w:val="restart"/>
          </w:tcPr>
          <w:p>
            <w:pPr>
              <w:spacing w:after="0"/>
              <w:rPr>
                <w:sz w:val="17"/>
                <w:szCs w:val="17"/>
                <w:color w:val="auto"/>
              </w:rPr>
            </w:pPr>
          </w:p>
        </w:tc>
        <w:tc>
          <w:tcPr>
            <w:tcW w:w="2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8"/>
              </w:rPr>
              <w:t>53</w:t>
            </w:r>
          </w:p>
        </w:tc>
        <w:tc>
          <w:tcPr>
            <w:tcW w:w="0" w:type="dxa"/>
            <w:vAlign w:val="bottom"/>
          </w:tcPr>
          <w:p>
            <w:pPr>
              <w:spacing w:after="0"/>
              <w:rPr>
                <w:sz w:val="1"/>
                <w:szCs w:val="1"/>
                <w:color w:val="auto"/>
              </w:rPr>
            </w:pPr>
          </w:p>
        </w:tc>
      </w:tr>
      <w:tr>
        <w:trPr>
          <w:trHeight w:val="193"/>
        </w:trPr>
        <w:tc>
          <w:tcPr>
            <w:tcW w:w="54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0000FF"/>
                <w:w w:val="97"/>
              </w:rPr>
              <w:t>Item 10.</w:t>
            </w:r>
          </w:p>
        </w:tc>
        <w:tc>
          <w:tcPr>
            <w:tcW w:w="520" w:type="dxa"/>
            <w:vAlign w:val="bottom"/>
            <w:gridSpan w:val="4"/>
          </w:tcPr>
          <w:p>
            <w:pPr>
              <w:spacing w:after="0"/>
              <w:rPr>
                <w:sz w:val="16"/>
                <w:szCs w:val="16"/>
                <w:color w:val="auto"/>
              </w:rPr>
            </w:pPr>
          </w:p>
        </w:tc>
        <w:tc>
          <w:tcPr>
            <w:tcW w:w="3960" w:type="dxa"/>
            <w:vAlign w:val="bottom"/>
            <w:gridSpan w:val="16"/>
          </w:tcPr>
          <w:p>
            <w:pPr>
              <w:spacing w:after="0" w:line="180" w:lineRule="exact"/>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60" w:type="dxa"/>
            <w:vAlign w:val="bottom"/>
            <w:tcBorders>
              <w:top w:val="single" w:sz="8" w:color="0000FF"/>
            </w:tcBorders>
            <w:gridSpan w:val="2"/>
          </w:tcPr>
          <w:p>
            <w:pPr>
              <w:spacing w:after="0"/>
              <w:rPr>
                <w:sz w:val="16"/>
                <w:szCs w:val="16"/>
                <w:color w:val="auto"/>
              </w:rPr>
            </w:pPr>
          </w:p>
        </w:tc>
        <w:tc>
          <w:tcPr>
            <w:tcW w:w="660" w:type="dxa"/>
            <w:vAlign w:val="bottom"/>
            <w:tcBorders>
              <w:top w:val="single" w:sz="8" w:color="0000FF"/>
            </w:tcBorders>
            <w:gridSpan w:val="4"/>
          </w:tcPr>
          <w:p>
            <w:pPr>
              <w:spacing w:after="0"/>
              <w:rPr>
                <w:sz w:val="16"/>
                <w:szCs w:val="16"/>
                <w:color w:val="auto"/>
              </w:rPr>
            </w:pPr>
          </w:p>
        </w:tc>
        <w:tc>
          <w:tcPr>
            <w:tcW w:w="4000" w:type="dxa"/>
            <w:vAlign w:val="bottom"/>
            <w:gridSpan w:val="6"/>
          </w:tcPr>
          <w:p>
            <w:pPr>
              <w:spacing w:after="0"/>
              <w:rPr>
                <w:sz w:val="16"/>
                <w:szCs w:val="16"/>
                <w:color w:val="auto"/>
              </w:rPr>
            </w:pPr>
          </w:p>
        </w:tc>
        <w:tc>
          <w:tcPr>
            <w:tcW w:w="1240" w:type="dxa"/>
            <w:vAlign w:val="bottom"/>
            <w:vMerge w:val="continue"/>
          </w:tcPr>
          <w:p>
            <w:pPr>
              <w:spacing w:after="0"/>
              <w:rPr>
                <w:sz w:val="16"/>
                <w:szCs w:val="16"/>
                <w:color w:val="auto"/>
              </w:rPr>
            </w:pP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40" w:type="dxa"/>
            <w:vAlign w:val="bottom"/>
            <w:gridSpan w:val="3"/>
            <w:shd w:val="clear" w:color="auto" w:fill="0000FF"/>
          </w:tcPr>
          <w:p>
            <w:pPr>
              <w:spacing w:after="0"/>
              <w:rPr>
                <w:sz w:val="2"/>
                <w:szCs w:val="2"/>
                <w:color w:val="auto"/>
              </w:rPr>
            </w:pPr>
          </w:p>
        </w:tc>
        <w:tc>
          <w:tcPr>
            <w:tcW w:w="14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gridSpan w:val="5"/>
            <w:shd w:val="clear" w:color="auto" w:fill="0000FF"/>
          </w:tcPr>
          <w:p>
            <w:pPr>
              <w:spacing w:after="0"/>
              <w:rPr>
                <w:sz w:val="2"/>
                <w:szCs w:val="2"/>
                <w:color w:val="auto"/>
              </w:rPr>
            </w:pPr>
          </w:p>
        </w:tc>
        <w:tc>
          <w:tcPr>
            <w:tcW w:w="620" w:type="dxa"/>
            <w:vAlign w:val="bottom"/>
            <w:gridSpan w:val="4"/>
            <w:shd w:val="clear" w:color="auto" w:fill="0000FF"/>
          </w:tcPr>
          <w:p>
            <w:pPr>
              <w:spacing w:after="0"/>
              <w:rPr>
                <w:sz w:val="2"/>
                <w:szCs w:val="2"/>
                <w:color w:val="auto"/>
              </w:rPr>
            </w:pPr>
          </w:p>
        </w:tc>
        <w:tc>
          <w:tcPr>
            <w:tcW w:w="94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60" w:type="dxa"/>
            <w:vAlign w:val="bottom"/>
            <w:gridSpan w:val="6"/>
            <w:shd w:val="clear" w:color="auto" w:fill="0000FF"/>
          </w:tcPr>
          <w:p>
            <w:pPr>
              <w:spacing w:after="0"/>
              <w:rPr>
                <w:sz w:val="2"/>
                <w:szCs w:val="2"/>
                <w:color w:val="auto"/>
              </w:rPr>
            </w:pPr>
          </w:p>
        </w:tc>
        <w:tc>
          <w:tcPr>
            <w:tcW w:w="620" w:type="dxa"/>
            <w:vAlign w:val="bottom"/>
            <w:gridSpan w:val="2"/>
          </w:tcPr>
          <w:p>
            <w:pPr>
              <w:spacing w:after="0"/>
              <w:rPr>
                <w:sz w:val="2"/>
                <w:szCs w:val="2"/>
                <w:color w:val="auto"/>
              </w:rPr>
            </w:pPr>
          </w:p>
        </w:tc>
        <w:tc>
          <w:tcPr>
            <w:tcW w:w="200" w:type="dxa"/>
            <w:vAlign w:val="bottom"/>
            <w:gridSpan w:val="3"/>
          </w:tcPr>
          <w:p>
            <w:pPr>
              <w:spacing w:after="0"/>
              <w:rPr>
                <w:sz w:val="2"/>
                <w:szCs w:val="2"/>
                <w:color w:val="auto"/>
              </w:rPr>
            </w:pPr>
          </w:p>
        </w:tc>
        <w:tc>
          <w:tcPr>
            <w:tcW w:w="1620" w:type="dxa"/>
            <w:vAlign w:val="bottom"/>
            <w:gridSpan w:val="3"/>
          </w:tcPr>
          <w:p>
            <w:pPr>
              <w:spacing w:after="0"/>
              <w:rPr>
                <w:sz w:val="2"/>
                <w:szCs w:val="2"/>
                <w:color w:val="auto"/>
              </w:rPr>
            </w:pPr>
          </w:p>
        </w:tc>
        <w:tc>
          <w:tcPr>
            <w:tcW w:w="22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54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0000FF"/>
                <w:w w:val="97"/>
              </w:rPr>
              <w:t>Item 11.</w:t>
            </w:r>
          </w:p>
        </w:tc>
        <w:tc>
          <w:tcPr>
            <w:tcW w:w="520" w:type="dxa"/>
            <w:vAlign w:val="bottom"/>
            <w:gridSpan w:val="4"/>
          </w:tcPr>
          <w:p>
            <w:pPr>
              <w:spacing w:after="0"/>
              <w:rPr>
                <w:sz w:val="17"/>
                <w:szCs w:val="17"/>
                <w:color w:val="auto"/>
              </w:rPr>
            </w:pPr>
          </w:p>
        </w:tc>
        <w:tc>
          <w:tcPr>
            <w:tcW w:w="2540" w:type="dxa"/>
            <w:vAlign w:val="bottom"/>
            <w:gridSpan w:val="11"/>
          </w:tcPr>
          <w:p>
            <w:pPr>
              <w:spacing w:after="0" w:line="180" w:lineRule="exact"/>
              <w:rPr>
                <w:sz w:val="20"/>
                <w:szCs w:val="20"/>
                <w:color w:val="auto"/>
              </w:rPr>
            </w:pPr>
            <w:r>
              <w:rPr>
                <w:rFonts w:ascii="Times New Roman" w:cs="Times New Roman" w:eastAsia="Times New Roman" w:hAnsi="Times New Roman"/>
                <w:sz w:val="16"/>
                <w:szCs w:val="16"/>
                <w:color w:val="0000FF"/>
              </w:rPr>
              <w:t>Executive Compensation</w:t>
            </w:r>
          </w:p>
        </w:tc>
        <w:tc>
          <w:tcPr>
            <w:tcW w:w="1480" w:type="dxa"/>
            <w:vAlign w:val="bottom"/>
            <w:gridSpan w:val="7"/>
          </w:tcPr>
          <w:p>
            <w:pPr>
              <w:spacing w:after="0"/>
              <w:rPr>
                <w:sz w:val="17"/>
                <w:szCs w:val="17"/>
                <w:color w:val="auto"/>
              </w:rPr>
            </w:pPr>
          </w:p>
        </w:tc>
        <w:tc>
          <w:tcPr>
            <w:tcW w:w="4660" w:type="dxa"/>
            <w:vAlign w:val="bottom"/>
            <w:gridSpan w:val="10"/>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8"/>
                <w:szCs w:val="18"/>
                <w:color w:val="0000FF"/>
                <w:w w:val="88"/>
              </w:rPr>
              <w:t>53</w:t>
            </w:r>
          </w:p>
        </w:tc>
        <w:tc>
          <w:tcPr>
            <w:tcW w:w="0" w:type="dxa"/>
            <w:vAlign w:val="bottom"/>
          </w:tcPr>
          <w:p>
            <w:pPr>
              <w:spacing w:after="0"/>
              <w:rPr>
                <w:sz w:val="1"/>
                <w:szCs w:val="1"/>
                <w:color w:val="auto"/>
              </w:rPr>
            </w:pPr>
          </w:p>
        </w:tc>
      </w:tr>
      <w:tr>
        <w:trPr>
          <w:trHeight w:val="27"/>
        </w:trPr>
        <w:tc>
          <w:tcPr>
            <w:tcW w:w="540" w:type="dxa"/>
            <w:vAlign w:val="bottom"/>
            <w:gridSpan w:val="3"/>
            <w:shd w:val="clear" w:color="auto" w:fill="0000FF"/>
          </w:tcPr>
          <w:p>
            <w:pPr>
              <w:spacing w:after="0"/>
              <w:rPr>
                <w:sz w:val="2"/>
                <w:szCs w:val="2"/>
                <w:color w:val="auto"/>
              </w:rPr>
            </w:pPr>
          </w:p>
        </w:tc>
        <w:tc>
          <w:tcPr>
            <w:tcW w:w="14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gridSpan w:val="5"/>
            <w:shd w:val="clear" w:color="auto" w:fill="0000FF"/>
          </w:tcPr>
          <w:p>
            <w:pPr>
              <w:spacing w:after="0"/>
              <w:rPr>
                <w:sz w:val="2"/>
                <w:szCs w:val="2"/>
                <w:color w:val="auto"/>
              </w:rPr>
            </w:pPr>
          </w:p>
        </w:tc>
        <w:tc>
          <w:tcPr>
            <w:tcW w:w="1560" w:type="dxa"/>
            <w:vAlign w:val="bottom"/>
            <w:gridSpan w:val="6"/>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gridSpan w:val="6"/>
          </w:tcPr>
          <w:p>
            <w:pPr>
              <w:spacing w:after="0"/>
              <w:rPr>
                <w:sz w:val="2"/>
                <w:szCs w:val="2"/>
                <w:color w:val="auto"/>
              </w:rPr>
            </w:pPr>
          </w:p>
        </w:tc>
        <w:tc>
          <w:tcPr>
            <w:tcW w:w="620" w:type="dxa"/>
            <w:vAlign w:val="bottom"/>
            <w:gridSpan w:val="2"/>
          </w:tcPr>
          <w:p>
            <w:pPr>
              <w:spacing w:after="0"/>
              <w:rPr>
                <w:sz w:val="2"/>
                <w:szCs w:val="2"/>
                <w:color w:val="auto"/>
              </w:rPr>
            </w:pPr>
          </w:p>
        </w:tc>
        <w:tc>
          <w:tcPr>
            <w:tcW w:w="200" w:type="dxa"/>
            <w:vAlign w:val="bottom"/>
            <w:gridSpan w:val="3"/>
          </w:tcPr>
          <w:p>
            <w:pPr>
              <w:spacing w:after="0"/>
              <w:rPr>
                <w:sz w:val="2"/>
                <w:szCs w:val="2"/>
                <w:color w:val="auto"/>
              </w:rPr>
            </w:pPr>
          </w:p>
        </w:tc>
        <w:tc>
          <w:tcPr>
            <w:tcW w:w="1620" w:type="dxa"/>
            <w:vAlign w:val="bottom"/>
            <w:gridSpan w:val="3"/>
          </w:tcPr>
          <w:p>
            <w:pPr>
              <w:spacing w:after="0"/>
              <w:rPr>
                <w:sz w:val="2"/>
                <w:szCs w:val="2"/>
                <w:color w:val="auto"/>
              </w:rPr>
            </w:pPr>
          </w:p>
        </w:tc>
        <w:tc>
          <w:tcPr>
            <w:tcW w:w="22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54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0000FF"/>
                <w:w w:val="97"/>
              </w:rPr>
              <w:t>Item 12.</w:t>
            </w:r>
          </w:p>
        </w:tc>
        <w:tc>
          <w:tcPr>
            <w:tcW w:w="14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c>
          <w:tcPr>
            <w:tcW w:w="8680" w:type="dxa"/>
            <w:vAlign w:val="bottom"/>
            <w:gridSpan w:val="28"/>
          </w:tcPr>
          <w:p>
            <w:pPr>
              <w:spacing w:after="0" w:line="180" w:lineRule="exact"/>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1240" w:type="dxa"/>
            <w:vAlign w:val="bottom"/>
          </w:tcPr>
          <w:p>
            <w:pPr>
              <w:spacing w:after="0"/>
              <w:rPr>
                <w:sz w:val="17"/>
                <w:szCs w:val="17"/>
                <w:color w:val="auto"/>
              </w:rPr>
            </w:pPr>
          </w:p>
        </w:tc>
        <w:tc>
          <w:tcPr>
            <w:tcW w:w="20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8"/>
                <w:szCs w:val="18"/>
                <w:color w:val="0000FF"/>
                <w:w w:val="88"/>
              </w:rPr>
              <w:t>53</w:t>
            </w:r>
          </w:p>
        </w:tc>
        <w:tc>
          <w:tcPr>
            <w:tcW w:w="0" w:type="dxa"/>
            <w:vAlign w:val="bottom"/>
          </w:tcPr>
          <w:p>
            <w:pPr>
              <w:spacing w:after="0"/>
              <w:rPr>
                <w:sz w:val="1"/>
                <w:szCs w:val="1"/>
                <w:color w:val="auto"/>
              </w:rPr>
            </w:pPr>
          </w:p>
        </w:tc>
      </w:tr>
      <w:tr>
        <w:trPr>
          <w:trHeight w:val="27"/>
        </w:trPr>
        <w:tc>
          <w:tcPr>
            <w:tcW w:w="680" w:type="dxa"/>
            <w:vAlign w:val="bottom"/>
            <w:gridSpan w:val="6"/>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gridSpan w:val="5"/>
            <w:shd w:val="clear" w:color="auto" w:fill="0000FF"/>
          </w:tcPr>
          <w:p>
            <w:pPr>
              <w:spacing w:after="0"/>
              <w:rPr>
                <w:sz w:val="2"/>
                <w:szCs w:val="2"/>
                <w:color w:val="auto"/>
              </w:rPr>
            </w:pPr>
          </w:p>
        </w:tc>
        <w:tc>
          <w:tcPr>
            <w:tcW w:w="1560" w:type="dxa"/>
            <w:vAlign w:val="bottom"/>
            <w:gridSpan w:val="6"/>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60" w:type="dxa"/>
            <w:vAlign w:val="bottom"/>
            <w:gridSpan w:val="6"/>
            <w:shd w:val="clear" w:color="auto" w:fill="0000FF"/>
          </w:tcPr>
          <w:p>
            <w:pPr>
              <w:spacing w:after="0"/>
              <w:rPr>
                <w:sz w:val="2"/>
                <w:szCs w:val="2"/>
                <w:color w:val="auto"/>
              </w:rPr>
            </w:pPr>
          </w:p>
        </w:tc>
        <w:tc>
          <w:tcPr>
            <w:tcW w:w="620" w:type="dxa"/>
            <w:vAlign w:val="bottom"/>
            <w:gridSpan w:val="2"/>
            <w:shd w:val="clear" w:color="auto" w:fill="0000FF"/>
          </w:tcPr>
          <w:p>
            <w:pPr>
              <w:spacing w:after="0"/>
              <w:rPr>
                <w:sz w:val="2"/>
                <w:szCs w:val="2"/>
                <w:color w:val="auto"/>
              </w:rPr>
            </w:pPr>
          </w:p>
        </w:tc>
        <w:tc>
          <w:tcPr>
            <w:tcW w:w="200" w:type="dxa"/>
            <w:vAlign w:val="bottom"/>
            <w:gridSpan w:val="3"/>
            <w:shd w:val="clear" w:color="auto" w:fill="0000FF"/>
          </w:tcPr>
          <w:p>
            <w:pPr>
              <w:spacing w:after="0"/>
              <w:rPr>
                <w:sz w:val="2"/>
                <w:szCs w:val="2"/>
                <w:color w:val="auto"/>
              </w:rPr>
            </w:pPr>
          </w:p>
        </w:tc>
        <w:tc>
          <w:tcPr>
            <w:tcW w:w="3840" w:type="dxa"/>
            <w:vAlign w:val="bottom"/>
            <w:gridSpan w:val="5"/>
            <w:shd w:val="clear" w:color="auto" w:fill="0000FF"/>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680" w:type="dxa"/>
            <w:vAlign w:val="bottom"/>
            <w:gridSpan w:val="6"/>
          </w:tcPr>
          <w:p>
            <w:pPr>
              <w:spacing w:after="0" w:line="180" w:lineRule="exact"/>
              <w:rPr>
                <w:sz w:val="20"/>
                <w:szCs w:val="20"/>
                <w:color w:val="auto"/>
              </w:rPr>
            </w:pPr>
            <w:r>
              <w:rPr>
                <w:rFonts w:ascii="Times New Roman" w:cs="Times New Roman" w:eastAsia="Times New Roman" w:hAnsi="Times New Roman"/>
                <w:sz w:val="16"/>
                <w:szCs w:val="16"/>
                <w:color w:val="0000FF"/>
              </w:rPr>
              <w:t>Item 13.</w:t>
            </w:r>
          </w:p>
        </w:tc>
        <w:tc>
          <w:tcPr>
            <w:tcW w:w="380" w:type="dxa"/>
            <w:vAlign w:val="bottom"/>
          </w:tcPr>
          <w:p>
            <w:pPr>
              <w:spacing w:after="0"/>
              <w:rPr>
                <w:sz w:val="17"/>
                <w:szCs w:val="17"/>
                <w:color w:val="auto"/>
              </w:rPr>
            </w:pPr>
          </w:p>
        </w:tc>
        <w:tc>
          <w:tcPr>
            <w:tcW w:w="8680" w:type="dxa"/>
            <w:vAlign w:val="bottom"/>
            <w:gridSpan w:val="28"/>
          </w:tcPr>
          <w:p>
            <w:pPr>
              <w:spacing w:after="0" w:line="180" w:lineRule="exact"/>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1240" w:type="dxa"/>
            <w:vAlign w:val="bottom"/>
          </w:tcPr>
          <w:p>
            <w:pPr>
              <w:spacing w:after="0"/>
              <w:rPr>
                <w:sz w:val="17"/>
                <w:szCs w:val="17"/>
                <w:color w:val="auto"/>
              </w:rPr>
            </w:pPr>
          </w:p>
        </w:tc>
        <w:tc>
          <w:tcPr>
            <w:tcW w:w="20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8"/>
                <w:szCs w:val="18"/>
                <w:color w:val="0000FF"/>
                <w:w w:val="88"/>
              </w:rPr>
              <w:t>53</w:t>
            </w:r>
          </w:p>
        </w:tc>
        <w:tc>
          <w:tcPr>
            <w:tcW w:w="0" w:type="dxa"/>
            <w:vAlign w:val="bottom"/>
          </w:tcPr>
          <w:p>
            <w:pPr>
              <w:spacing w:after="0"/>
              <w:rPr>
                <w:sz w:val="1"/>
                <w:szCs w:val="1"/>
                <w:color w:val="auto"/>
              </w:rPr>
            </w:pPr>
          </w:p>
        </w:tc>
      </w:tr>
      <w:tr>
        <w:trPr>
          <w:trHeight w:val="27"/>
        </w:trPr>
        <w:tc>
          <w:tcPr>
            <w:tcW w:w="680" w:type="dxa"/>
            <w:vAlign w:val="bottom"/>
            <w:gridSpan w:val="6"/>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gridSpan w:val="5"/>
            <w:shd w:val="clear" w:color="auto" w:fill="0000FF"/>
          </w:tcPr>
          <w:p>
            <w:pPr>
              <w:spacing w:after="0"/>
              <w:rPr>
                <w:sz w:val="2"/>
                <w:szCs w:val="2"/>
                <w:color w:val="auto"/>
              </w:rPr>
            </w:pPr>
          </w:p>
        </w:tc>
        <w:tc>
          <w:tcPr>
            <w:tcW w:w="1560" w:type="dxa"/>
            <w:vAlign w:val="bottom"/>
            <w:gridSpan w:val="6"/>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60" w:type="dxa"/>
            <w:vAlign w:val="bottom"/>
            <w:gridSpan w:val="6"/>
            <w:shd w:val="clear" w:color="auto" w:fill="0000FF"/>
          </w:tcPr>
          <w:p>
            <w:pPr>
              <w:spacing w:after="0"/>
              <w:rPr>
                <w:sz w:val="2"/>
                <w:szCs w:val="2"/>
                <w:color w:val="auto"/>
              </w:rPr>
            </w:pPr>
          </w:p>
        </w:tc>
        <w:tc>
          <w:tcPr>
            <w:tcW w:w="620" w:type="dxa"/>
            <w:vAlign w:val="bottom"/>
            <w:gridSpan w:val="2"/>
            <w:shd w:val="clear" w:color="auto" w:fill="0000FF"/>
          </w:tcPr>
          <w:p>
            <w:pPr>
              <w:spacing w:after="0"/>
              <w:rPr>
                <w:sz w:val="2"/>
                <w:szCs w:val="2"/>
                <w:color w:val="auto"/>
              </w:rPr>
            </w:pPr>
          </w:p>
        </w:tc>
        <w:tc>
          <w:tcPr>
            <w:tcW w:w="4040" w:type="dxa"/>
            <w:vAlign w:val="bottom"/>
            <w:gridSpan w:val="8"/>
            <w:shd w:val="clear" w:color="auto" w:fill="0000FF"/>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80" w:type="dxa"/>
            <w:vAlign w:val="bottom"/>
            <w:gridSpan w:val="6"/>
          </w:tcPr>
          <w:p>
            <w:pPr>
              <w:spacing w:after="0" w:line="180" w:lineRule="exact"/>
              <w:rPr>
                <w:sz w:val="20"/>
                <w:szCs w:val="20"/>
                <w:color w:val="auto"/>
              </w:rPr>
            </w:pPr>
            <w:r>
              <w:rPr>
                <w:rFonts w:ascii="Times New Roman" w:cs="Times New Roman" w:eastAsia="Times New Roman" w:hAnsi="Times New Roman"/>
                <w:sz w:val="16"/>
                <w:szCs w:val="16"/>
                <w:color w:val="0000FF"/>
              </w:rPr>
              <w:t>Item 14.</w:t>
            </w:r>
          </w:p>
        </w:tc>
        <w:tc>
          <w:tcPr>
            <w:tcW w:w="380" w:type="dxa"/>
            <w:vAlign w:val="bottom"/>
          </w:tcPr>
          <w:p>
            <w:pPr>
              <w:spacing w:after="0"/>
              <w:rPr>
                <w:sz w:val="17"/>
                <w:szCs w:val="17"/>
                <w:color w:val="auto"/>
              </w:rPr>
            </w:pPr>
          </w:p>
        </w:tc>
        <w:tc>
          <w:tcPr>
            <w:tcW w:w="8680" w:type="dxa"/>
            <w:vAlign w:val="bottom"/>
            <w:gridSpan w:val="28"/>
          </w:tcPr>
          <w:p>
            <w:pPr>
              <w:spacing w:after="0" w:line="180" w:lineRule="exact"/>
              <w:rPr>
                <w:sz w:val="20"/>
                <w:szCs w:val="20"/>
                <w:color w:val="auto"/>
              </w:rPr>
            </w:pPr>
            <w:r>
              <w:rPr>
                <w:rFonts w:ascii="Times New Roman" w:cs="Times New Roman" w:eastAsia="Times New Roman" w:hAnsi="Times New Roman"/>
                <w:sz w:val="16"/>
                <w:szCs w:val="16"/>
                <w:color w:val="0000FF"/>
              </w:rPr>
              <w:t>Principal Accountant Fees and Services</w:t>
            </w:r>
          </w:p>
        </w:tc>
        <w:tc>
          <w:tcPr>
            <w:tcW w:w="1240" w:type="dxa"/>
            <w:vAlign w:val="bottom"/>
          </w:tcPr>
          <w:p>
            <w:pPr>
              <w:spacing w:after="0"/>
              <w:rPr>
                <w:sz w:val="17"/>
                <w:szCs w:val="17"/>
                <w:color w:val="auto"/>
              </w:rPr>
            </w:pPr>
          </w:p>
        </w:tc>
        <w:tc>
          <w:tcPr>
            <w:tcW w:w="20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8"/>
                <w:szCs w:val="18"/>
                <w:color w:val="0000FF"/>
                <w:w w:val="88"/>
              </w:rPr>
              <w:t>53</w:t>
            </w:r>
          </w:p>
        </w:tc>
        <w:tc>
          <w:tcPr>
            <w:tcW w:w="0" w:type="dxa"/>
            <w:vAlign w:val="bottom"/>
          </w:tcPr>
          <w:p>
            <w:pPr>
              <w:spacing w:after="0"/>
              <w:rPr>
                <w:sz w:val="1"/>
                <w:szCs w:val="1"/>
                <w:color w:val="auto"/>
              </w:rPr>
            </w:pPr>
          </w:p>
        </w:tc>
      </w:tr>
      <w:tr>
        <w:trPr>
          <w:trHeight w:val="200"/>
        </w:trPr>
        <w:tc>
          <w:tcPr>
            <w:tcW w:w="4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10"/>
          </w:tcPr>
          <w:p>
            <w:pPr>
              <w:jc w:val="center"/>
              <w:ind w:right="4040"/>
              <w:spacing w:after="0"/>
              <w:rPr>
                <w:sz w:val="20"/>
                <w:szCs w:val="20"/>
                <w:color w:val="auto"/>
              </w:rPr>
            </w:pPr>
            <w:r>
              <w:rPr>
                <w:rFonts w:ascii="Times New Roman" w:cs="Times New Roman" w:eastAsia="Times New Roman" w:hAnsi="Times New Roman"/>
                <w:sz w:val="16"/>
                <w:szCs w:val="16"/>
                <w:b w:val="1"/>
                <w:bCs w:val="1"/>
                <w:color w:val="0000FF"/>
                <w:w w:val="94"/>
              </w:rPr>
              <w:t>PART IV</w:t>
            </w:r>
          </w:p>
        </w:tc>
        <w:tc>
          <w:tcPr>
            <w:tcW w:w="124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80" w:type="dxa"/>
            <w:vAlign w:val="bottom"/>
            <w:gridSpan w:val="6"/>
          </w:tcPr>
          <w:p>
            <w:pPr>
              <w:spacing w:after="0" w:line="180" w:lineRule="exact"/>
              <w:rPr>
                <w:sz w:val="20"/>
                <w:szCs w:val="20"/>
                <w:color w:val="auto"/>
              </w:rPr>
            </w:pPr>
            <w:r>
              <w:rPr>
                <w:rFonts w:ascii="Times New Roman" w:cs="Times New Roman" w:eastAsia="Times New Roman" w:hAnsi="Times New Roman"/>
                <w:sz w:val="16"/>
                <w:szCs w:val="16"/>
                <w:color w:val="0000FF"/>
              </w:rPr>
              <w:t>Item 15.</w:t>
            </w:r>
          </w:p>
        </w:tc>
        <w:tc>
          <w:tcPr>
            <w:tcW w:w="380" w:type="dxa"/>
            <w:vAlign w:val="bottom"/>
          </w:tcPr>
          <w:p>
            <w:pPr>
              <w:spacing w:after="0"/>
              <w:rPr>
                <w:sz w:val="16"/>
                <w:szCs w:val="16"/>
                <w:color w:val="auto"/>
              </w:rPr>
            </w:pPr>
          </w:p>
        </w:tc>
        <w:tc>
          <w:tcPr>
            <w:tcW w:w="4020" w:type="dxa"/>
            <w:vAlign w:val="bottom"/>
            <w:gridSpan w:val="18"/>
          </w:tcPr>
          <w:p>
            <w:pPr>
              <w:spacing w:after="0" w:line="180" w:lineRule="exact"/>
              <w:rPr>
                <w:sz w:val="20"/>
                <w:szCs w:val="20"/>
                <w:color w:val="auto"/>
              </w:rPr>
            </w:pPr>
            <w:r>
              <w:rPr>
                <w:rFonts w:ascii="Times New Roman" w:cs="Times New Roman" w:eastAsia="Times New Roman" w:hAnsi="Times New Roman"/>
                <w:sz w:val="16"/>
                <w:szCs w:val="16"/>
                <w:color w:val="0000FF"/>
              </w:rPr>
              <w:t>Exhibits, Financial Statement Schedules</w:t>
            </w:r>
          </w:p>
        </w:tc>
        <w:tc>
          <w:tcPr>
            <w:tcW w:w="620" w:type="dxa"/>
            <w:vAlign w:val="bottom"/>
            <w:tcBorders>
              <w:top w:val="single" w:sz="8" w:color="0000FF"/>
            </w:tcBorders>
            <w:gridSpan w:val="2"/>
          </w:tcPr>
          <w:p>
            <w:pPr>
              <w:spacing w:after="0"/>
              <w:rPr>
                <w:sz w:val="16"/>
                <w:szCs w:val="16"/>
                <w:color w:val="auto"/>
              </w:rPr>
            </w:pPr>
          </w:p>
        </w:tc>
        <w:tc>
          <w:tcPr>
            <w:tcW w:w="4040" w:type="dxa"/>
            <w:vAlign w:val="bottom"/>
            <w:gridSpan w:val="8"/>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gridSpan w:val="3"/>
          </w:tcPr>
          <w:p>
            <w:pPr>
              <w:jc w:val="right"/>
              <w:ind w:right="20"/>
              <w:spacing w:after="0" w:line="173" w:lineRule="exact"/>
              <w:rPr>
                <w:sz w:val="20"/>
                <w:szCs w:val="20"/>
                <w:color w:val="auto"/>
              </w:rPr>
            </w:pPr>
            <w:r>
              <w:rPr>
                <w:rFonts w:ascii="Times New Roman" w:cs="Times New Roman" w:eastAsia="Times New Roman" w:hAnsi="Times New Roman"/>
                <w:sz w:val="18"/>
                <w:szCs w:val="18"/>
                <w:color w:val="0000FF"/>
                <w:w w:val="88"/>
              </w:rPr>
              <w:t>54</w:t>
            </w:r>
          </w:p>
        </w:tc>
        <w:tc>
          <w:tcPr>
            <w:tcW w:w="0" w:type="dxa"/>
            <w:vAlign w:val="bottom"/>
          </w:tcPr>
          <w:p>
            <w:pPr>
              <w:spacing w:after="0"/>
              <w:rPr>
                <w:sz w:val="1"/>
                <w:szCs w:val="1"/>
                <w:color w:val="auto"/>
              </w:rPr>
            </w:pPr>
          </w:p>
        </w:tc>
      </w:tr>
      <w:tr>
        <w:trPr>
          <w:trHeight w:val="27"/>
        </w:trPr>
        <w:tc>
          <w:tcPr>
            <w:tcW w:w="680" w:type="dxa"/>
            <w:vAlign w:val="bottom"/>
            <w:gridSpan w:val="6"/>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gridSpan w:val="5"/>
            <w:shd w:val="clear" w:color="auto" w:fill="0000FF"/>
          </w:tcPr>
          <w:p>
            <w:pPr>
              <w:spacing w:after="0"/>
              <w:rPr>
                <w:sz w:val="2"/>
                <w:szCs w:val="2"/>
                <w:color w:val="auto"/>
              </w:rPr>
            </w:pPr>
          </w:p>
        </w:tc>
        <w:tc>
          <w:tcPr>
            <w:tcW w:w="7700" w:type="dxa"/>
            <w:vAlign w:val="bottom"/>
            <w:gridSpan w:val="23"/>
            <w:shd w:val="clear" w:color="auto" w:fill="0000FF"/>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680" w:type="dxa"/>
            <w:vAlign w:val="bottom"/>
            <w:gridSpan w:val="6"/>
          </w:tcPr>
          <w:p>
            <w:pPr>
              <w:spacing w:after="0" w:line="180" w:lineRule="exact"/>
              <w:rPr>
                <w:sz w:val="20"/>
                <w:szCs w:val="20"/>
                <w:color w:val="auto"/>
              </w:rPr>
            </w:pPr>
            <w:r>
              <w:rPr>
                <w:rFonts w:ascii="Times New Roman" w:cs="Times New Roman" w:eastAsia="Times New Roman" w:hAnsi="Times New Roman"/>
                <w:sz w:val="16"/>
                <w:szCs w:val="16"/>
                <w:color w:val="0000FF"/>
              </w:rPr>
              <w:t>Item 16.</w:t>
            </w:r>
          </w:p>
        </w:tc>
        <w:tc>
          <w:tcPr>
            <w:tcW w:w="380" w:type="dxa"/>
            <w:vAlign w:val="bottom"/>
          </w:tcPr>
          <w:p>
            <w:pPr>
              <w:spacing w:after="0"/>
              <w:rPr>
                <w:sz w:val="17"/>
                <w:szCs w:val="17"/>
                <w:color w:val="auto"/>
              </w:rPr>
            </w:pPr>
          </w:p>
        </w:tc>
        <w:tc>
          <w:tcPr>
            <w:tcW w:w="8680" w:type="dxa"/>
            <w:vAlign w:val="bottom"/>
            <w:gridSpan w:val="28"/>
          </w:tcPr>
          <w:p>
            <w:pPr>
              <w:spacing w:after="0" w:line="180" w:lineRule="exact"/>
              <w:rPr>
                <w:sz w:val="20"/>
                <w:szCs w:val="20"/>
                <w:color w:val="auto"/>
              </w:rPr>
            </w:pPr>
            <w:r>
              <w:rPr>
                <w:rFonts w:ascii="Times New Roman" w:cs="Times New Roman" w:eastAsia="Times New Roman" w:hAnsi="Times New Roman"/>
                <w:sz w:val="16"/>
                <w:szCs w:val="16"/>
                <w:color w:val="0000FF"/>
              </w:rPr>
              <w:t>10-K Summary</w:t>
            </w:r>
          </w:p>
        </w:tc>
        <w:tc>
          <w:tcPr>
            <w:tcW w:w="1240" w:type="dxa"/>
            <w:vAlign w:val="bottom"/>
          </w:tcPr>
          <w:p>
            <w:pPr>
              <w:spacing w:after="0"/>
              <w:rPr>
                <w:sz w:val="17"/>
                <w:szCs w:val="17"/>
                <w:color w:val="auto"/>
              </w:rPr>
            </w:pPr>
          </w:p>
        </w:tc>
        <w:tc>
          <w:tcPr>
            <w:tcW w:w="20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8"/>
                <w:szCs w:val="18"/>
                <w:color w:val="0000FF"/>
                <w:w w:val="88"/>
              </w:rPr>
              <w:t>56</w:t>
            </w:r>
          </w:p>
        </w:tc>
        <w:tc>
          <w:tcPr>
            <w:tcW w:w="0" w:type="dxa"/>
            <w:vAlign w:val="bottom"/>
          </w:tcPr>
          <w:p>
            <w:pPr>
              <w:spacing w:after="0"/>
              <w:rPr>
                <w:sz w:val="1"/>
                <w:szCs w:val="1"/>
                <w:color w:val="auto"/>
              </w:rPr>
            </w:pPr>
          </w:p>
        </w:tc>
      </w:tr>
      <w:tr>
        <w:trPr>
          <w:trHeight w:val="27"/>
        </w:trPr>
        <w:tc>
          <w:tcPr>
            <w:tcW w:w="680" w:type="dxa"/>
            <w:vAlign w:val="bottom"/>
            <w:gridSpan w:val="6"/>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6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7"/>
              </w:rPr>
              <w:t>Signatures</w:t>
            </w: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gridSpan w:val="3"/>
          </w:tcPr>
          <w:p>
            <w:pPr>
              <w:jc w:val="right"/>
              <w:ind w:right="20"/>
              <w:spacing w:after="0" w:line="200" w:lineRule="exact"/>
              <w:rPr>
                <w:sz w:val="20"/>
                <w:szCs w:val="20"/>
                <w:color w:val="auto"/>
              </w:rPr>
            </w:pPr>
            <w:r>
              <w:rPr>
                <w:rFonts w:ascii="Times New Roman" w:cs="Times New Roman" w:eastAsia="Times New Roman" w:hAnsi="Times New Roman"/>
                <w:sz w:val="18"/>
                <w:szCs w:val="18"/>
                <w:color w:val="0000FF"/>
                <w:w w:val="88"/>
              </w:rPr>
              <w:t>57</w:t>
            </w:r>
          </w:p>
        </w:tc>
        <w:tc>
          <w:tcPr>
            <w:tcW w:w="0" w:type="dxa"/>
            <w:vAlign w:val="bottom"/>
          </w:tcPr>
          <w:p>
            <w:pPr>
              <w:spacing w:after="0"/>
              <w:rPr>
                <w:sz w:val="1"/>
                <w:szCs w:val="1"/>
                <w:color w:val="auto"/>
              </w:rPr>
            </w:pPr>
          </w:p>
        </w:tc>
      </w:tr>
      <w:tr>
        <w:trPr>
          <w:trHeight w:val="27"/>
        </w:trPr>
        <w:tc>
          <w:tcPr>
            <w:tcW w:w="4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purposes of this Annual Report on Form 10-K (this “Form 10-K”), the terms “Verisign”, “the Company”, “we”, “us”, and “our” refer to VeriSign,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 its consolidated subsidiaries.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54" w:lineRule="exact"/>
        <w:rPr>
          <w:sz w:val="20"/>
          <w:szCs w:val="20"/>
          <w:color w:val="auto"/>
        </w:rPr>
      </w:pPr>
    </w:p>
    <w:p>
      <w:pPr>
        <w:ind w:right="80" w:firstLine="399"/>
        <w:spacing w:after="0" w:line="256" w:lineRule="auto"/>
        <w:rPr>
          <w:sz w:val="20"/>
          <w:szCs w:val="20"/>
          <w:color w:val="auto"/>
        </w:rPr>
      </w:pPr>
      <w:r>
        <w:rPr>
          <w:rFonts w:ascii="Times New Roman" w:cs="Times New Roman" w:eastAsia="Times New Roman" w:hAnsi="Times New Roman"/>
          <w:sz w:val="18"/>
          <w:szCs w:val="18"/>
          <w:color w:val="auto"/>
        </w:rPr>
        <w:t>We are a global provider of domain name registry services and internet infrastructure, enabling internet navigation for many of the world’s most recognized domain names. We enable the security, stability, and resiliency of key internet infrastructure and services, including providing Root Zone Maintainer services, operating two of the 13 global internet root servers, and providing registration services and authoritative resolution for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top-level domains (“TLDs”), which support the majority of global e-commerce.</w:t>
      </w:r>
    </w:p>
    <w:p>
      <w:pPr>
        <w:spacing w:after="0" w:line="75"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 xml:space="preserve">We were incorporated in Delaware on April 12, 1995. Our principal executive offices are located at 12061 Bluemont Way, Reston, Virginia 20190. Our telephone number at that address is (703) 948-3200. Our common stock is traded on the Nasdaq Global Select Market under the ticker symbol VRSN. VERISIGN, the VERISIGN logo, and certain other product or service names are registered or unregistered trademarks in the U.S. and other countries. Other names used in this Form 10-K may be trademarks of their respective owners. Our primary website is </w:t>
      </w:r>
      <w:r>
        <w:rPr>
          <w:rFonts w:ascii="Times New Roman" w:cs="Times New Roman" w:eastAsia="Times New Roman" w:hAnsi="Times New Roman"/>
          <w:sz w:val="18"/>
          <w:szCs w:val="18"/>
          <w:u w:val="single" w:color="auto"/>
          <w:color w:val="auto"/>
        </w:rPr>
        <w:t>https://www.verisign.com</w:t>
      </w:r>
      <w:r>
        <w:rPr>
          <w:rFonts w:ascii="Times New Roman" w:cs="Times New Roman" w:eastAsia="Times New Roman" w:hAnsi="Times New Roman"/>
          <w:sz w:val="18"/>
          <w:szCs w:val="18"/>
          <w:color w:val="auto"/>
        </w:rPr>
        <w:t>. The information available on, or accessible through, this website is not incorporated in this Form 10-K by reference.</w:t>
      </w:r>
    </w:p>
    <w:p>
      <w:pPr>
        <w:spacing w:after="0" w:line="76" w:lineRule="exact"/>
        <w:rPr>
          <w:sz w:val="20"/>
          <w:szCs w:val="20"/>
          <w:color w:val="auto"/>
        </w:rPr>
      </w:pPr>
    </w:p>
    <w:p>
      <w:pPr>
        <w:ind w:right="160" w:firstLine="439"/>
        <w:spacing w:after="0" w:line="254"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amendments to those reports filed or furnished pursuant to Section 13(a) or 15(d) of the Securities Exchange Act of 1934, as amended (the “Exchange Act”), are available, free of charge, on the Investor Relations section of our website as soon as is reasonably practicable after filing such reports with the Securities and Exchange Commission (the “SEC”). The SEC maintains an internet site that contains reports, proxy and information statements, and other information regarding issuers that file electronically with the SEC at </w:t>
      </w:r>
      <w:r>
        <w:rPr>
          <w:rFonts w:ascii="Times New Roman" w:cs="Times New Roman" w:eastAsia="Times New Roman" w:hAnsi="Times New Roman"/>
          <w:sz w:val="18"/>
          <w:szCs w:val="18"/>
          <w:u w:val="single" w:color="auto"/>
          <w:color w:val="auto"/>
        </w:rPr>
        <w:t>https://www.sec.gov</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ind w:right="60" w:firstLine="399"/>
        <w:spacing w:after="0" w:line="251" w:lineRule="auto"/>
        <w:rPr>
          <w:sz w:val="20"/>
          <w:szCs w:val="20"/>
          <w:color w:val="auto"/>
        </w:rPr>
      </w:pPr>
      <w:r>
        <w:rPr>
          <w:rFonts w:ascii="Times New Roman" w:cs="Times New Roman" w:eastAsia="Times New Roman" w:hAnsi="Times New Roman"/>
          <w:sz w:val="18"/>
          <w:szCs w:val="18"/>
          <w:color w:val="auto"/>
        </w:rPr>
        <w:t>Pursuant to our agreements with the Internet Corporation for Assigned Names and Numbers (“ICANN”), we make available files containing all active domain names registered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registries. Further, we also make available a summary of the active zone count registered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registries and the number of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 registrations in the domain name base. The zone counts and information on how to obtain access to the zone files can be found at </w:t>
      </w:r>
      <w:r>
        <w:rPr>
          <w:rFonts w:ascii="Times New Roman" w:cs="Times New Roman" w:eastAsia="Times New Roman" w:hAnsi="Times New Roman"/>
          <w:sz w:val="18"/>
          <w:szCs w:val="18"/>
          <w:u w:val="single" w:color="auto"/>
          <w:color w:val="auto"/>
        </w:rPr>
        <w:t>https://www.verisign.com/zone</w:t>
      </w:r>
      <w:r>
        <w:rPr>
          <w:rFonts w:ascii="Times New Roman" w:cs="Times New Roman" w:eastAsia="Times New Roman" w:hAnsi="Times New Roman"/>
          <w:sz w:val="18"/>
          <w:szCs w:val="18"/>
          <w:color w:val="auto"/>
        </w:rPr>
        <w:t>. The domain name base is the active zone plus the number of domain names that are registered but not configured for use in the respective top-level domain zone file plus the number of domain names that are in a client or server hold status. The domain name base may also reflect compensated or uncompensated judicial or administrative actions to add or remove from the active zone an immaterial number of domain names. These files and the related summary data are updated at least once per day. The update times may vary each day. The number of domain names provided in this Form 10-K are as of midnight of the date reported.</w:t>
      </w:r>
    </w:p>
    <w:p>
      <w:pPr>
        <w:spacing w:after="0" w:line="79" w:lineRule="exact"/>
        <w:rPr>
          <w:sz w:val="20"/>
          <w:szCs w:val="20"/>
          <w:color w:val="auto"/>
        </w:rPr>
      </w:pPr>
    </w:p>
    <w:p>
      <w:pPr>
        <w:ind w:right="60" w:firstLine="399"/>
        <w:spacing w:after="0" w:line="254" w:lineRule="auto"/>
        <w:rPr>
          <w:sz w:val="20"/>
          <w:szCs w:val="20"/>
          <w:color w:val="auto"/>
        </w:rPr>
      </w:pPr>
      <w:r>
        <w:rPr>
          <w:rFonts w:ascii="Times New Roman" w:cs="Times New Roman" w:eastAsia="Times New Roman" w:hAnsi="Times New Roman"/>
          <w:sz w:val="18"/>
          <w:szCs w:val="18"/>
          <w:color w:val="auto"/>
        </w:rPr>
        <w:t xml:space="preserve">We announce material financial information to our investors using our investor relations website </w:t>
      </w:r>
      <w:r>
        <w:rPr>
          <w:rFonts w:ascii="Times New Roman" w:cs="Times New Roman" w:eastAsia="Times New Roman" w:hAnsi="Times New Roman"/>
          <w:sz w:val="18"/>
          <w:szCs w:val="18"/>
          <w:u w:val="single" w:color="auto"/>
          <w:color w:val="auto"/>
        </w:rPr>
        <w:t>https://investor.verisign.com</w:t>
      </w:r>
      <w:r>
        <w:rPr>
          <w:rFonts w:ascii="Times New Roman" w:cs="Times New Roman" w:eastAsia="Times New Roman" w:hAnsi="Times New Roman"/>
          <w:sz w:val="18"/>
          <w:szCs w:val="18"/>
          <w:color w:val="auto"/>
        </w:rPr>
        <w:t>, SEC filings, investor events, news and earnings releases, public conference calls and webcasts. We use these channels as well as social media to communicate with our investors and the public about our company, our products and services, and other issues. It is possible that the information we post on social media could be deemed to be material information. Therefore, we encourage investors, the media, and others interested in our company to review the information we post on the social media channels and websites listed below. This list may be updated from time to time on our investor relations website.</w:t>
      </w:r>
    </w:p>
    <w:p>
      <w:pPr>
        <w:spacing w:after="0" w:line="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https://facebook.com/Verisign</w:t>
      </w:r>
    </w:p>
    <w:p>
      <w:pPr>
        <w:spacing w:after="0" w:line="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https://twitter.com/Verisign</w:t>
      </w:r>
    </w:p>
    <w:p>
      <w:pPr>
        <w:spacing w:after="0" w:line="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https://linkedIn.com/company/Verisign</w:t>
      </w:r>
    </w:p>
    <w:p>
      <w:pPr>
        <w:spacing w:after="0" w:line="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https://youTube.com/user/Verisign</w:t>
      </w:r>
    </w:p>
    <w:p>
      <w:pPr>
        <w:spacing w:after="0" w:line="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https://verisign.com</w:t>
      </w:r>
    </w:p>
    <w:p>
      <w:pPr>
        <w:spacing w:after="0" w:line="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https://blog.Verisign.com</w:t>
      </w:r>
    </w:p>
    <w:p>
      <w:pPr>
        <w:spacing w:after="0" w:line="93" w:lineRule="exact"/>
        <w:rPr>
          <w:sz w:val="20"/>
          <w:szCs w:val="20"/>
          <w:color w:val="auto"/>
        </w:rPr>
      </w:pPr>
    </w:p>
    <w:p>
      <w:pPr>
        <w:ind w:right="680" w:firstLine="399"/>
        <w:spacing w:after="0" w:line="369" w:lineRule="auto"/>
        <w:rPr>
          <w:sz w:val="20"/>
          <w:szCs w:val="20"/>
          <w:color w:val="auto"/>
        </w:rPr>
      </w:pPr>
      <w:r>
        <w:rPr>
          <w:rFonts w:ascii="Times New Roman" w:cs="Times New Roman" w:eastAsia="Times New Roman" w:hAnsi="Times New Roman"/>
          <w:sz w:val="18"/>
          <w:szCs w:val="18"/>
          <w:color w:val="auto"/>
        </w:rPr>
        <w:t xml:space="preserve">The contents of these websites are not intended to be incorporated by reference into this Form 10-K or in any other report or document we file. </w:t>
      </w:r>
      <w:r>
        <w:rPr>
          <w:rFonts w:ascii="Times New Roman" w:cs="Times New Roman" w:eastAsia="Times New Roman" w:hAnsi="Times New Roman"/>
          <w:sz w:val="18"/>
          <w:szCs w:val="18"/>
          <w:b w:val="1"/>
          <w:bCs w:val="1"/>
          <w:color w:val="auto"/>
        </w:rPr>
        <w:t>Services</w:t>
      </w:r>
    </w:p>
    <w:p>
      <w:pPr>
        <w:ind w:right="180" w:firstLine="439"/>
        <w:spacing w:after="0" w:line="262" w:lineRule="auto"/>
        <w:rPr>
          <w:sz w:val="20"/>
          <w:szCs w:val="20"/>
          <w:color w:val="auto"/>
        </w:rPr>
      </w:pPr>
      <w:r>
        <w:rPr>
          <w:rFonts w:ascii="Times New Roman" w:cs="Times New Roman" w:eastAsia="Times New Roman" w:hAnsi="Times New Roman"/>
          <w:sz w:val="18"/>
          <w:szCs w:val="18"/>
          <w:color w:val="auto"/>
        </w:rPr>
        <w:t xml:space="preserve">We operate the authoritative directory of and/or the back-end systems for all </w:t>
      </w:r>
      <w:r>
        <w:rPr>
          <w:rFonts w:ascii="Times New Roman" w:cs="Times New Roman" w:eastAsia="Times New Roman" w:hAnsi="Times New Roman"/>
          <w:sz w:val="18"/>
          <w:szCs w:val="18"/>
          <w:i w:val="1"/>
          <w:iCs w:val="1"/>
          <w:color w:val="auto"/>
        </w:rPr>
        <w:t>.com, .net, .cc, .gov, .edu</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xml:space="preserve"> domain names, among others. Our services allow individuals and organizations to establish their online identities, while providing the secure, always-on access they need to communicate and transact reliably with online audiences.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60" w:firstLine="439"/>
        <w:spacing w:after="0" w:line="251" w:lineRule="auto"/>
        <w:rPr>
          <w:sz w:val="20"/>
          <w:szCs w:val="20"/>
          <w:color w:val="auto"/>
        </w:rPr>
      </w:pPr>
      <w:r>
        <w:rPr>
          <w:rFonts w:ascii="Times New Roman" w:cs="Times New Roman" w:eastAsia="Times New Roman" w:hAnsi="Times New Roman"/>
          <w:sz w:val="18"/>
          <w:szCs w:val="18"/>
          <w:color w:val="auto"/>
        </w:rPr>
        <w:t xml:space="preserve">We are the exclusive registry of domain names within the </w:t>
      </w:r>
      <w:r>
        <w:rPr>
          <w:rFonts w:ascii="Times New Roman" w:cs="Times New Roman" w:eastAsia="Times New Roman" w:hAnsi="Times New Roman"/>
          <w:sz w:val="18"/>
          <w:szCs w:val="18"/>
          <w:i w:val="1"/>
          <w:iCs w:val="1"/>
          <w:color w:val="auto"/>
        </w:rPr>
        <w:t>.com, .net,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xml:space="preserve"> generic top-level domains (“gTLDs”), among others, under agreements with ICANN and also, with respect to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gTLD, the U.S. Department of Commerce (“DOC”). We are also the exclusive registry of domain names within certain transliterations of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in a number of different native languages and scripts (“IDN gTLDs”). As a registry, we maintain the authoritative directory of all second-level domain names (e.g., example.com and example.net) in these gTLDs and IDN gTLDs. Our global constellation of DNS servers provides internet protocol (“IP”) address information in response to queries, enabling the use of browsers, email systems, and other systems on the internet. In addition, we own and maintain our shared registration system that allows registrars to enter new second-level domain names into Verisign-operated central directories and to submit modifications, transfers, re-registrations, and deletions for existing second-level domain names (“Shared Registration System”).</w:t>
      </w:r>
    </w:p>
    <w:p>
      <w:pPr>
        <w:spacing w:after="0" w:line="121" w:lineRule="exact"/>
        <w:rPr>
          <w:sz w:val="20"/>
          <w:szCs w:val="20"/>
          <w:color w:val="auto"/>
        </w:rPr>
      </w:pPr>
    </w:p>
    <w:p>
      <w:pPr>
        <w:ind w:firstLine="439"/>
        <w:spacing w:after="0" w:line="254" w:lineRule="auto"/>
        <w:rPr>
          <w:sz w:val="20"/>
          <w:szCs w:val="20"/>
          <w:color w:val="auto"/>
        </w:rPr>
      </w:pPr>
      <w:r>
        <w:rPr>
          <w:rFonts w:ascii="Times New Roman" w:cs="Times New Roman" w:eastAsia="Times New Roman" w:hAnsi="Times New Roman"/>
          <w:sz w:val="18"/>
          <w:szCs w:val="18"/>
          <w:color w:val="auto"/>
        </w:rPr>
        <w:t xml:space="preserve">In addition to our registry agreements with ICANN, we have an agreement with Cocos (Keeling) Islands to operate the country code top-level domain (“ccTLD”) registry for </w:t>
      </w:r>
      <w:r>
        <w:rPr>
          <w:rFonts w:ascii="Times New Roman" w:cs="Times New Roman" w:eastAsia="Times New Roman" w:hAnsi="Times New Roman"/>
          <w:sz w:val="18"/>
          <w:szCs w:val="18"/>
          <w:i w:val="1"/>
          <w:iCs w:val="1"/>
          <w:color w:val="auto"/>
        </w:rPr>
        <w:t>.cc</w:t>
      </w:r>
      <w:r>
        <w:rPr>
          <w:rFonts w:ascii="Times New Roman" w:cs="Times New Roman" w:eastAsia="Times New Roman" w:hAnsi="Times New Roman"/>
          <w:sz w:val="18"/>
          <w:szCs w:val="18"/>
          <w:color w:val="auto"/>
        </w:rPr>
        <w:t xml:space="preserve">, and other agreements to operate the technical systems for the </w:t>
      </w:r>
      <w:r>
        <w:rPr>
          <w:rFonts w:ascii="Times New Roman" w:cs="Times New Roman" w:eastAsia="Times New Roman" w:hAnsi="Times New Roman"/>
          <w:sz w:val="18"/>
          <w:szCs w:val="18"/>
          <w:i w:val="1"/>
          <w:iCs w:val="1"/>
          <w:color w:val="auto"/>
        </w:rPr>
        <w:t>.gov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.edu</w:t>
      </w:r>
      <w:r>
        <w:rPr>
          <w:rFonts w:ascii="Times New Roman" w:cs="Times New Roman" w:eastAsia="Times New Roman" w:hAnsi="Times New Roman"/>
          <w:sz w:val="18"/>
          <w:szCs w:val="18"/>
          <w:color w:val="auto"/>
        </w:rPr>
        <w:t xml:space="preserve"> sponsored gTLDs. These gTLDs and ccTLDs are also supported by our global constellation of DNS servers and Shared Registration System. On November 15, 2022, we transitioned the operation of the </w:t>
      </w:r>
      <w:r>
        <w:rPr>
          <w:rFonts w:ascii="Times New Roman" w:cs="Times New Roman" w:eastAsia="Times New Roman" w:hAnsi="Times New Roman"/>
          <w:sz w:val="18"/>
          <w:szCs w:val="18"/>
          <w:i w:val="1"/>
          <w:iCs w:val="1"/>
          <w:color w:val="auto"/>
        </w:rPr>
        <w:t>.tv</w:t>
      </w:r>
      <w:r>
        <w:rPr>
          <w:rFonts w:ascii="Times New Roman" w:cs="Times New Roman" w:eastAsia="Times New Roman" w:hAnsi="Times New Roman"/>
          <w:sz w:val="18"/>
          <w:szCs w:val="18"/>
          <w:color w:val="auto"/>
        </w:rPr>
        <w:t xml:space="preserve"> ccTLD to another service provider. We also anticipate transitioning the operation of the </w:t>
      </w:r>
      <w:r>
        <w:rPr>
          <w:rFonts w:ascii="Times New Roman" w:cs="Times New Roman" w:eastAsia="Times New Roman" w:hAnsi="Times New Roman"/>
          <w:sz w:val="18"/>
          <w:szCs w:val="18"/>
          <w:i w:val="1"/>
          <w:iCs w:val="1"/>
          <w:color w:val="auto"/>
        </w:rPr>
        <w:t>.gov</w:t>
      </w:r>
      <w:r>
        <w:rPr>
          <w:rFonts w:ascii="Times New Roman" w:cs="Times New Roman" w:eastAsia="Times New Roman" w:hAnsi="Times New Roman"/>
          <w:sz w:val="18"/>
          <w:szCs w:val="18"/>
          <w:color w:val="auto"/>
        </w:rPr>
        <w:t xml:space="preserve"> registry to another operator during 2023, but will continue to operate it until such transition.</w:t>
      </w:r>
    </w:p>
    <w:p>
      <w:pPr>
        <w:spacing w:after="0" w:line="76" w:lineRule="exact"/>
        <w:rPr>
          <w:sz w:val="20"/>
          <w:szCs w:val="20"/>
          <w:color w:val="auto"/>
        </w:rPr>
      </w:pPr>
    </w:p>
    <w:p>
      <w:pPr>
        <w:ind w:right="120" w:firstLine="399"/>
        <w:spacing w:after="0" w:line="276" w:lineRule="auto"/>
        <w:rPr>
          <w:sz w:val="20"/>
          <w:szCs w:val="20"/>
          <w:color w:val="auto"/>
        </w:rPr>
      </w:pPr>
      <w:r>
        <w:rPr>
          <w:rFonts w:ascii="Times New Roman" w:cs="Times New Roman" w:eastAsia="Times New Roman" w:hAnsi="Times New Roman"/>
          <w:sz w:val="18"/>
          <w:szCs w:val="18"/>
          <w:color w:val="auto"/>
        </w:rPr>
        <w:t>We also perform the Root Zone Maintainer function under an agreement with ICANN for the core of the internet’s DNS and operate two of the 13 root zone servers that contain authoritative data for the top of the DNS hierarchy.</w:t>
      </w:r>
    </w:p>
    <w:p>
      <w:pPr>
        <w:spacing w:after="0" w:line="41" w:lineRule="exact"/>
        <w:rPr>
          <w:sz w:val="20"/>
          <w:szCs w:val="20"/>
          <w:color w:val="auto"/>
        </w:rPr>
      </w:pPr>
    </w:p>
    <w:p>
      <w:pPr>
        <w:ind w:right="180" w:firstLine="399"/>
        <w:spacing w:after="0" w:line="239" w:lineRule="auto"/>
        <w:rPr>
          <w:sz w:val="20"/>
          <w:szCs w:val="20"/>
          <w:color w:val="auto"/>
        </w:rPr>
      </w:pPr>
      <w:r>
        <w:rPr>
          <w:rFonts w:ascii="Times New Roman" w:cs="Times New Roman" w:eastAsia="Times New Roman" w:hAnsi="Times New Roman"/>
          <w:sz w:val="18"/>
          <w:szCs w:val="18"/>
          <w:color w:val="auto"/>
        </w:rPr>
        <w:t xml:space="preserve">Domain names can be registered for between one and 10 years. Unlike other gTLDs, the prices we charge for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xml:space="preserve"> domain name registrations are controlled by pricing provisions in our agreements with ICANN and our prices may be increased only according to those provisions. Retail pricing for these domain name registrations is established by registrars. For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xml:space="preserve"> domain name registrations, we pay ICANN on a quarterly basis $0.25 for each annual domain name registration. For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 registrations, we remit to ICANN a $0.75 fee per annual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 registration that is collected from registrars.</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Revenues for </w:t>
      </w:r>
      <w:r>
        <w:rPr>
          <w:rFonts w:ascii="Times New Roman" w:cs="Times New Roman" w:eastAsia="Times New Roman" w:hAnsi="Times New Roman"/>
          <w:sz w:val="18"/>
          <w:szCs w:val="18"/>
          <w:i w:val="1"/>
          <w:iCs w:val="1"/>
          <w:color w:val="auto"/>
        </w:rPr>
        <w:t>.cc</w:t>
      </w:r>
      <w:r>
        <w:rPr>
          <w:rFonts w:ascii="Times New Roman" w:cs="Times New Roman" w:eastAsia="Times New Roman" w:hAnsi="Times New Roman"/>
          <w:sz w:val="18"/>
          <w:szCs w:val="18"/>
          <w:color w:val="auto"/>
        </w:rPr>
        <w:t xml:space="preserve"> domain names and our IDN gTLDs are based on prices that are not subject to the same pricing restrictions as those for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and</w:t>
      </w:r>
    </w:p>
    <w:p>
      <w:pPr>
        <w:spacing w:after="0" w:line="1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name</w:t>
      </w:r>
      <w:r>
        <w:rPr>
          <w:rFonts w:ascii="Times New Roman" w:cs="Times New Roman" w:eastAsia="Times New Roman" w:hAnsi="Times New Roman"/>
          <w:sz w:val="17"/>
          <w:szCs w:val="17"/>
          <w:color w:val="auto"/>
        </w:rPr>
        <w:t>. The fees received from operating the .</w:t>
      </w:r>
      <w:r>
        <w:rPr>
          <w:rFonts w:ascii="Times New Roman" w:cs="Times New Roman" w:eastAsia="Times New Roman" w:hAnsi="Times New Roman"/>
          <w:sz w:val="17"/>
          <w:szCs w:val="17"/>
          <w:i w:val="1"/>
          <w:iCs w:val="1"/>
          <w:color w:val="auto"/>
        </w:rPr>
        <w:t>gov g</w:t>
      </w:r>
      <w:r>
        <w:rPr>
          <w:rFonts w:ascii="Times New Roman" w:cs="Times New Roman" w:eastAsia="Times New Roman" w:hAnsi="Times New Roman"/>
          <w:sz w:val="17"/>
          <w:szCs w:val="17"/>
          <w:color w:val="auto"/>
        </w:rPr>
        <w:t>TLD are based on the terms of our agreement with the U.S. government. The fees from our performance of the technical operations for back-end registry services for other gTLDs are based on the terms of our agreements with those respective registry operators</w:t>
      </w:r>
      <w:r>
        <w:rPr>
          <w:rFonts w:ascii="Times New Roman" w:cs="Times New Roman" w:eastAsia="Times New Roman" w:hAnsi="Times New Roman"/>
          <w:sz w:val="17"/>
          <w:szCs w:val="17"/>
          <w:i w:val="1"/>
          <w:iCs w:val="1"/>
          <w:color w:val="auto"/>
        </w:rPr>
        <w: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Infrastructure</w:t>
      </w:r>
    </w:p>
    <w:p>
      <w:pPr>
        <w:spacing w:after="0" w:line="248" w:lineRule="exact"/>
        <w:rPr>
          <w:sz w:val="20"/>
          <w:szCs w:val="20"/>
          <w:color w:val="auto"/>
        </w:rPr>
      </w:pPr>
    </w:p>
    <w:p>
      <w:pPr>
        <w:ind w:right="20" w:firstLine="399"/>
        <w:spacing w:after="0" w:line="260" w:lineRule="auto"/>
        <w:rPr>
          <w:sz w:val="20"/>
          <w:szCs w:val="20"/>
          <w:color w:val="auto"/>
        </w:rPr>
      </w:pPr>
      <w:r>
        <w:rPr>
          <w:rFonts w:ascii="Times New Roman" w:cs="Times New Roman" w:eastAsia="Times New Roman" w:hAnsi="Times New Roman"/>
          <w:sz w:val="17"/>
          <w:szCs w:val="17"/>
          <w:color w:val="auto"/>
        </w:rPr>
        <w:t xml:space="preserve">Our main operations infrastructure consists of secure data centers in Dulles, Virginia; Ashburn, Virginia; and New Castle, Delaware; as well as more than 200 other points of presence around the world. Our domain name servers refer requestors to the associated authoritative name servers for second level domains under the gTLDs and ccTLDs we operate, thus enabling DNS resolution for </w:t>
      </w:r>
      <w:r>
        <w:rPr>
          <w:rFonts w:ascii="Times New Roman" w:cs="Times New Roman" w:eastAsia="Times New Roman" w:hAnsi="Times New Roman"/>
          <w:sz w:val="17"/>
          <w:szCs w:val="17"/>
          <w:i w:val="1"/>
          <w:iCs w:val="1"/>
          <w:color w:val="auto"/>
        </w:rPr>
        <w:t>.com</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.net</w:t>
      </w:r>
      <w:r>
        <w:rPr>
          <w:rFonts w:ascii="Times New Roman" w:cs="Times New Roman" w:eastAsia="Times New Roman" w:hAnsi="Times New Roman"/>
          <w:sz w:val="17"/>
          <w:szCs w:val="17"/>
          <w:color w:val="auto"/>
        </w:rPr>
        <w:t xml:space="preserve"> domain names and for domain names in a number of other gTLDs and ccTLDs that we manage, or for which we provide back-end registry services. Our servers process hundreds of billions of transactions daily. Our operations infrastructure operates continuously, supporting the security, integrity and availability of our services, which are critical for our business and internet users. The performance and availability of our infrastructure are critical for our business. Key features of our operations infrastructure include:</w:t>
      </w:r>
    </w:p>
    <w:p>
      <w:pPr>
        <w:spacing w:after="0" w:line="98" w:lineRule="exact"/>
        <w:rPr>
          <w:sz w:val="20"/>
          <w:szCs w:val="20"/>
          <w:color w:val="auto"/>
        </w:rPr>
      </w:pPr>
    </w:p>
    <w:p>
      <w:pPr>
        <w:ind w:left="640" w:right="40" w:hanging="194"/>
        <w:spacing w:after="0" w:line="262"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Distributed Servers: </w:t>
      </w:r>
      <w:r>
        <w:rPr>
          <w:rFonts w:ascii="Times New Roman" w:cs="Times New Roman" w:eastAsia="Times New Roman" w:hAnsi="Times New Roman"/>
          <w:sz w:val="18"/>
          <w:szCs w:val="18"/>
          <w:color w:val="auto"/>
        </w:rPr>
        <w:t>We operate a large number of high-speed servers globally to support localized transaction volume and performance demands.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conjunction with our proprietary software, processes and procedures, this purpose-built global constellation of servers offers rapid failover, global and local load balancing, and threshold monitoring on critical servers.</w:t>
      </w:r>
    </w:p>
    <w:p>
      <w:pPr>
        <w:spacing w:after="0" w:line="107" w:lineRule="exact"/>
        <w:rPr>
          <w:rFonts w:ascii="Times New Roman" w:cs="Times New Roman" w:eastAsia="Times New Roman" w:hAnsi="Times New Roman"/>
          <w:sz w:val="18"/>
          <w:szCs w:val="18"/>
          <w:color w:val="auto"/>
        </w:rPr>
      </w:pPr>
    </w:p>
    <w:p>
      <w:pPr>
        <w:ind w:left="640" w:right="80" w:hanging="194"/>
        <w:spacing w:after="0" w:line="308"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Networking: </w:t>
      </w:r>
      <w:r>
        <w:rPr>
          <w:rFonts w:ascii="Times New Roman" w:cs="Times New Roman" w:eastAsia="Times New Roman" w:hAnsi="Times New Roman"/>
          <w:sz w:val="17"/>
          <w:szCs w:val="17"/>
          <w:color w:val="auto"/>
        </w:rPr>
        <w:t>We deploy and maintain a redundant and diverse global network, maintain high-speed, redundant connections to numerous internet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 providers, and maintain network interconnection relationships globally to ensure that our critical services are readily accessible to end users.</w:t>
      </w:r>
    </w:p>
    <w:p>
      <w:pPr>
        <w:spacing w:after="0" w:line="57" w:lineRule="exact"/>
        <w:rPr>
          <w:rFonts w:ascii="Times New Roman" w:cs="Times New Roman" w:eastAsia="Times New Roman" w:hAnsi="Times New Roman"/>
          <w:sz w:val="17"/>
          <w:szCs w:val="17"/>
          <w:color w:val="auto"/>
        </w:rPr>
      </w:pPr>
    </w:p>
    <w:p>
      <w:pPr>
        <w:ind w:left="640" w:right="60" w:hanging="194"/>
        <w:spacing w:after="0" w:line="23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and Availability: </w:t>
      </w:r>
      <w:r>
        <w:rPr>
          <w:rFonts w:ascii="Times New Roman" w:cs="Times New Roman" w:eastAsia="Times New Roman" w:hAnsi="Times New Roman"/>
          <w:sz w:val="18"/>
          <w:szCs w:val="18"/>
          <w:color w:val="auto"/>
        </w:rPr>
        <w:t>We incorporate architectural concepts such as protected domains, restricted nodes, and distributed access control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 architecture. In addition, we employ firewalls and intrusion detection software, endpoint and network detection and response systems as well as proprietary security mechanisms at many points across our infrastructure. We perform continuous internal vulnerability testing and periodic controls audits, and also contract with third-party security organizations to perform periodic penetration tests and security risk assessments on our systems. We have engineered resiliency and diversity into how we host classes of products throughout our set of interconnected sites to reduce the risk of unknown vendor defects and zero-day security vulnerabilities.</w:t>
      </w:r>
    </w:p>
    <w:p>
      <w:pPr>
        <w:spacing w:after="0" w:line="206" w:lineRule="exact"/>
        <w:rPr>
          <w:rFonts w:ascii="Times New Roman" w:cs="Times New Roman" w:eastAsia="Times New Roman" w:hAnsi="Times New Roman"/>
          <w:sz w:val="18"/>
          <w:szCs w:val="18"/>
          <w:color w:val="auto"/>
        </w:rPr>
      </w:pPr>
    </w:p>
    <w:p>
      <w:pPr>
        <w:ind w:left="640" w:right="320" w:hanging="194"/>
        <w:spacing w:after="0" w:line="237" w:lineRule="auto"/>
        <w:tabs>
          <w:tab w:leader="none" w:pos="633" w:val="left"/>
        </w:tabs>
        <w:numPr>
          <w:ilvl w:val="0"/>
          <w:numId w:val="3"/>
        </w:numPr>
        <w:rPr>
          <w:rFonts w:ascii="Calibri" w:cs="Calibri" w:eastAsia="Calibri" w:hAnsi="Calibri"/>
          <w:sz w:val="20"/>
          <w:szCs w:val="20"/>
          <w:color w:val="auto"/>
        </w:rPr>
      </w:pPr>
      <w:r>
        <w:rPr>
          <w:rFonts w:ascii="Times New Roman" w:cs="Times New Roman" w:eastAsia="Times New Roman" w:hAnsi="Times New Roman"/>
          <w:sz w:val="18"/>
          <w:szCs w:val="18"/>
          <w:i w:val="1"/>
          <w:iCs w:val="1"/>
          <w:color w:val="auto"/>
        </w:rPr>
        <w:t xml:space="preserve">Data Integrity: </w:t>
      </w:r>
      <w:r>
        <w:rPr>
          <w:rFonts w:ascii="Times New Roman" w:cs="Times New Roman" w:eastAsia="Times New Roman" w:hAnsi="Times New Roman"/>
          <w:sz w:val="18"/>
          <w:szCs w:val="18"/>
          <w:color w:val="auto"/>
        </w:rPr>
        <w:t>We use several proprietary systemic integrity checks and validations to ensure data correctness when updating and publishing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DNS records for the gTLDs and ccTLDs we operate.</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40" w:firstLine="439"/>
        <w:spacing w:after="0" w:line="276" w:lineRule="auto"/>
        <w:rPr>
          <w:sz w:val="20"/>
          <w:szCs w:val="20"/>
          <w:color w:val="auto"/>
        </w:rPr>
      </w:pPr>
      <w:r>
        <w:rPr>
          <w:rFonts w:ascii="Times New Roman" w:cs="Times New Roman" w:eastAsia="Times New Roman" w:hAnsi="Times New Roman"/>
          <w:sz w:val="18"/>
          <w:szCs w:val="18"/>
          <w:color w:val="auto"/>
        </w:rPr>
        <w:t>We continuously enhance our infrastructure and capabilities to meet demands to support normal and peak system load and attack volumes based on what we have experienced historically, as well as to address projected internet attack trends.</w:t>
      </w:r>
    </w:p>
    <w:p>
      <w:pPr>
        <w:spacing w:after="0" w:line="94" w:lineRule="exact"/>
        <w:rPr>
          <w:sz w:val="20"/>
          <w:szCs w:val="20"/>
          <w:color w:val="auto"/>
        </w:rPr>
      </w:pPr>
    </w:p>
    <w:p>
      <w:pPr>
        <w:ind w:right="40" w:firstLine="439"/>
        <w:spacing w:after="0" w:line="278" w:lineRule="auto"/>
        <w:rPr>
          <w:sz w:val="20"/>
          <w:szCs w:val="20"/>
          <w:color w:val="auto"/>
        </w:rPr>
      </w:pPr>
      <w:r>
        <w:rPr>
          <w:rFonts w:ascii="Times New Roman" w:cs="Times New Roman" w:eastAsia="Times New Roman" w:hAnsi="Times New Roman"/>
          <w:sz w:val="18"/>
          <w:szCs w:val="18"/>
          <w:i w:val="1"/>
          <w:iCs w:val="1"/>
          <w:color w:val="auto"/>
        </w:rPr>
        <w:t xml:space="preserve">Call Centers and Service Desk: </w:t>
      </w:r>
      <w:r>
        <w:rPr>
          <w:rFonts w:ascii="Times New Roman" w:cs="Times New Roman" w:eastAsia="Times New Roman" w:hAnsi="Times New Roman"/>
          <w:sz w:val="18"/>
          <w:szCs w:val="18"/>
          <w:color w:val="auto"/>
        </w:rPr>
        <w:t>We provide customer support services over the phone, by email and through web-based self-help systems. Our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teams are staffed with trained technical customer support agents. Support is available for customers 24 hours a day.</w:t>
      </w:r>
    </w:p>
    <w:p>
      <w:pPr>
        <w:spacing w:after="0" w:line="93" w:lineRule="exact"/>
        <w:rPr>
          <w:sz w:val="20"/>
          <w:szCs w:val="20"/>
          <w:color w:val="auto"/>
        </w:rPr>
      </w:pPr>
    </w:p>
    <w:p>
      <w:pPr>
        <w:ind w:right="200" w:firstLine="439"/>
        <w:spacing w:after="0" w:line="278" w:lineRule="auto"/>
        <w:rPr>
          <w:sz w:val="20"/>
          <w:szCs w:val="20"/>
          <w:color w:val="auto"/>
        </w:rPr>
      </w:pPr>
      <w:r>
        <w:rPr>
          <w:rFonts w:ascii="Times New Roman" w:cs="Times New Roman" w:eastAsia="Times New Roman" w:hAnsi="Times New Roman"/>
          <w:sz w:val="18"/>
          <w:szCs w:val="18"/>
          <w:i w:val="1"/>
          <w:iCs w:val="1"/>
          <w:color w:val="auto"/>
        </w:rPr>
        <w:t xml:space="preserve">Operations Support and Monitoring: </w:t>
      </w:r>
      <w:r>
        <w:rPr>
          <w:rFonts w:ascii="Times New Roman" w:cs="Times New Roman" w:eastAsia="Times New Roman" w:hAnsi="Times New Roman"/>
          <w:sz w:val="18"/>
          <w:szCs w:val="18"/>
          <w:color w:val="auto"/>
        </w:rPr>
        <w:t>Through our network operations center, we have an extensive monitoring capability that enables us to track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status and performance of our critical systems, network and services. Our network operations center monitors our systems continuously.</w:t>
      </w:r>
    </w:p>
    <w:p>
      <w:pPr>
        <w:spacing w:after="0" w:line="106" w:lineRule="exact"/>
        <w:rPr>
          <w:sz w:val="20"/>
          <w:szCs w:val="20"/>
          <w:color w:val="auto"/>
        </w:rPr>
      </w:pPr>
    </w:p>
    <w:p>
      <w:pPr>
        <w:ind w:right="80" w:firstLine="439"/>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Disaster Recovery Plans: </w:t>
      </w:r>
      <w:r>
        <w:rPr>
          <w:rFonts w:ascii="Times New Roman" w:cs="Times New Roman" w:eastAsia="Times New Roman" w:hAnsi="Times New Roman"/>
          <w:sz w:val="18"/>
          <w:szCs w:val="18"/>
          <w:color w:val="auto"/>
        </w:rPr>
        <w:t>We have disaster recovery and business continuity capabilities that are designed to deal with the loss of entire data centers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facilities. We maintain data centers with mirrored services that allow failover with no data loss and no loss of function or capacity. Our critical data services (including domain name registration and global resolution) use advanced storage systems that provide data protection through techniques such as synchronous mirroring and remote replication. We periodically operate services at alternate data centers during maintenance windows to ensure the availability of our data centers for disaster recovery.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Sales and Distribution</w:t>
      </w:r>
    </w:p>
    <w:p>
      <w:pPr>
        <w:spacing w:after="0" w:line="112" w:lineRule="exact"/>
        <w:rPr>
          <w:sz w:val="20"/>
          <w:szCs w:val="20"/>
          <w:color w:val="auto"/>
        </w:rPr>
      </w:pPr>
    </w:p>
    <w:p>
      <w:pPr>
        <w:ind w:right="260" w:firstLine="439"/>
        <w:spacing w:after="0" w:line="262" w:lineRule="auto"/>
        <w:rPr>
          <w:sz w:val="20"/>
          <w:szCs w:val="20"/>
          <w:color w:val="auto"/>
        </w:rPr>
      </w:pPr>
      <w:r>
        <w:rPr>
          <w:rFonts w:ascii="Times New Roman" w:cs="Times New Roman" w:eastAsia="Times New Roman" w:hAnsi="Times New Roman"/>
          <w:sz w:val="18"/>
          <w:szCs w:val="18"/>
          <w:color w:val="auto"/>
        </w:rPr>
        <w:t xml:space="preserve">We seek to expand our business through focused marketing campaigns and programs that target growth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 base, both domestically and internationally. We provide tools to be used by both registrars and end users to enable them to find relevant domain names. We have marketing and sales offices in several countries around the world.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14" w:lineRule="exact"/>
        <w:rPr>
          <w:sz w:val="20"/>
          <w:szCs w:val="20"/>
          <w:color w:val="auto"/>
        </w:rPr>
      </w:pPr>
    </w:p>
    <w:p>
      <w:pPr>
        <w:ind w:right="140" w:firstLine="399"/>
        <w:spacing w:after="0" w:line="261" w:lineRule="auto"/>
        <w:rPr>
          <w:sz w:val="20"/>
          <w:szCs w:val="20"/>
          <w:color w:val="auto"/>
        </w:rPr>
      </w:pPr>
      <w:r>
        <w:rPr>
          <w:rFonts w:ascii="Times New Roman" w:cs="Times New Roman" w:eastAsia="Times New Roman" w:hAnsi="Times New Roman"/>
          <w:sz w:val="18"/>
          <w:szCs w:val="18"/>
          <w:color w:val="auto"/>
        </w:rPr>
        <w:t>We believe that timely development of new and enhanced services, including monitoring and visualization, registry provisioning platforms, navigation and resolution services, data services, value added services, and new and enhanced ways to ensure the security, stability, and resiliency of our services, is necessary to remain competitive in the marketplace.</w:t>
      </w:r>
    </w:p>
    <w:p>
      <w:pPr>
        <w:spacing w:after="0" w:line="70" w:lineRule="exact"/>
        <w:rPr>
          <w:sz w:val="20"/>
          <w:szCs w:val="20"/>
          <w:color w:val="auto"/>
        </w:rPr>
      </w:pPr>
    </w:p>
    <w:p>
      <w:pPr>
        <w:ind w:right="260" w:firstLine="399"/>
        <w:spacing w:after="0" w:line="276" w:lineRule="auto"/>
        <w:rPr>
          <w:sz w:val="20"/>
          <w:szCs w:val="20"/>
          <w:color w:val="auto"/>
        </w:rPr>
      </w:pPr>
      <w:r>
        <w:rPr>
          <w:rFonts w:ascii="Times New Roman" w:cs="Times New Roman" w:eastAsia="Times New Roman" w:hAnsi="Times New Roman"/>
          <w:sz w:val="17"/>
          <w:szCs w:val="17"/>
          <w:color w:val="auto"/>
        </w:rPr>
        <w:t>Our future success will depend, in large part, on our ability to continue to maintain and enhance our current technologies and services and to develop new ones. We actively investigate and incubate new concepts and evaluate new business ideas through our innovation pipeline. We expect that most of the future enhancements to our existing services and our new services will be the result of internal development efforts in collaboration with suppliers, other vendors, customers, and the technology community. Under certain circumstances, we may also acquire or license technology from third parties.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01" w:lineRule="exact"/>
        <w:rPr>
          <w:sz w:val="20"/>
          <w:szCs w:val="20"/>
          <w:color w:val="auto"/>
        </w:rPr>
      </w:pPr>
    </w:p>
    <w:p>
      <w:pPr>
        <w:ind w:right="40" w:firstLine="399"/>
        <w:spacing w:after="0" w:line="236" w:lineRule="auto"/>
        <w:rPr>
          <w:sz w:val="20"/>
          <w:szCs w:val="20"/>
          <w:color w:val="auto"/>
        </w:rPr>
      </w:pPr>
      <w:r>
        <w:rPr>
          <w:rFonts w:ascii="Times New Roman" w:cs="Times New Roman" w:eastAsia="Times New Roman" w:hAnsi="Times New Roman"/>
          <w:sz w:val="18"/>
          <w:szCs w:val="18"/>
          <w:color w:val="auto"/>
        </w:rPr>
        <w:t xml:space="preserve">We face competition in the domain name registry space from other gTLD and ccTLD registries that are competing for the business of entities and individuals that are seeking to obtain a domain name registration. In addition to the gTLD and ccTLD registries we operate or for which we provide back-end registry services, there are numerous other operational gTLD registries, ASCII ccTLD registries, IDN ccTLD registries, and IDN gTLD registries. Under our agreements with ICANN, we are subject to certain restrictions in the operation of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xml:space="preserve"> on pricing, bundling, marketing, methods of distribution, introduction of new registry services, and use of registrars, that do not apply to ccTLDs and other gTLDs and therefore may create a competitive disadvantage. Among our competitors operating gTLD and ccTLD registries are China Internet Network Information Center (CNNIC), DENIC, Nominet, Identity Digital, Public Interest Registry (PIR), CentralNic, Google, .xyz, GoDaddy, and Radix.</w:t>
      </w:r>
    </w:p>
    <w:p>
      <w:pPr>
        <w:spacing w:after="0" w:line="106" w:lineRule="exact"/>
        <w:rPr>
          <w:sz w:val="20"/>
          <w:szCs w:val="20"/>
          <w:color w:val="auto"/>
        </w:rPr>
      </w:pPr>
    </w:p>
    <w:p>
      <w:pPr>
        <w:ind w:right="200" w:firstLine="399"/>
        <w:spacing w:after="0" w:line="254" w:lineRule="auto"/>
        <w:rPr>
          <w:sz w:val="20"/>
          <w:szCs w:val="20"/>
          <w:color w:val="auto"/>
        </w:rPr>
      </w:pPr>
      <w:r>
        <w:rPr>
          <w:rFonts w:ascii="Times New Roman" w:cs="Times New Roman" w:eastAsia="Times New Roman" w:hAnsi="Times New Roman"/>
          <w:sz w:val="18"/>
          <w:szCs w:val="18"/>
          <w:color w:val="auto"/>
        </w:rPr>
        <w:t>To the extent end-users navigate using search engines or social media, as opposed to direct navigation via domain names, or transact on e-commerce platforms, we face competition from search engines such as Google, Bing, Yahoo!, and Baidu, social media networks such as Facebook and WeChat, e-commerce platforms such as Amazon, eBay and Taobao, and microblogging tools such as Twitter. In addition, we face competition from these social media and e-commerce platforms if they are used by businesses and individuals to establish an online presence rather than through the use of a domain name. Furthermore, we face competition from providers of web and mobile applications that allow end-users to locate and access content.</w:t>
      </w:r>
    </w:p>
    <w:p>
      <w:pPr>
        <w:spacing w:after="0" w:line="76" w:lineRule="exact"/>
        <w:rPr>
          <w:sz w:val="20"/>
          <w:szCs w:val="20"/>
          <w:color w:val="auto"/>
        </w:rPr>
      </w:pPr>
    </w:p>
    <w:p>
      <w:pPr>
        <w:ind w:firstLine="399"/>
        <w:spacing w:after="0" w:line="246" w:lineRule="auto"/>
        <w:rPr>
          <w:sz w:val="20"/>
          <w:szCs w:val="20"/>
          <w:color w:val="auto"/>
        </w:rPr>
      </w:pPr>
      <w:r>
        <w:rPr>
          <w:rFonts w:ascii="Times New Roman" w:cs="Times New Roman" w:eastAsia="Times New Roman" w:hAnsi="Times New Roman"/>
          <w:sz w:val="18"/>
          <w:szCs w:val="18"/>
          <w:color w:val="auto"/>
        </w:rPr>
        <w:t>New technologies and the expansion of existing technologies may increase competitive pressure. Our industry is characterized by collaborative relationships involving our competitors. In the past, certain of our competitors have consolidated. Our ability to participate and benefit from such collaborative arrangements or consolidations may be limited and such collaborative arrangements and consolidations could harm our competitive position and adversely impact our business.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Regulation</w:t>
      </w:r>
    </w:p>
    <w:p>
      <w:pPr>
        <w:spacing w:after="0" w:line="114" w:lineRule="exact"/>
        <w:rPr>
          <w:sz w:val="20"/>
          <w:szCs w:val="20"/>
          <w:color w:val="auto"/>
        </w:rPr>
      </w:pPr>
    </w:p>
    <w:p>
      <w:pPr>
        <w:ind w:right="80" w:firstLine="399"/>
        <w:spacing w:after="0" w:line="251" w:lineRule="auto"/>
        <w:rPr>
          <w:sz w:val="20"/>
          <w:szCs w:val="20"/>
          <w:color w:val="auto"/>
        </w:rPr>
      </w:pPr>
      <w:r>
        <w:rPr>
          <w:rFonts w:ascii="Times New Roman" w:cs="Times New Roman" w:eastAsia="Times New Roman" w:hAnsi="Times New Roman"/>
          <w:sz w:val="18"/>
          <w:szCs w:val="18"/>
          <w:color w:val="auto"/>
        </w:rPr>
        <w:t>The DNS is governed under a multi-stakeholder model comprising civil society, the private sector, including for-profit and not-for-profit organizations such as ICANN, governments, including the U.S. government, academia, non-governmental organizations, and international organizations. ICANN plays a central coordination role in this bottom-up multi-stakeholder system. ICANN is mandated through its bylaws to uphold a private sector-led multi-stakeholder approach to internet governance for the public benefit. ICANN’s multi-stakeholder policy development processes have created, and will continue to create, policies, programs, and standards that directly or indirectly impact our business. Certain policies can be adopted as Consensus or Temporary Policies, which we are obligated to follow under our agreements with ICANN. For example, in response to the General Data Protection Regulation, ICANN issued a Temporary Policy modifying public access to information from Whois services.</w:t>
      </w:r>
    </w:p>
    <w:p>
      <w:pPr>
        <w:spacing w:after="0" w:line="82" w:lineRule="exact"/>
        <w:rPr>
          <w:sz w:val="20"/>
          <w:szCs w:val="20"/>
          <w:color w:val="auto"/>
        </w:rPr>
      </w:pPr>
    </w:p>
    <w:p>
      <w:pPr>
        <w:ind w:right="260" w:firstLine="399"/>
        <w:spacing w:after="0" w:line="273" w:lineRule="auto"/>
        <w:rPr>
          <w:sz w:val="20"/>
          <w:szCs w:val="20"/>
          <w:color w:val="auto"/>
        </w:rPr>
      </w:pPr>
      <w:r>
        <w:rPr>
          <w:rFonts w:ascii="Times New Roman" w:cs="Times New Roman" w:eastAsia="Times New Roman" w:hAnsi="Times New Roman"/>
          <w:sz w:val="17"/>
          <w:szCs w:val="17"/>
          <w:color w:val="auto"/>
        </w:rPr>
        <w:t>We are also subject to country-level laws and regulations in the United States and in international locations. In China, we are required to maintain licenses for .</w:t>
      </w:r>
      <w:r>
        <w:rPr>
          <w:rFonts w:ascii="Times New Roman" w:cs="Times New Roman" w:eastAsia="Times New Roman" w:hAnsi="Times New Roman"/>
          <w:sz w:val="17"/>
          <w:szCs w:val="17"/>
          <w:i w:val="1"/>
          <w:iCs w:val="1"/>
          <w:color w:val="auto"/>
        </w:rPr>
        <w:t>com,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net,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.cc</w:t>
      </w:r>
      <w:r>
        <w:rPr>
          <w:rFonts w:ascii="Times New Roman" w:cs="Times New Roman" w:eastAsia="Times New Roman" w:hAnsi="Times New Roman"/>
          <w:sz w:val="17"/>
          <w:szCs w:val="17"/>
          <w:color w:val="auto"/>
        </w:rPr>
        <w:t xml:space="preserve"> under regulations issued by the Ministry of Industry and Information Technology. The applications to renew the licenses for</w:t>
      </w:r>
    </w:p>
    <w:p>
      <w:pPr>
        <w:ind w:right="60"/>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.com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.net </w:t>
      </w:r>
      <w:r>
        <w:rPr>
          <w:rFonts w:ascii="Times New Roman" w:cs="Times New Roman" w:eastAsia="Times New Roman" w:hAnsi="Times New Roman"/>
          <w:sz w:val="17"/>
          <w:szCs w:val="17"/>
          <w:color w:val="auto"/>
        </w:rPr>
        <w:t>are currently under review by the Ministry of Industry and Information Technology. Additionally, in many jurisdictions in which we operate,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California, the European Union, the United Kingdom, China and elsewhere, strict new data security and data privacy regulations have been, or are being, adopted. Because we do not possess extensive personal registrant information, we have not yet experienced significant impacts from these regulations. However, compliance costs and other business impacts could become significant if we begin to receive personal registrant information in our .</w:t>
      </w:r>
      <w:r>
        <w:rPr>
          <w:rFonts w:ascii="Times New Roman" w:cs="Times New Roman" w:eastAsia="Times New Roman" w:hAnsi="Times New Roman"/>
          <w:sz w:val="17"/>
          <w:szCs w:val="17"/>
          <w:i w:val="1"/>
          <w:iCs w:val="1"/>
          <w:color w:val="auto"/>
        </w:rPr>
        <w:t>com</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net</w:t>
      </w:r>
      <w:r>
        <w:rPr>
          <w:rFonts w:ascii="Times New Roman" w:cs="Times New Roman" w:eastAsia="Times New Roman" w:hAnsi="Times New Roman"/>
          <w:sz w:val="17"/>
          <w:szCs w:val="17"/>
          <w:color w:val="auto"/>
        </w:rPr>
        <w:t xml:space="preserve"> gTLDs, as regulatory enforcement increases, as courts interpret these regulations, and as new laws and regulations are adopted. Other regulations, or changes to regulations, may also significantly impact our business operations, including changes to the Digital Services Act or Network and Information Security Directive, in the European Union, or the Communications Decency Act, in the United States, or the Personal Information Protection Law, in China.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 Generic Top-Level Domain</w:t>
      </w:r>
    </w:p>
    <w:p>
      <w:pPr>
        <w:spacing w:after="0" w:line="15" w:lineRule="exact"/>
        <w:rPr>
          <w:sz w:val="20"/>
          <w:szCs w:val="20"/>
          <w:color w:val="auto"/>
        </w:rPr>
      </w:pPr>
    </w:p>
    <w:p>
      <w:pPr>
        <w:ind w:firstLine="399"/>
        <w:spacing w:after="0" w:line="234" w:lineRule="auto"/>
        <w:rPr>
          <w:sz w:val="20"/>
          <w:szCs w:val="20"/>
          <w:color w:val="auto"/>
        </w:rPr>
      </w:pPr>
      <w:r>
        <w:rPr>
          <w:rFonts w:ascii="Times New Roman" w:cs="Times New Roman" w:eastAsia="Times New Roman" w:hAnsi="Times New Roman"/>
          <w:sz w:val="18"/>
          <w:szCs w:val="18"/>
          <w:color w:val="auto"/>
        </w:rPr>
        <w:t>Our operation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gTLD is subject to the terms of a registry agreement with ICANN (as amended,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The current term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is six years and must be renewed or extended by November 30, 2024. Although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contains a “presumptive” right of renewal, ICANN could terminate or refuse to renew the Registry Agreement in certain prescribed circumstances. See “Risk Factors - Any loss or modification of our right to operate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gTLDs could have a material adverse impact on our business and result in loss of revenues.” in Part I, Item 1A of this Form 10-K for further information.</w:t>
      </w:r>
    </w:p>
    <w:p>
      <w:pPr>
        <w:spacing w:after="0" w:line="87" w:lineRule="exact"/>
        <w:rPr>
          <w:sz w:val="20"/>
          <w:szCs w:val="20"/>
          <w:color w:val="auto"/>
        </w:rPr>
      </w:pPr>
    </w:p>
    <w:p>
      <w:pPr>
        <w:ind w:right="40" w:firstLine="399"/>
        <w:spacing w:after="0" w:line="253" w:lineRule="auto"/>
        <w:rPr>
          <w:sz w:val="20"/>
          <w:szCs w:val="20"/>
          <w:color w:val="auto"/>
        </w:rPr>
      </w:pPr>
      <w:r>
        <w:rPr>
          <w:rFonts w:ascii="Times New Roman" w:cs="Times New Roman" w:eastAsia="Times New Roman" w:hAnsi="Times New Roman"/>
          <w:sz w:val="18"/>
          <w:szCs w:val="18"/>
          <w:color w:val="auto"/>
        </w:rPr>
        <w:t>Other significant terms within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include performance specifications and service level agreements, including by example, for the availability of our DNS resolution services, our Shared Registration System, and our Whois services.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contains marketing limitations, including limitations on our ability to bundle products and the manner in which we provide marketing support to ICANN-accredited registrars. We are also required under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to provide ICANN-accredited registrars with nondiscriminatory access to our systems to register or take other actions related to domain names. In order to introduce new Registry Services or make material changes to existing Registry Services, we must follow prescribed procedures which permit ICANN to review and approve such services.</w:t>
      </w:r>
    </w:p>
    <w:p>
      <w:pPr>
        <w:spacing w:after="0" w:line="75" w:lineRule="exact"/>
        <w:rPr>
          <w:sz w:val="20"/>
          <w:szCs w:val="20"/>
          <w:color w:val="auto"/>
        </w:rPr>
      </w:pPr>
    </w:p>
    <w:p>
      <w:pPr>
        <w:ind w:right="100" w:firstLine="399"/>
        <w:spacing w:after="0" w:line="254" w:lineRule="auto"/>
        <w:rPr>
          <w:sz w:val="20"/>
          <w:szCs w:val="20"/>
          <w:color w:val="auto"/>
        </w:rPr>
      </w:pPr>
      <w:r>
        <w:rPr>
          <w:rFonts w:ascii="Times New Roman" w:cs="Times New Roman" w:eastAsia="Times New Roman" w:hAnsi="Times New Roman"/>
          <w:sz w:val="18"/>
          <w:szCs w:val="18"/>
          <w:color w:val="auto"/>
        </w:rPr>
        <w:t>Amendment 3 to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permits an increase to the Maximum Price (as defined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of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domain name registrations by up to 7% over the previous year in each of the final four years of each six-year period. The first such six-year period began on October 26, 2018. Amendment 3 also clarified that the restrictions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relating to vertical integration apply solely to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gTLD and also clarified that our ability to increase prices by 7% over the previous year due to new ICANN Consensus Policies or documented extraordinary expense may occur only in years where we do not otherwise take the price increases described above.</w:t>
      </w:r>
    </w:p>
    <w:p>
      <w:pPr>
        <w:spacing w:after="0" w:line="76" w:lineRule="exact"/>
        <w:rPr>
          <w:sz w:val="20"/>
          <w:szCs w:val="20"/>
          <w:color w:val="auto"/>
        </w:rPr>
      </w:pPr>
    </w:p>
    <w:p>
      <w:pPr>
        <w:ind w:right="80" w:firstLine="399"/>
        <w:spacing w:after="0" w:line="257" w:lineRule="auto"/>
        <w:rPr>
          <w:sz w:val="20"/>
          <w:szCs w:val="20"/>
          <w:color w:val="auto"/>
        </w:rPr>
      </w:pPr>
      <w:r>
        <w:rPr>
          <w:rFonts w:ascii="Times New Roman" w:cs="Times New Roman" w:eastAsia="Times New Roman" w:hAnsi="Times New Roman"/>
          <w:sz w:val="18"/>
          <w:szCs w:val="18"/>
          <w:color w:val="auto"/>
        </w:rPr>
        <w:t>Our operation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gTLD is also subject to the terms of a Cooperative Agreement with the DOC. The Cooperative Agreement has undergone various amendments with the most recent, Amendment 35, on October 26, 2018. Amendment 35 extended the term of the Cooperative Agreement until November 30, 2024, which will automatically renew on the same terms for successive six-year terms unless the DOC provides written notice of non-renewal 120 days prior to the end of the then-current term.</w:t>
      </w:r>
    </w:p>
    <w:p>
      <w:pPr>
        <w:spacing w:after="0" w:line="72" w:lineRule="exact"/>
        <w:rPr>
          <w:sz w:val="20"/>
          <w:szCs w:val="20"/>
          <w:color w:val="auto"/>
        </w:rPr>
      </w:pPr>
    </w:p>
    <w:p>
      <w:pPr>
        <w:ind w:right="80" w:firstLine="396"/>
        <w:spacing w:after="0" w:line="257" w:lineRule="auto"/>
        <w:rPr>
          <w:sz w:val="20"/>
          <w:szCs w:val="20"/>
          <w:color w:val="auto"/>
        </w:rPr>
      </w:pPr>
      <w:r>
        <w:rPr>
          <w:rFonts w:ascii="Times New Roman" w:cs="Times New Roman" w:eastAsia="Times New Roman" w:hAnsi="Times New Roman"/>
          <w:sz w:val="18"/>
          <w:szCs w:val="18"/>
          <w:color w:val="auto"/>
        </w:rPr>
        <w:t>Amendment 35 includes the DOC’s consent to the modification of the pricing terms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(as described above). The Cooperative Agreement further provides that we shall be entitled at any time during the term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to seek to remove the pricing restrictions contained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if we demonstrate to the DOC that market conditions no longer warrant pricing restrictions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as determined by the DOC.</w:t>
      </w:r>
    </w:p>
    <w:p>
      <w:pPr>
        <w:spacing w:after="0" w:line="72" w:lineRule="exact"/>
        <w:rPr>
          <w:sz w:val="20"/>
          <w:szCs w:val="20"/>
          <w:color w:val="auto"/>
        </w:rPr>
      </w:pPr>
    </w:p>
    <w:p>
      <w:pPr>
        <w:jc w:val="both"/>
        <w:ind w:right="280" w:firstLine="399"/>
        <w:spacing w:after="0" w:line="262" w:lineRule="auto"/>
        <w:rPr>
          <w:sz w:val="20"/>
          <w:szCs w:val="20"/>
          <w:color w:val="auto"/>
        </w:rPr>
      </w:pPr>
      <w:r>
        <w:rPr>
          <w:rFonts w:ascii="Times New Roman" w:cs="Times New Roman" w:eastAsia="Times New Roman" w:hAnsi="Times New Roman"/>
          <w:sz w:val="18"/>
          <w:szCs w:val="18"/>
          <w:color w:val="auto"/>
        </w:rPr>
        <w:t>DOC approval of changes to or the renewal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was limited by Amendment 35 to only the following circumstances: (1) changes to the pricing provisions (other than as approved in Amendment 35), (2) changes to the vertical integration provisions (other than the clarification approved in Amendment 35), (3) changes to the security, stability</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 xml:space="preserve">and resiliency posture as reflected in the functional or performance specifications (including the service level agreements), (4) changes to the conditions for renewal or termination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or (5) changes to the Whois service (except as mandated by ICANN through Temporary or Consensus Policies). As was the case with prior amendments, Amendment 35 is not intended to confer federal antitrust immunity on the Company with respect to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w:t>
      </w:r>
    </w:p>
    <w:p>
      <w:pPr>
        <w:spacing w:after="0" w:line="73" w:lineRule="exact"/>
        <w:rPr>
          <w:sz w:val="20"/>
          <w:szCs w:val="20"/>
          <w:color w:val="auto"/>
        </w:rPr>
      </w:pPr>
    </w:p>
    <w:p>
      <w:pPr>
        <w:ind w:right="120" w:firstLine="399"/>
        <w:spacing w:after="0" w:line="257" w:lineRule="auto"/>
        <w:rPr>
          <w:sz w:val="20"/>
          <w:szCs w:val="20"/>
          <w:color w:val="auto"/>
        </w:rPr>
      </w:pPr>
      <w:r>
        <w:rPr>
          <w:rFonts w:ascii="Times New Roman" w:cs="Times New Roman" w:eastAsia="Times New Roman" w:hAnsi="Times New Roman"/>
          <w:sz w:val="18"/>
          <w:szCs w:val="18"/>
          <w:color w:val="auto"/>
        </w:rPr>
        <w:t xml:space="preserve">Finally, Amendment 35 clarified that the restrictions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relating to vertical integration apply solely to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gTLD. As to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gTLD, we are not permitted to acquire, directly or indirectly, control of, or a greater than 15% ownership interest in, any ICANN-accredited registrar that sells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domain names. In addition, under Amendment 35, we have agreed to continue to operate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gTLD in a content-neutral manner and to work within ICANN processes to promote the development of content-neutral policies for the operation of the DNS.</w:t>
      </w:r>
    </w:p>
    <w:p>
      <w:pPr>
        <w:spacing w:after="0" w:line="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.net Generic Top-Level Domain</w:t>
      </w:r>
    </w:p>
    <w:p>
      <w:pPr>
        <w:spacing w:after="0" w:line="112" w:lineRule="exact"/>
        <w:rPr>
          <w:sz w:val="20"/>
          <w:szCs w:val="20"/>
          <w:color w:val="auto"/>
        </w:rPr>
      </w:pPr>
    </w:p>
    <w:p>
      <w:pPr>
        <w:ind w:right="20" w:firstLine="439"/>
        <w:spacing w:after="0" w:line="257" w:lineRule="auto"/>
        <w:rPr>
          <w:sz w:val="20"/>
          <w:szCs w:val="20"/>
          <w:color w:val="auto"/>
        </w:rPr>
      </w:pPr>
      <w:r>
        <w:rPr>
          <w:rFonts w:ascii="Times New Roman" w:cs="Times New Roman" w:eastAsia="Times New Roman" w:hAnsi="Times New Roman"/>
          <w:sz w:val="18"/>
          <w:szCs w:val="18"/>
          <w:color w:val="auto"/>
        </w:rPr>
        <w:t>Our operation of the .</w:t>
      </w:r>
      <w:r>
        <w:rPr>
          <w:rFonts w:ascii="Times New Roman" w:cs="Times New Roman" w:eastAsia="Times New Roman" w:hAnsi="Times New Roman"/>
          <w:sz w:val="18"/>
          <w:szCs w:val="18"/>
          <w:i w:val="1"/>
          <w:iCs w:val="1"/>
          <w:color w:val="auto"/>
        </w:rPr>
        <w:t>net g</w:t>
      </w:r>
      <w:r>
        <w:rPr>
          <w:rFonts w:ascii="Times New Roman" w:cs="Times New Roman" w:eastAsia="Times New Roman" w:hAnsi="Times New Roman"/>
          <w:sz w:val="18"/>
          <w:szCs w:val="18"/>
          <w:color w:val="auto"/>
        </w:rPr>
        <w:t>TLD is subject to the terms of a registry agreement with ICANN (as amended, the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Registry Agreement”). The current term of this agreement is six years and must be renewed or extended by July 1, 2023. The terms of the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Registry Agreement are substantially similar to the terms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except as to ICANN fees as described earlier and that the annual price for new and renewal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 registrations may be increased by 10% each year. Our operation of the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gTLD is not subject to the terms of the Cooperative Agreement.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Root Operations</w:t>
      </w:r>
    </w:p>
    <w:p>
      <w:pPr>
        <w:spacing w:after="0" w:line="114" w:lineRule="exact"/>
        <w:rPr>
          <w:sz w:val="20"/>
          <w:szCs w:val="20"/>
          <w:color w:val="auto"/>
        </w:rPr>
      </w:pPr>
    </w:p>
    <w:p>
      <w:pPr>
        <w:ind w:right="220" w:firstLine="399"/>
        <w:spacing w:after="0" w:line="256" w:lineRule="auto"/>
        <w:rPr>
          <w:sz w:val="20"/>
          <w:szCs w:val="20"/>
          <w:color w:val="auto"/>
        </w:rPr>
      </w:pPr>
      <w:r>
        <w:rPr>
          <w:rFonts w:ascii="Times New Roman" w:cs="Times New Roman" w:eastAsia="Times New Roman" w:hAnsi="Times New Roman"/>
          <w:sz w:val="18"/>
          <w:szCs w:val="18"/>
          <w:color w:val="auto"/>
        </w:rPr>
        <w:t>We operate two of the world’s thirteen root servers. Along with the ICANN community, we are involved in discussions to establish criteria for operations of the root server system including the root servers that we operate. We also publish the root zone file, as the Root Zone Maintainer, under the Root Zone Maintainer Service Agreement (“RZMA”) with ICANN. The RZMA will expire on October 19, 2024, with an automatic renewal, unless earlier terminated.</w:t>
      </w:r>
    </w:p>
    <w:p>
      <w:pPr>
        <w:spacing w:after="0" w:line="73" w:lineRule="exact"/>
        <w:rPr>
          <w:sz w:val="20"/>
          <w:szCs w:val="20"/>
          <w:color w:val="auto"/>
        </w:rPr>
      </w:pPr>
    </w:p>
    <w:p>
      <w:pPr>
        <w:ind w:right="600" w:firstLine="399"/>
        <w:spacing w:after="0" w:line="278" w:lineRule="auto"/>
        <w:rPr>
          <w:sz w:val="20"/>
          <w:szCs w:val="20"/>
          <w:color w:val="auto"/>
        </w:rPr>
      </w:pPr>
      <w:r>
        <w:rPr>
          <w:rFonts w:ascii="Times New Roman" w:cs="Times New Roman" w:eastAsia="Times New Roman" w:hAnsi="Times New Roman"/>
          <w:sz w:val="18"/>
          <w:szCs w:val="18"/>
          <w:color w:val="auto"/>
        </w:rPr>
        <w:t xml:space="preserve">The descriptions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the Cooperative Agreement, and the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Registry Agreement are qualified in their entirety by reference to the text of the complete agreements that are incorporated by reference as exhibits in this Form 10-K.</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14" w:lineRule="exact"/>
        <w:rPr>
          <w:sz w:val="20"/>
          <w:szCs w:val="20"/>
          <w:color w:val="auto"/>
        </w:rPr>
      </w:pPr>
    </w:p>
    <w:p>
      <w:pPr>
        <w:ind w:right="40" w:firstLine="399"/>
        <w:spacing w:after="0" w:line="261" w:lineRule="auto"/>
        <w:rPr>
          <w:sz w:val="20"/>
          <w:szCs w:val="20"/>
          <w:color w:val="auto"/>
        </w:rPr>
      </w:pPr>
      <w:r>
        <w:rPr>
          <w:rFonts w:ascii="Times New Roman" w:cs="Times New Roman" w:eastAsia="Times New Roman" w:hAnsi="Times New Roman"/>
          <w:sz w:val="18"/>
          <w:szCs w:val="18"/>
          <w:color w:val="auto"/>
        </w:rPr>
        <w:t>Our employees are mission driven and values focused. Their dedication to these principles forms the backbone that enables Verisign to provide secure, stable, and resilient global connectivity. We recognize the importance of talent and culture in driving an environment that fosters high performance, inclusion, and integrity in all aspects of our work.</w:t>
      </w:r>
    </w:p>
    <w:p>
      <w:pPr>
        <w:spacing w:after="0" w:line="70" w:lineRule="exact"/>
        <w:rPr>
          <w:sz w:val="20"/>
          <w:szCs w:val="20"/>
          <w:color w:val="auto"/>
        </w:rPr>
      </w:pPr>
    </w:p>
    <w:p>
      <w:pPr>
        <w:ind w:firstLine="399"/>
        <w:spacing w:after="0"/>
        <w:rPr>
          <w:sz w:val="20"/>
          <w:szCs w:val="20"/>
          <w:color w:val="auto"/>
        </w:rPr>
      </w:pPr>
      <w:r>
        <w:rPr>
          <w:rFonts w:ascii="Times New Roman" w:cs="Times New Roman" w:eastAsia="Times New Roman" w:hAnsi="Times New Roman"/>
          <w:sz w:val="18"/>
          <w:szCs w:val="18"/>
          <w:color w:val="auto"/>
        </w:rPr>
        <w:t>We are committed to attracting, developing, and retaining the best talent, and we routinely monitor and present our progress in these areas to executive management and the Compensation Committee of our Board of Directors. As of December 31, 2022, we had 917 employees, of which 914 were full-time. 853 employees (representing approximately 93% of our total workforce) were based in the U.S., and 64 employees (representing approximately 7% of our total workforce) were based outside the U.S. As of December 31, 2022, approximately 28% of our global workforce was female, and approximately 43% of our U.S. employees were ethnically and racially diverse. No U.S.-based employees are represented under collective bargaining agreements. Based on periodic monitoring, we believe that our employee turnover is relatively low compared to competitive benchmarks and historical trends. We attribute our strong retention rates to our passion and focus on the Company’s mission and values, continual development of talent, and the delivery of competitive and equitable reward programs. We regularly review our workforce policies, procedures, and training programs, as well as our overall workforce demographics, in an effort to create a work environment that is diverse, equitable, inclusive, and free from discrimination.</w:t>
      </w:r>
    </w:p>
    <w:p>
      <w:pPr>
        <w:spacing w:after="0" w:line="79"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Employee Engagement: </w:t>
      </w:r>
      <w:r>
        <w:rPr>
          <w:rFonts w:ascii="Times New Roman" w:cs="Times New Roman" w:eastAsia="Times New Roman" w:hAnsi="Times New Roman"/>
          <w:sz w:val="18"/>
          <w:szCs w:val="18"/>
          <w:color w:val="auto"/>
        </w:rPr>
        <w:t>In order to deliver on our mission, it is essential to have an engaged workforce that exhibits our values, which include: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stewards of the internet, being passionate about technology, respecting others, exhibiting integrity, taking responsibility, and holding ourselves to a higher standard. These principles are integrated into our operating model and are foundational to our ability to attract, retain, and develop top talent. This commitment serves to create engagement and drives a collaborative and inclusive environment where our employees can thrive. To monitor engagement levels and well-being we routinely conduct employee surveys. In our most recent survey in October of 2022, approximately 85% of our employee population participated. The survey results indicated that our employees remain highly engaged and connected with our mission and values. Another engagement indicator is that the average tenure of our employees is approximately 9 years.</w:t>
      </w:r>
    </w:p>
    <w:p>
      <w:pPr>
        <w:spacing w:after="0" w:line="76"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Diversity, Equity and Inclusion (DEI): </w:t>
      </w:r>
      <w:r>
        <w:rPr>
          <w:rFonts w:ascii="Times New Roman" w:cs="Times New Roman" w:eastAsia="Times New Roman" w:hAnsi="Times New Roman"/>
          <w:sz w:val="18"/>
          <w:szCs w:val="18"/>
          <w:color w:val="auto"/>
        </w:rPr>
        <w:t>We are a diverse organization, and we believe that drives stronger performance, better decision making, and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inclusive culture where differences are valued. We continue to focus on the hiring, retention, and advancement of women and underrepresented populations. In 2022, we continued to build on our strong foundation through roundtable discussions to support open dialogue, training sessions for all employees on the importance of a diverse and inclusive workplace, and growing our employee resource group representation. Verisign continues to partner with organizations that are dedicated to resisting and reversing historical injustice. Our progress is evident through our October 2022 employee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survey results where participants indicated that they understand how to support an inclusive work environment and that Verisign demonstrates a visible commitment to diversity.</w:t>
      </w:r>
    </w:p>
    <w:p>
      <w:pPr>
        <w:spacing w:after="0" w:line="6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Compensation, Pay Equity, and Employee Benefits: </w:t>
      </w:r>
      <w:r>
        <w:rPr>
          <w:rFonts w:ascii="Times New Roman" w:cs="Times New Roman" w:eastAsia="Times New Roman" w:hAnsi="Times New Roman"/>
          <w:sz w:val="18"/>
          <w:szCs w:val="18"/>
          <w:color w:val="auto"/>
        </w:rPr>
        <w:t>To align with our philosophy of providing compelling total rewards, we have practices in place to deliver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and equitable compensation for employees based on their contribution and performance. We benchmark and regularly review our compensation and benefits against the market to confirm they remain competitive. We offer a broad and comprehensive set of benefits to meet the diverse needs of our workforce. In addition, we regularly perform analyses on base pay, annual incentives, and long-term incentives to help calibrate compensation and ensure pay equity.</w:t>
      </w:r>
    </w:p>
    <w:p>
      <w:pPr>
        <w:spacing w:after="0" w:line="70"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Talent Development and Acquisition: </w:t>
      </w:r>
      <w:r>
        <w:rPr>
          <w:rFonts w:ascii="Times New Roman" w:cs="Times New Roman" w:eastAsia="Times New Roman" w:hAnsi="Times New Roman"/>
          <w:sz w:val="18"/>
          <w:szCs w:val="18"/>
          <w:color w:val="auto"/>
        </w:rPr>
        <w:t>We are committed to the continued development of our people. Strategic talent reviews and succession planning occur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regular basis. Our management training is designed to increase capability in the areas of communication, engagement, coaching, conflict management, and business skills, while fostering an ethical, supportive work environment free from bias and harassment. We sponsor skill development for all employees through our online learning and development platform. In addition, we host a series of instructor-led and on-demand learning sessions designed to build our team’s skills and knowledge required for the future. Our managers regularly hold conversations with employees about career management, coaching, and other development opportunities to help encourage and drive the growth of our talent. We are focused on the competitive labor market, and we are working diligently to attract the best talent from a diverse range of sources. We continue to broaden our sourcing strategies, refresh our employment branding, and develop targeted recruitment strategies for specialized skill sets and underrepresented populations. In 2022, these strategies enabled us to hire a significant number of female and racially or ethnically diverse employees.</w:t>
      </w:r>
    </w:p>
    <w:p>
      <w:pPr>
        <w:spacing w:after="0" w:line="7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Hybrid Work Posture: </w:t>
      </w:r>
      <w:r>
        <w:rPr>
          <w:rFonts w:ascii="Times New Roman" w:cs="Times New Roman" w:eastAsia="Times New Roman" w:hAnsi="Times New Roman"/>
          <w:sz w:val="18"/>
          <w:szCs w:val="18"/>
          <w:color w:val="auto"/>
        </w:rPr>
        <w:t>After shifting to remote work during the COVID 19 pandemic, we are now transitioning to a hybrid work posture. Over the latter half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2022, we piloted our new hybrid work posture with a focus on how work gets done versus where it gets done. Leaders met with their teams to develop team agreements that summarized the operating norms and protocols their teams need to use in this new hybrid environment. The team agreements created the foundation for employees to create work schedules that align with corporate and individual needs as well as provide employees the flexibility to manage work-life balance. Our managers received training on managing in a hybrid environment. The training focused on leading with inclusive practices, effective communication, empathy, and accountability. Our offices remain a place for collaboration, networking, and strategic discussion. We continue to provide our employees with the equipment and resources that they require to accomplish their work regardless of location.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shows a comparison of our consolidated employee headcount, by function:</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540" w:type="dxa"/>
            <w:vAlign w:val="bottom"/>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8540" w:type="dxa"/>
            <w:vAlign w:val="bottom"/>
          </w:tcPr>
          <w:p>
            <w:pPr>
              <w:spacing w:after="0"/>
              <w:rPr>
                <w:sz w:val="19"/>
                <w:szCs w:val="19"/>
                <w:color w:val="auto"/>
              </w:rPr>
            </w:pPr>
          </w:p>
        </w:tc>
        <w:tc>
          <w:tcPr>
            <w:tcW w:w="206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w w:val="97"/>
              </w:rPr>
              <w:t>As of December 31,</w:t>
            </w: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Employee headcount by function:</w:t>
            </w:r>
          </w:p>
        </w:tc>
        <w:tc>
          <w:tcPr>
            <w:tcW w:w="8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0" w:type="dxa"/>
            <w:vAlign w:val="bottom"/>
          </w:tcPr>
          <w:p>
            <w:pPr>
              <w:spacing w:after="0"/>
              <w:rPr>
                <w:sz w:val="1"/>
                <w:szCs w:val="1"/>
                <w:color w:val="auto"/>
              </w:rPr>
            </w:pPr>
          </w:p>
        </w:tc>
      </w:tr>
      <w:tr>
        <w:trPr>
          <w:trHeight w:val="206"/>
        </w:trPr>
        <w:tc>
          <w:tcPr>
            <w:tcW w:w="854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6"/>
        </w:trPr>
        <w:tc>
          <w:tcPr>
            <w:tcW w:w="8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6"/>
        </w:trPr>
        <w:tc>
          <w:tcPr>
            <w:tcW w:w="8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20"/>
        </w:trPr>
        <w:tc>
          <w:tcPr>
            <w:tcW w:w="8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4" w:lineRule="exact"/>
        <w:rPr>
          <w:sz w:val="20"/>
          <w:szCs w:val="20"/>
          <w:color w:val="auto"/>
        </w:rPr>
      </w:pPr>
    </w:p>
    <w:p>
      <w:pPr>
        <w:ind w:right="100" w:firstLine="399"/>
        <w:spacing w:after="0" w:line="256" w:lineRule="auto"/>
        <w:rPr>
          <w:sz w:val="20"/>
          <w:szCs w:val="20"/>
          <w:color w:val="auto"/>
        </w:rPr>
      </w:pPr>
      <w:r>
        <w:rPr>
          <w:rFonts w:ascii="Times New Roman" w:cs="Times New Roman" w:eastAsia="Times New Roman" w:hAnsi="Times New Roman"/>
          <w:sz w:val="18"/>
          <w:szCs w:val="18"/>
          <w:color w:val="auto"/>
        </w:rPr>
        <w:t>We rely on a combination of copyrighted software, trademarks, service marks, patents, trade secrets, know-how, restrictions on disclosure, and other methods to protect our proprietary assets. We also enter into confidentiality and/or intellectual property assignment agreements with our employees, consultants and current and potential affiliates, customers and business partners. We also control access to and distribution of proprietary documentation and other confidential information.</w:t>
      </w:r>
    </w:p>
    <w:p>
      <w:pPr>
        <w:spacing w:after="0" w:line="75" w:lineRule="exact"/>
        <w:rPr>
          <w:sz w:val="20"/>
          <w:szCs w:val="20"/>
          <w:color w:val="auto"/>
        </w:rPr>
      </w:pPr>
    </w:p>
    <w:p>
      <w:pPr>
        <w:ind w:right="80" w:firstLine="399"/>
        <w:spacing w:after="0" w:line="256" w:lineRule="auto"/>
        <w:rPr>
          <w:sz w:val="20"/>
          <w:szCs w:val="20"/>
          <w:color w:val="auto"/>
        </w:rPr>
      </w:pPr>
      <w:r>
        <w:rPr>
          <w:rFonts w:ascii="Times New Roman" w:cs="Times New Roman" w:eastAsia="Times New Roman" w:hAnsi="Times New Roman"/>
          <w:sz w:val="18"/>
          <w:szCs w:val="18"/>
          <w:color w:val="auto"/>
        </w:rPr>
        <w:t>We have been issued numerous patents in the U.S. and abroad, covering a wide range of our technologies. Additionally, we continue to file patent applications with respect to certain of our technologies in the U.S. Patent and Trademark Office and internationally. Patents may not be awarded with respect to these applications and even if such patents are awarded, such patents may not provide sufficient protection of our technologies. We continue to consider opportunities for strategic growth and use of our patent portfolio.</w:t>
      </w:r>
    </w:p>
    <w:p>
      <w:pPr>
        <w:spacing w:after="0" w:line="75" w:lineRule="exact"/>
        <w:rPr>
          <w:sz w:val="20"/>
          <w:szCs w:val="20"/>
          <w:color w:val="auto"/>
        </w:rPr>
      </w:pPr>
    </w:p>
    <w:p>
      <w:pPr>
        <w:ind w:right="100" w:firstLine="399"/>
        <w:spacing w:after="0" w:line="283" w:lineRule="auto"/>
        <w:rPr>
          <w:sz w:val="20"/>
          <w:szCs w:val="20"/>
          <w:color w:val="auto"/>
        </w:rPr>
      </w:pPr>
      <w:r>
        <w:rPr>
          <w:rFonts w:ascii="Times New Roman" w:cs="Times New Roman" w:eastAsia="Times New Roman" w:hAnsi="Times New Roman"/>
          <w:sz w:val="17"/>
          <w:szCs w:val="17"/>
          <w:color w:val="auto"/>
        </w:rPr>
        <w:t>We have obtained trademark registrations for the VERISIGN mark and VERISIGN logo in the U.S. and certain countries, and have pending trademark applications for the VERISIGN logo in a number of other countries. We have common law rights in other proprietary names. We take steps to enforce and police Verisign’s trademarks. We rely on the strength of our Verisign brand to help differentiate ourselves in the marketing of our products and services.</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60" w:firstLine="399"/>
        <w:spacing w:after="0" w:line="251" w:lineRule="auto"/>
        <w:rPr>
          <w:sz w:val="20"/>
          <w:szCs w:val="20"/>
          <w:color w:val="auto"/>
        </w:rPr>
      </w:pPr>
      <w:r>
        <w:rPr>
          <w:rFonts w:ascii="Times New Roman" w:cs="Times New Roman" w:eastAsia="Times New Roman" w:hAnsi="Times New Roman"/>
          <w:sz w:val="18"/>
          <w:szCs w:val="18"/>
          <w:color w:val="auto"/>
        </w:rPr>
        <w:t>Our principal intellectual property consists of, and our success is dependent upon, proprietary software used in our business and certain methodologies (many of which are patented or for which patent applications are pending) and technical expertise and proprietary know-how we use in both the design and implementation of our current and future registry services. We own our proprietary Shared Registration System through which registrars submit second-level domain name registrations for each of the registries we operate, as well as the ATLAS distributed lookup system which processes hundreds of billions of queries per day. Some of the software and protocols used in our business are in the public domain or are otherwise available to our competitors, and some are based on open standards set by organizations such as the Internet Engineering Task Force. To the extent any of our patents are considered “standard essential patents,” we may be required to license such patents to our competitors on reasonable and non-discriminatory terms or otherwise be limited in our ability to assert such patents.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as of February 17, 2023:</w:t>
      </w:r>
    </w:p>
    <w:p>
      <w:pPr>
        <w:spacing w:after="0" w:line="3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3360" w:type="dxa"/>
            <w:vAlign w:val="bottom"/>
          </w:tcPr>
          <w:p>
            <w:pPr>
              <w:spacing w:after="0"/>
              <w:rPr>
                <w:sz w:val="13"/>
                <w:szCs w:val="13"/>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33"/>
        </w:trPr>
        <w:tc>
          <w:tcPr>
            <w:tcW w:w="14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120" w:type="dxa"/>
            <w:vAlign w:val="bottom"/>
          </w:tcPr>
          <w:p>
            <w:pPr>
              <w:spacing w:after="0"/>
              <w:rPr>
                <w:sz w:val="2"/>
                <w:szCs w:val="2"/>
                <w:color w:val="auto"/>
              </w:rPr>
            </w:pPr>
          </w:p>
        </w:tc>
      </w:tr>
      <w:tr>
        <w:trPr>
          <w:trHeight w:val="226"/>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 James Bidzos</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69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Chairman and Chief Executive Officer</w:t>
            </w:r>
          </w:p>
        </w:tc>
      </w:tr>
      <w:tr>
        <w:trPr>
          <w:trHeight w:val="226"/>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Todd B. Strubbe</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6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r>
        <w:trPr>
          <w:trHeight w:val="226"/>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George E. Kilguss, III</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69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26"/>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Danny R. McPherson</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6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Executive Vice President, Engineering, Operations and Chief Security Officer</w:t>
            </w:r>
          </w:p>
        </w:tc>
      </w:tr>
      <w:tr>
        <w:trPr>
          <w:trHeight w:val="226"/>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C. Indelicarto</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69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pacing w:after="0" w:line="137" w:lineRule="exact"/>
        <w:rPr>
          <w:sz w:val="20"/>
          <w:szCs w:val="20"/>
          <w:color w:val="auto"/>
        </w:rPr>
      </w:pPr>
    </w:p>
    <w:p>
      <w:pPr>
        <w:ind w:right="120" w:firstLine="4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 James Bidzos </w:t>
      </w:r>
      <w:r>
        <w:rPr>
          <w:rFonts w:ascii="Times New Roman" w:cs="Times New Roman" w:eastAsia="Times New Roman" w:hAnsi="Times New Roman"/>
          <w:sz w:val="18"/>
          <w:szCs w:val="18"/>
          <w:color w:val="auto"/>
        </w:rPr>
        <w:t>has served as Executive Chairman since August 2009 and Chief Executive Officer since August 2011. He served as President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August 2011 to February 2020. He served as Executive Chairman and Chief Executive Officer on an interim basis from June 2008 to August 2009 and served as President from June 2008 to January 2009. He served as Chairman of the Board since August 2007 and from April 1995 to December 2001. He served as Vice Chairman of the Board from December 2001 to August 2007. Mr. Bidzos served as a director of VeriSign Japan from March 2008 to August 2010 and served as Representative Director of VeriSign Japan from March 2008 to September 2008. Mr. Bidzos served as Vice Chairman of RSA Security Inc., an internet identity and access management solution provider, from March 1999 to May 2002, and Executive Vice President from July 1996 to February 1999. Prior thereto, he served as President and Chief Executive Officer of RSA Data Security, Inc. from 1986 to February 1999.</w:t>
      </w:r>
    </w:p>
    <w:p>
      <w:pPr>
        <w:spacing w:after="0" w:line="129" w:lineRule="exact"/>
        <w:rPr>
          <w:sz w:val="20"/>
          <w:szCs w:val="20"/>
          <w:color w:val="auto"/>
        </w:rPr>
      </w:pPr>
    </w:p>
    <w:p>
      <w:pPr>
        <w:ind w:right="100" w:firstLine="43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Todd B. Strubbe </w:t>
      </w:r>
      <w:r>
        <w:rPr>
          <w:rFonts w:ascii="Times New Roman" w:cs="Times New Roman" w:eastAsia="Times New Roman" w:hAnsi="Times New Roman"/>
          <w:sz w:val="18"/>
          <w:szCs w:val="18"/>
          <w:color w:val="auto"/>
        </w:rPr>
        <w:t>has served as Chief Operating Officer since April 2015 and President since February 2020. From September 2009 to April 2015,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the President of the Unified Communications Business Segment for West Corporation, a provider of technology-driven communications services. Prior to this, he was a co-founder and Managing Partner of Arbor Capital, LLC. He has also served in executive leadership positions at First Data Corporation and CompuBank, N.A. and as an associate and then as an engagement manager with McKinsey &amp; Company, Inc. He also served for five years as an infantry officer with the United States Army. Mr. Strubbe holds an M.B.A. degree from Harvard Business School and a B.S. degree from the United States Military Academy at West Point.</w:t>
      </w:r>
    </w:p>
    <w:p>
      <w:pPr>
        <w:spacing w:after="0" w:line="128" w:lineRule="exact"/>
        <w:rPr>
          <w:sz w:val="20"/>
          <w:szCs w:val="20"/>
          <w:color w:val="auto"/>
        </w:rPr>
      </w:pPr>
    </w:p>
    <w:p>
      <w:pPr>
        <w:ind w:right="300" w:firstLine="43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George E. Kilguss, III </w:t>
      </w:r>
      <w:r>
        <w:rPr>
          <w:rFonts w:ascii="Times New Roman" w:cs="Times New Roman" w:eastAsia="Times New Roman" w:hAnsi="Times New Roman"/>
          <w:sz w:val="18"/>
          <w:szCs w:val="18"/>
          <w:color w:val="auto"/>
        </w:rPr>
        <w:t>has served as Chief Financial Officer since May 2012. From April 2008 to May 2012, he was the Chief Financial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Internap Network Services Corporation, an IT infrastructure solutions company. From December 2003 to December 2007, he served as the Chief Financial Officer of Towerstream Corporation, a company that delivers high speed wireless internet access to businesses. From 1997 to 2000, he served as the Chief Financial Officer of Stratos Global Corporation, a mobile satellite services company. Mr. Kilguss holds an M.B.A. degree from the University of Chicago’s Graduate School of Business and a B.S. degree in Economics and Finance from the University of Hartford.</w:t>
      </w:r>
    </w:p>
    <w:p>
      <w:pPr>
        <w:spacing w:after="0" w:line="125" w:lineRule="exact"/>
        <w:rPr>
          <w:sz w:val="20"/>
          <w:szCs w:val="20"/>
          <w:color w:val="auto"/>
        </w:rPr>
      </w:pPr>
    </w:p>
    <w:p>
      <w:pPr>
        <w:ind w:right="180" w:firstLine="43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Danny R. McPherson</w:t>
      </w:r>
      <w:r>
        <w:rPr>
          <w:rFonts w:ascii="Times New Roman" w:cs="Times New Roman" w:eastAsia="Times New Roman" w:hAnsi="Times New Roman"/>
          <w:sz w:val="18"/>
          <w:szCs w:val="18"/>
          <w:color w:val="auto"/>
        </w:rPr>
        <w:t>, has served as Executive Vice President, Engineering, Operations, and Chief Security Officer since April 2022. From May 2010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April 2022, he served in various roles of increasing responsibility, including as Chief Security Officer. Prior to joining the Company, Mr. McPherson was Chief Security Officer with Arbor Networks, a cybersecurity solutions company, and prior to that held technical leadership positions in architecture, engineering and operations with Amber Networks, a network technology company, Qwest Communications, Inc., a telecommunications company, Genuity, Inc., a technology company, MCI Communications, Inc., a telecommunications company, and the U.S. Army Signal Corps.</w:t>
      </w:r>
    </w:p>
    <w:p>
      <w:pPr>
        <w:spacing w:after="0" w:line="125" w:lineRule="exact"/>
        <w:rPr>
          <w:sz w:val="20"/>
          <w:szCs w:val="20"/>
          <w:color w:val="auto"/>
        </w:rPr>
      </w:pPr>
    </w:p>
    <w:p>
      <w:pPr>
        <w:ind w:right="140" w:firstLine="43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C. Indelicarto </w:t>
      </w:r>
      <w:r>
        <w:rPr>
          <w:rFonts w:ascii="Times New Roman" w:cs="Times New Roman" w:eastAsia="Times New Roman" w:hAnsi="Times New Roman"/>
          <w:sz w:val="18"/>
          <w:szCs w:val="18"/>
          <w:color w:val="auto"/>
        </w:rPr>
        <w:t>has served as General Counsel and Secretary since November 2014. From September 2008 to November 2014, he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and Associate General Counsel. From January 2006 to September 2008, he served as Litigation Counsel. Prior to joining the Company, Mr. Indelicarto was in private practice as an associate at Arnold &amp; Porter LLP and Buchanan Ingersoll (now, Buchanan Ingersoll &amp; Rooney, PC). Mr. Indelicarto also served as a U.S. Army officer for nine years. Mr. Indelicarto holds a J.D. degree from the University of Pittsburgh School of Law and a B.S. degree from Indiana University of Pennsylvania.</w:t>
      </w:r>
    </w:p>
    <w:p>
      <w:pPr>
        <w:spacing w:after="0" w:line="200" w:lineRule="exact"/>
        <w:rPr>
          <w:sz w:val="20"/>
          <w:szCs w:val="20"/>
          <w:color w:val="auto"/>
        </w:rPr>
      </w:pPr>
    </w:p>
    <w:p>
      <w:pPr>
        <w:spacing w:after="0" w:line="3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2" w:lineRule="exact"/>
        <w:rPr>
          <w:sz w:val="20"/>
          <w:szCs w:val="20"/>
          <w:color w:val="auto"/>
        </w:rPr>
      </w:pPr>
    </w:p>
    <w:p>
      <w:pPr>
        <w:ind w:right="100" w:firstLine="439"/>
        <w:spacing w:after="0" w:line="251" w:lineRule="auto"/>
        <w:rPr>
          <w:sz w:val="20"/>
          <w:szCs w:val="20"/>
          <w:color w:val="auto"/>
        </w:rPr>
      </w:pPr>
      <w:r>
        <w:rPr>
          <w:rFonts w:ascii="Times New Roman" w:cs="Times New Roman" w:eastAsia="Times New Roman" w:hAnsi="Times New Roman"/>
          <w:sz w:val="18"/>
          <w:szCs w:val="18"/>
          <w:i w:val="1"/>
          <w:iCs w:val="1"/>
          <w:color w:val="auto"/>
        </w:rPr>
        <w:t>Please carefully consider the following discussion of significant factors, events and uncertainties that make an investment in our securities risky. In addition to other information in this Form 10-K, the following risk factors should be carefully considered in evaluating us and our business. When the factors, events and contingencies described below or elsewhere in this Form 10-K materialize, our business, operating results, financial condition, reputation, cash flows or prospects can be materially adversely affected. In such case, the trading price of our common stock could decline and you could lose part or all of your investment. Additional risks and uncertainties not currently known to us or that we currently deem immaterial may also materially adversely affect our business, operating results, financial condition, reputation, cash flows and prospects. Actual results could differ materially from those projected in the forward-looking statements contained in this Form 10-K as a result of the risk factors discussed below and elsewhere in this Form 10-K and in other filings we make with the SEC.</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Cybersecurity and Technology Risk Factors</w:t>
      </w:r>
    </w:p>
    <w:p>
      <w:pPr>
        <w:spacing w:after="0" w:line="112"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color w:val="auto"/>
        </w:rPr>
        <w:t>Attempted security breaches, including from the exploitation of vulnerabilities, cyber-attacks and Distributed Denial of Service (“DDoS”) attacks against our systems and services increase our costs, expose us to potentially material liability, and could materially harm our business and reputation.</w:t>
      </w:r>
    </w:p>
    <w:p>
      <w:pPr>
        <w:spacing w:after="0" w:line="70" w:lineRule="exact"/>
        <w:rPr>
          <w:sz w:val="20"/>
          <w:szCs w:val="20"/>
          <w:color w:val="auto"/>
        </w:rPr>
      </w:pPr>
    </w:p>
    <w:p>
      <w:pPr>
        <w:ind w:right="40" w:firstLine="399"/>
        <w:spacing w:after="0" w:line="249" w:lineRule="auto"/>
        <w:rPr>
          <w:sz w:val="20"/>
          <w:szCs w:val="20"/>
          <w:color w:val="auto"/>
        </w:rPr>
      </w:pPr>
      <w:r>
        <w:rPr>
          <w:rFonts w:ascii="Times New Roman" w:cs="Times New Roman" w:eastAsia="Times New Roman" w:hAnsi="Times New Roman"/>
          <w:sz w:val="18"/>
          <w:szCs w:val="18"/>
          <w:color w:val="auto"/>
        </w:rPr>
        <w:t>As an operator of critical internet infrastructure, we experience a high rate of cyber-attacks and attempted security breaches targeting our systems and services, including the most sophisticated forms of attacks, such as advanced persistent threat attacks, exploitation of zero-day vulnerabilities, ransomware attacks, and social engineering attacks. The forms of these attacks are constantly evolving and may involve methods, tools, and strategies that may not have been previously identified and may not have been observed until the moment of launch, or until sometime after, making these attacks virtually impossible to anticipate and difficult to defend against. In addition to external threats, our systems and services are subject to insider threat risks, including physical or electronic break-ins, sabotage, and risks from suppliers, such as consultants and advisors, SaaS providers, hardware, software, and network systems manufacturers, regional internet registries, and other vendors, or from current or former contractors or employees. These threats and any resulting security breaches can arise from intentional or unintentional actions. Our continued exposure to these threats and the potential that they could lead to material liability claims against us requires us to expend significant financial and other resources. We have developed policies, standards, and procedures to identify, protect, detect, respond, and recover from threats posed by cybersecurity risks, and failure to comply with these policies, standards, and procedures by our employees or suppliers could limit our ability to effectively manage threats from these cybersecurity risks. In addition, we must ensure that our employees stay focused on cybersecurity threats especially in our hybrid work environment, or our ability to effectively manage cybersecurity risks could be impacted. Our failure to effectively manage these security risks, including insider threats, could result in material harm to our business, including loss of or delay in revenues, failure to meet service level agreements, material liability claims, failure to maintain market acceptance, injury to our reputation, and increased costs, and could call into question our ability to preserve the security and stability of the internet.</w:t>
      </w:r>
    </w:p>
    <w:p>
      <w:pPr>
        <w:spacing w:after="0" w:line="80" w:lineRule="exact"/>
        <w:rPr>
          <w:sz w:val="20"/>
          <w:szCs w:val="20"/>
          <w:color w:val="auto"/>
        </w:rPr>
      </w:pPr>
    </w:p>
    <w:p>
      <w:pPr>
        <w:ind w:right="100" w:firstLine="399"/>
        <w:spacing w:after="0" w:line="267" w:lineRule="auto"/>
        <w:rPr>
          <w:sz w:val="20"/>
          <w:szCs w:val="20"/>
          <w:color w:val="auto"/>
        </w:rPr>
      </w:pPr>
      <w:r>
        <w:rPr>
          <w:rFonts w:ascii="Times New Roman" w:cs="Times New Roman" w:eastAsia="Times New Roman" w:hAnsi="Times New Roman"/>
          <w:sz w:val="17"/>
          <w:szCs w:val="17"/>
          <w:color w:val="auto"/>
        </w:rPr>
        <w:t>Security vulnerabilities in our systems and our vendors’ systems, including vulnerabilities in third party software and hardware, pose a material risk to our operations. We use externally-developed technology, systems, and services, including both hardware and software, for a variety of purposes, including compute, storage, encryption and authentication, back-office support, and other functions. We have developed policies, standards, and procedures to reduce the impact of security vulnerabilities in system components, as well as at any vendors where our data is stored or processed. However, such measures cannot provide absolute security. While we strive to remediate known vulnerabilities on a timely basis, such vulnerabilities could be exploited before our remediation is effective and if so, could cause systems and service interruptions, data loss and other damages. Our failure to identify, remediate and mitigate security vulnerabilities, including any potential failure to timely replace and upgrade hardware, software, or other technology assets, could result in material harm to our business, including loss of or delay in revenues, failure to meet service level agreements, material liability claims, failure to maintain market acceptance, injury to our reputation, increased costs, and call into question our ability to preserve the security and stability of the internet.</w:t>
      </w:r>
    </w:p>
    <w:p>
      <w:pPr>
        <w:spacing w:after="0" w:line="66"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18"/>
          <w:szCs w:val="18"/>
          <w:color w:val="auto"/>
        </w:rPr>
        <w:t>In addition, our networks have been, and likely will continue to be, subject to DDoS attacks. Recent industry experience has demonstrated that DDoS attacks continue to grow in size and sophistication and have the ability to widely disrupt internet services. While we have adopted mitigation techniques, procedures, and strategies to defend against DDoS attacks, and have successfully mitigated DDoS attacks to date, there can be no assurance that we will be able to defend against every attack, especially as the attacks increase in size and sophistication. Any attack, even if only partially successful, could disrupt our networks, increase response time, negatively impact our ability to meet our service level agreements, and generally impede our ability to provide reliable service to our customers and the broader internet community. We have historically incurred, and will continue to incur, significant costs to enable our infrastructure to process levels of attack traffic that can be substantially larger than our normal transaction volume. We are employing new technologies and new and different services and capabilities to help mitigate DDoS attacks. If these new technologies, services and capabilities are not effective, our infrastructure could be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8"/>
          <w:szCs w:val="18"/>
          <w:color w:val="auto"/>
        </w:rPr>
        <w:t>disrupted, our response times could increase, our ability to meet our service level agreements could be negatively impacted, and our ability to provide reliable service to our customers and the broader internet community could be impeded.</w:t>
      </w:r>
    </w:p>
    <w:p>
      <w:pPr>
        <w:spacing w:after="0" w:line="56"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18"/>
          <w:szCs w:val="18"/>
          <w:color w:val="auto"/>
        </w:rPr>
        <w:t>In addition, we are subject to social engineering attacks including phishing, spear phishing, whaling, vishing, smishing, and domain spoofing, which are designed to entice people to divulge sensitive information or take actions that, if successful, could pose a material risk to our operations. The number of such attacks is increasing. Social engineering attacks have occurred in concert with ransomware attacks. While we deploy advanced tools and conduct continuous security awareness training to address social engineering attacks, such measures cannot provide absolute security. Similarly, although we implement redundant architecture and multiple recovery solutions, and conduct periodic exercises to mitigate the threat of ransomware, we still may be subject to successful ransomware attacks. Our failure to prevent such attacks, including any successful social engineering attack, could result in our inability to meet our service legal agreements and could otherwise materially harm our business, including from legal claims, governmental investigations and scrutiny, injury to our reputation, and increased costs.</w:t>
      </w:r>
    </w:p>
    <w:p>
      <w:pPr>
        <w:spacing w:after="0" w:line="79" w:lineRule="exact"/>
        <w:rPr>
          <w:sz w:val="20"/>
          <w:szCs w:val="20"/>
          <w:color w:val="auto"/>
        </w:rPr>
      </w:pPr>
    </w:p>
    <w:p>
      <w:pPr>
        <w:ind w:right="180" w:firstLine="399"/>
        <w:spacing w:after="0" w:line="276" w:lineRule="auto"/>
        <w:rPr>
          <w:sz w:val="20"/>
          <w:szCs w:val="20"/>
          <w:color w:val="auto"/>
        </w:rPr>
      </w:pPr>
      <w:r>
        <w:rPr>
          <w:rFonts w:ascii="Times New Roman" w:cs="Times New Roman" w:eastAsia="Times New Roman" w:hAnsi="Times New Roman"/>
          <w:sz w:val="18"/>
          <w:szCs w:val="18"/>
          <w:color w:val="auto"/>
        </w:rPr>
        <w:t>We do not maintain specific reserves for security breaches, cyber-attacks and DDoS attacks against our systems and the amount of insurance coverage we maintain may be inadequate to cover claims or liabilities relating to such attacks.</w:t>
      </w:r>
    </w:p>
    <w:p>
      <w:pPr>
        <w:spacing w:after="0" w:line="54"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b w:val="1"/>
          <w:bCs w:val="1"/>
          <w:color w:val="auto"/>
        </w:rPr>
        <w:t>We may introduce undetected or unknown defects into our systems or services, which could materially harm our business and harm our vendors or our customers.</w:t>
      </w:r>
    </w:p>
    <w:p>
      <w:pPr>
        <w:spacing w:after="0" w:line="55" w:lineRule="exact"/>
        <w:rPr>
          <w:sz w:val="20"/>
          <w:szCs w:val="20"/>
          <w:color w:val="auto"/>
        </w:rPr>
      </w:pPr>
    </w:p>
    <w:p>
      <w:pPr>
        <w:ind w:right="20" w:firstLine="399"/>
        <w:spacing w:after="0" w:line="252" w:lineRule="auto"/>
        <w:rPr>
          <w:sz w:val="20"/>
          <w:szCs w:val="20"/>
          <w:color w:val="auto"/>
        </w:rPr>
      </w:pPr>
      <w:r>
        <w:rPr>
          <w:rFonts w:ascii="Times New Roman" w:cs="Times New Roman" w:eastAsia="Times New Roman" w:hAnsi="Times New Roman"/>
          <w:sz w:val="18"/>
          <w:szCs w:val="18"/>
          <w:color w:val="auto"/>
        </w:rPr>
        <w:t>Despite testing, services as complex as those we offer or develop could contain undetected defects or errors, which could result in service outages or disruptions, compromised customer data, including DNS data, diversion of development resources, injury to our reputation, legal claims, increased insurance costs or increased service costs. Performance of our services, whether or not defective, could have unforeseen or unknown adverse effects on the networks over which they are delivered, on internet users and consumers, and on third-party applications and services that use our services, any of which could result in legal claims against us. While we strive to prevent, detect and remediate defects or errors, they can and do occur and they could result in our inability to meet customer expectations in a timely manner, failure to meet our service level agreements, injury to our reputation, and increased costs.</w:t>
      </w:r>
    </w:p>
    <w:p>
      <w:pPr>
        <w:spacing w:after="0" w:line="78"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18"/>
          <w:szCs w:val="18"/>
          <w:b w:val="1"/>
          <w:bCs w:val="1"/>
          <w:color w:val="auto"/>
        </w:rPr>
        <w:t>Our infrastructure and services are subject to vulnerabilities in the global routing system for the internet, as well as risks arising from internet services providers’ increasing adoption of the Resource Public Key Infrastructure system.</w:t>
      </w:r>
    </w:p>
    <w:p>
      <w:pPr>
        <w:spacing w:after="0" w:line="55"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18"/>
          <w:szCs w:val="18"/>
          <w:color w:val="auto"/>
        </w:rPr>
        <w:t>Routing on the internet depends on the Border Gateway Protocol (“BGP”), which is a protocol that relies on networks within the internet infrastructure acting in a trustworthy manner when sharing information about destinations for connectivity and the routing of internet traffic. As a trust-based protocol, BGP has a number of vulnerabilities that may lead to outages or disrupt our services, including as a result of “route hijacks” that involve accidental or malicious rerouting of internet traffic, or “route leaks” that involve the malicious or unintentional propagation of routing information beyond the intended scope of the originator, receiver, and/or one of the networks along the route’s path. Both route hijacks and route leaks can result in partial or full rerouting of internet traffic for the impacted destinations. These types of events, which are generally beyond our control, could enable an array of attack conditions or service disruptions, and could result in adverse publicity and adversely affect the public’s perception of the security of e-commerce and communications over the internet, as well as of the security or reliability of our services.</w:t>
      </w:r>
    </w:p>
    <w:p>
      <w:pPr>
        <w:spacing w:after="0" w:line="79" w:lineRule="exact"/>
        <w:rPr>
          <w:sz w:val="20"/>
          <w:szCs w:val="20"/>
          <w:color w:val="auto"/>
        </w:rPr>
      </w:pPr>
    </w:p>
    <w:p>
      <w:pPr>
        <w:ind w:firstLine="399"/>
        <w:spacing w:after="0" w:line="249" w:lineRule="auto"/>
        <w:rPr>
          <w:sz w:val="20"/>
          <w:szCs w:val="20"/>
          <w:color w:val="auto"/>
        </w:rPr>
      </w:pPr>
      <w:r>
        <w:rPr>
          <w:rFonts w:ascii="Times New Roman" w:cs="Times New Roman" w:eastAsia="Times New Roman" w:hAnsi="Times New Roman"/>
          <w:sz w:val="18"/>
          <w:szCs w:val="18"/>
          <w:color w:val="auto"/>
        </w:rPr>
        <w:t>To address internet routing system vulnerabilities, many internet service providers have adopted and apply internet reachability policies based on a system known as the Resource Public Key Infrastructure (“RPKI”) operated by the regional internet registries (“RIRs”). The RIRs allocate internet number resources, such as internet protocol addresses, to enterprises and network operators. We have limited visibility into the maturity of and investment in the RIRs’ operational and security controls, which are outside of our control. When the availability, integrity, or confidentiality of any of the information in the RPKI system, or systems used to maintain and administer RPKI data and systems, are impacted or otherwise compromised in any of the RIRs, or any network operator that is a relying party of the RPKI system, or the operations or ingestion of data from the RPKI system are otherwise impacted by a known or unknown vulnerability, our services may be negatively impacted. Such impacts may include degraded or full loss of reachability of service addresses in the global internet routing system, resulting in degradation or complete loss of availability of our registration and resolution services. A compromise of the RPKI system and related services, or unintentional or unauthorized manipulation of data therein, may also result in other denial of service attack conditions for our infrastructure and services. The systemic dependencies introduced by RPKI and the relying parties of the RPKI system, including network service providers, are outside of our control, and systems that depend upon the RPKI may be only as secure as the weakest elements of the RPKI system. Contracting with RIRs for the provision of and access to RPKI services carries material operational risks, as described above, as well as material contractual risks, which may expose us to service disruptions and material liability.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8"/>
          <w:szCs w:val="18"/>
          <w:b w:val="1"/>
          <w:bCs w:val="1"/>
          <w:color w:val="auto"/>
        </w:rPr>
        <w:t>We could encounter system interruptions or systems failures resulting from activities beyond our direct control that could materially harm our business.</w:t>
      </w:r>
    </w:p>
    <w:p>
      <w:pPr>
        <w:spacing w:after="0" w:line="55" w:lineRule="exact"/>
        <w:rPr>
          <w:sz w:val="20"/>
          <w:szCs w:val="20"/>
          <w:color w:val="auto"/>
        </w:rPr>
      </w:pPr>
    </w:p>
    <w:p>
      <w:pPr>
        <w:ind w:right="40" w:firstLine="399"/>
        <w:spacing w:after="0" w:line="268" w:lineRule="auto"/>
        <w:rPr>
          <w:sz w:val="20"/>
          <w:szCs w:val="20"/>
          <w:color w:val="auto"/>
        </w:rPr>
      </w:pPr>
      <w:r>
        <w:rPr>
          <w:rFonts w:ascii="Times New Roman" w:cs="Times New Roman" w:eastAsia="Times New Roman" w:hAnsi="Times New Roman"/>
          <w:sz w:val="17"/>
          <w:szCs w:val="17"/>
          <w:color w:val="auto"/>
        </w:rPr>
        <w:t>We depend on the uninterrupted operation of our various systems, secure data centers, and other computer and communication networks. Our systems and operations are vulnerable to damage or interruption from power loss, transmission cable cuts and other telecommunications failures, damage or interruption caused by fire, earthquake, and other natural disasters, intentional acts of vandalism, terrorist attacks, unintentional mistakes, or errors. Our systems and operations also face risks inherent in, or arising from, the terms and conditions of our agreements with service providers to operate our networks and data centers. We are also subject to the risk of state suppression of internet operations. Any of these problems or outages could create potential liability and exposure, including from a failure to meet our service level agreements, and could decrease customer satisfaction, harming our business, or resulting in adverse publicity and damage to our reputation or call into question our ability to preserve the security and stability of the internet.</w:t>
      </w:r>
    </w:p>
    <w:p>
      <w:pPr>
        <w:spacing w:after="0" w:line="67"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b w:val="1"/>
          <w:bCs w:val="1"/>
          <w:color w:val="auto"/>
        </w:rPr>
        <w:t>Our data centers, our data center systems, including the Shared Registration Systems located at our data centers, and our resolution systems are vulnerable to damage or interruption, which could impede our ability to provide our services, expose us to material liability, and materially harm our reputation.</w:t>
      </w:r>
    </w:p>
    <w:p>
      <w:pPr>
        <w:spacing w:after="0" w:line="70" w:lineRule="exact"/>
        <w:rPr>
          <w:sz w:val="20"/>
          <w:szCs w:val="20"/>
          <w:color w:val="auto"/>
        </w:rPr>
      </w:pPr>
    </w:p>
    <w:p>
      <w:pPr>
        <w:ind w:right="20" w:firstLine="399"/>
        <w:spacing w:after="0" w:line="265" w:lineRule="auto"/>
        <w:rPr>
          <w:sz w:val="20"/>
          <w:szCs w:val="20"/>
          <w:color w:val="auto"/>
        </w:rPr>
      </w:pPr>
      <w:r>
        <w:rPr>
          <w:rFonts w:ascii="Times New Roman" w:cs="Times New Roman" w:eastAsia="Times New Roman" w:hAnsi="Times New Roman"/>
          <w:sz w:val="17"/>
          <w:szCs w:val="17"/>
          <w:color w:val="auto"/>
        </w:rPr>
        <w:t>Most of the computing infrastructure for our Shared Registration System is located at, and most of our customer information is stored in, data centers we own or lease and operate. In 2019, we expanded some of our data center services to a leased data center facility. These data centers are vulnerable to damage or interruption, including from natural disasters, such as fires, earthquakes, hurricanes, and floods, power loss, hardware or system failures, physical or electronic break-ins, human error or interference. We are also updating our network architecture in several of our new and existing data centers. If our data center facilities or the updated network architecture do not operate as expected, including the ability to quickly switch over between sites, we could experience service interruptions or outages. A failure in the operation of our Shared Registration System could result in the inability of one or more registrars to register or manage domain names for a period of time. If such a registrar has not implemented robust services in a manner that preserves transactions until processed by the registry, then the failure in the operation of our Shared Registration System could result in permanent loss of transactions at the registrar during that period. A failure in the operation of our Shared Registration System could also impact our ability to provide up-to-date information in our resolution systems, which could result in breaches of our service level agreements pertaining to our resolution services and impact the resolution of domain names on the internet. Although we carry insurance, we do not carry insurance or designated financial reserves for such interruptions.</w:t>
      </w:r>
    </w:p>
    <w:p>
      <w:pPr>
        <w:spacing w:after="0" w:line="75" w:lineRule="exact"/>
        <w:rPr>
          <w:sz w:val="20"/>
          <w:szCs w:val="20"/>
          <w:color w:val="auto"/>
        </w:rPr>
      </w:pPr>
    </w:p>
    <w:p>
      <w:pPr>
        <w:ind w:right="60" w:firstLine="399"/>
        <w:spacing w:after="0" w:line="252" w:lineRule="auto"/>
        <w:rPr>
          <w:sz w:val="20"/>
          <w:szCs w:val="20"/>
          <w:color w:val="auto"/>
        </w:rPr>
      </w:pPr>
      <w:r>
        <w:rPr>
          <w:rFonts w:ascii="Times New Roman" w:cs="Times New Roman" w:eastAsia="Times New Roman" w:hAnsi="Times New Roman"/>
          <w:sz w:val="18"/>
          <w:szCs w:val="18"/>
          <w:color w:val="auto"/>
        </w:rPr>
        <w:t>In addition, our services depend on the secure and efficient operation of the internet connections to and from customers to our Shared Registration System residing in our secure data centers. These connections depend upon the secure and efficient operation of internet service providers, internet exchange point operators, and internet backbone service providers. Such providers have encountered periodic operational problems or experienced outages in the past beyond our scope of control and may continue to encounter problems and outages or may choose to discontinue their service. If the providers that our connections depend upon do not protect, maintain, improve, and reinvest in their networks or present inconsistent, incorrect, or invalid data regarding DNS responses through their networks, our business could be harmed.</w:t>
      </w:r>
    </w:p>
    <w:p>
      <w:pPr>
        <w:spacing w:after="0" w:line="80"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18"/>
          <w:szCs w:val="18"/>
          <w:color w:val="auto"/>
        </w:rPr>
        <w:t>A failure in the operation or update of the root zone servers, the root zone file, the Root Zone Management System, the TLD name servers, the TLD zone files that we operate, or other network functions, could result in, among other problems, (1) a DNS resolution or other service outage or degradation, (2) the deletion of one or more gTLDs or ccTLDs from the internet, (3) the deletion of one or more second-level domain names from the internet, or (4) a misdirection of one or more domain names to different servers. A failure in the operation or update of the supporting cryptographic and other operational infrastructure that we maintain could result in similar consequences. Any of these problems or outages could create potential material liability and exposure from litigation and investigations, could result in a failure to meet our service level agreements, and could decrease customer satisfaction, harming our business. These problems could also result in adverse publicity, decrease the public’s trust in the security of e-commerce, or call into question our ability to preserve the security and stability of the internet.</w:t>
      </w:r>
    </w:p>
    <w:p>
      <w:pPr>
        <w:spacing w:after="0" w:line="79" w:lineRule="exact"/>
        <w:rPr>
          <w:sz w:val="20"/>
          <w:szCs w:val="20"/>
          <w:color w:val="auto"/>
        </w:rPr>
      </w:pPr>
    </w:p>
    <w:p>
      <w:pPr>
        <w:ind w:right="40" w:firstLine="399"/>
        <w:spacing w:after="0" w:line="252" w:lineRule="auto"/>
        <w:rPr>
          <w:sz w:val="20"/>
          <w:szCs w:val="20"/>
          <w:color w:val="auto"/>
        </w:rPr>
      </w:pPr>
      <w:r>
        <w:rPr>
          <w:rFonts w:ascii="Times New Roman" w:cs="Times New Roman" w:eastAsia="Times New Roman" w:hAnsi="Times New Roman"/>
          <w:sz w:val="18"/>
          <w:szCs w:val="18"/>
          <w:color w:val="auto"/>
        </w:rPr>
        <w:t>We retain certain customer and employee information in our data centers and various domain name registration systems. Any physical or electronic break-in or other security breach or compromise of the information stored at our data centers or domain name registration systems may jeopardize the security of information we retain or that is retained in the computer systems and networks of our customers. In such an event, we could face material liability and exposure from litigation and investigations, fail to meet service level agreements, or be at risk for loss of various security and standards-based compliance certifications needed for operation of our businesses, and customers could be reluctant to use our services, any of which could also adversely affect our reputation and harm our business or cause financial losses that are either not insured against or not fully covered through any insurance.</w:t>
      </w: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risks from the operation of the root server system and our performance of the Root Zone Maintainer functions under the RZMA.</w:t>
      </w:r>
    </w:p>
    <w:p>
      <w:pPr>
        <w:spacing w:after="0" w:line="114" w:lineRule="exact"/>
        <w:rPr>
          <w:sz w:val="20"/>
          <w:szCs w:val="20"/>
          <w:color w:val="auto"/>
        </w:rPr>
      </w:pPr>
    </w:p>
    <w:p>
      <w:pPr>
        <w:ind w:right="40" w:firstLine="399"/>
        <w:spacing w:after="0" w:line="252" w:lineRule="auto"/>
        <w:rPr>
          <w:sz w:val="20"/>
          <w:szCs w:val="20"/>
          <w:color w:val="auto"/>
        </w:rPr>
      </w:pPr>
      <w:r>
        <w:rPr>
          <w:rFonts w:ascii="Times New Roman" w:cs="Times New Roman" w:eastAsia="Times New Roman" w:hAnsi="Times New Roman"/>
          <w:sz w:val="18"/>
          <w:szCs w:val="18"/>
          <w:color w:val="auto"/>
        </w:rPr>
        <w:t>Although the overall root server system is redundant and dispersed, a failure or interruption in the operation of the root server system could impact the effectiveness of our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authoritative servers and therefore negatively impact directory services necessary for the operation of the internet. We also have an important operational role in support of a key Internet Assigned Numbers Authority (“IANA”) function as the Root Zone Maintainer. In this role, we provision and publish the authoritative root zone data and make it available to all root server operators under the RZMA with ICANN. If we make errors in the publication of the root zone, we may be subject to material claims challenging the RZMA or our performance under it, including tort claims, and we may not have immunity from, or sufficient indemnification or insurance for, such claims.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Contractual, Regulatory, Legal and Compliance Risk Factors</w:t>
      </w:r>
    </w:p>
    <w:p>
      <w:pPr>
        <w:spacing w:after="0" w:line="110"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b w:val="1"/>
          <w:bCs w:val="1"/>
          <w:color w:val="auto"/>
        </w:rPr>
        <w:t>Any loss or modification of our right to operate the .</w:t>
      </w:r>
      <w:r>
        <w:rPr>
          <w:rFonts w:ascii="Times New Roman" w:cs="Times New Roman" w:eastAsia="Times New Roman" w:hAnsi="Times New Roman"/>
          <w:sz w:val="18"/>
          <w:szCs w:val="18"/>
          <w:b w:val="1"/>
          <w:bCs w:val="1"/>
          <w:i w:val="1"/>
          <w:iCs w:val="1"/>
          <w:color w:val="auto"/>
        </w:rPr>
        <w:t>com</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i w:val="1"/>
          <w:iCs w:val="1"/>
          <w:color w:val="auto"/>
        </w:rPr>
        <w:t>net</w:t>
      </w:r>
      <w:r>
        <w:rPr>
          <w:rFonts w:ascii="Times New Roman" w:cs="Times New Roman" w:eastAsia="Times New Roman" w:hAnsi="Times New Roman"/>
          <w:sz w:val="18"/>
          <w:szCs w:val="18"/>
          <w:b w:val="1"/>
          <w:bCs w:val="1"/>
          <w:color w:val="auto"/>
        </w:rPr>
        <w:t xml:space="preserve"> gTLDs could have a material adverse impact on our business and result in loss of revenues.</w:t>
      </w:r>
    </w:p>
    <w:p>
      <w:pPr>
        <w:spacing w:after="0" w:line="52" w:lineRule="exact"/>
        <w:rPr>
          <w:sz w:val="20"/>
          <w:szCs w:val="20"/>
          <w:color w:val="auto"/>
        </w:rPr>
      </w:pPr>
    </w:p>
    <w:p>
      <w:pPr>
        <w:ind w:firstLine="399"/>
        <w:spacing w:after="0" w:line="250" w:lineRule="auto"/>
        <w:rPr>
          <w:sz w:val="20"/>
          <w:szCs w:val="20"/>
          <w:color w:val="auto"/>
        </w:rPr>
      </w:pPr>
      <w:r>
        <w:rPr>
          <w:rFonts w:ascii="Times New Roman" w:cs="Times New Roman" w:eastAsia="Times New Roman" w:hAnsi="Times New Roman"/>
          <w:sz w:val="18"/>
          <w:szCs w:val="18"/>
          <w:color w:val="auto"/>
        </w:rPr>
        <w:t>Substantially all of our revenues are derived from our operation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gTLD under our Cooperative Agreement with the DOC and our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as well as our operation of the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gTLD under our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Registry Agreement. Any loss or modification of our right to operate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gTLDs could materially and adversely impact our ability to conduct our business and result in loss of revenues. Our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Registry Agreements contain “presumptive” rights of renewal upon the expiration of their current terms on November 30, 2024 and June 30, 2023, respectively. ICANN could refuse to renew upon expiration or terminate our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or our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Registry Agreement if, upon proper notice, (1) we fail to cure a fundamental and material breach of certain specified obligations, and (2) we fail to timely comply with a final decision of an arbitrator or court. Additionally, each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Registry Agreements provide that if certain terms of these agreements are not similar to such terms generally in effect in the registry agreements of the five largest gTLDs, then a renewal of these agreements would be upon terms reasonably necessary to render such terms to be similar to the registry agreements for those other gTLDs. Any such terms, if they apply, could be unfavorable to us and have a material adverse impact on our business.</w:t>
      </w:r>
    </w:p>
    <w:p>
      <w:pPr>
        <w:spacing w:after="0" w:line="80" w:lineRule="exact"/>
        <w:rPr>
          <w:sz w:val="20"/>
          <w:szCs w:val="20"/>
          <w:color w:val="auto"/>
        </w:rPr>
      </w:pPr>
    </w:p>
    <w:p>
      <w:pPr>
        <w:ind w:right="40" w:firstLine="399"/>
        <w:spacing w:after="0" w:line="257" w:lineRule="auto"/>
        <w:rPr>
          <w:sz w:val="20"/>
          <w:szCs w:val="20"/>
          <w:color w:val="auto"/>
        </w:rPr>
      </w:pPr>
      <w:r>
        <w:rPr>
          <w:rFonts w:ascii="Times New Roman" w:cs="Times New Roman" w:eastAsia="Times New Roman" w:hAnsi="Times New Roman"/>
          <w:sz w:val="18"/>
          <w:szCs w:val="18"/>
          <w:color w:val="auto"/>
        </w:rPr>
        <w:t>Standard renewals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do not require further DOC approval, although the prior written approval of the DOC is required for the removal of, or any changes to the pricing section (other than as approved in Amendment 35 to the Cooperative Agreement), and for changes to certain other specified terms whether such removal or changes are made at a renewal or otherwise. We can provide no assurances that DOC approval would be provided upon our request for any of these changes.</w:t>
      </w:r>
    </w:p>
    <w:p>
      <w:pPr>
        <w:spacing w:after="0" w:line="72" w:lineRule="exact"/>
        <w:rPr>
          <w:sz w:val="20"/>
          <w:szCs w:val="20"/>
          <w:color w:val="auto"/>
        </w:rPr>
      </w:pPr>
    </w:p>
    <w:p>
      <w:pPr>
        <w:ind w:right="20" w:firstLine="399"/>
        <w:spacing w:after="0" w:line="254" w:lineRule="auto"/>
        <w:rPr>
          <w:sz w:val="20"/>
          <w:szCs w:val="20"/>
          <w:color w:val="auto"/>
        </w:rPr>
      </w:pPr>
      <w:r>
        <w:rPr>
          <w:rFonts w:ascii="Times New Roman" w:cs="Times New Roman" w:eastAsia="Times New Roman" w:hAnsi="Times New Roman"/>
          <w:sz w:val="18"/>
          <w:szCs w:val="18"/>
          <w:color w:val="auto"/>
        </w:rPr>
        <w:t>In addition, under Amendment 35 to the Cooperative Agreement, we have agreed to continue to operate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gTLD in a content-neutral manner and to work within ICANN processes to promote the development of content-neutral policies for the operation of the DNS, and under our binding letter of intent with ICANN, we have agreed to work with the ICANN community to develop certain best practices and other commitments for the security, stability and resiliency of the DNS and the internet. Such policies and processes could expose us to compliance costs and substantial liability and result in costly and time-consuming investigations or litigation.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Changes or challenges to the pricing provisions in the </w:t>
      </w:r>
      <w:r>
        <w:rPr>
          <w:rFonts w:ascii="Times New Roman" w:cs="Times New Roman" w:eastAsia="Times New Roman" w:hAnsi="Times New Roman"/>
          <w:sz w:val="18"/>
          <w:szCs w:val="18"/>
          <w:b w:val="1"/>
          <w:bCs w:val="1"/>
          <w:i w:val="1"/>
          <w:iCs w:val="1"/>
          <w:color w:val="auto"/>
        </w:rPr>
        <w:t>.com</w:t>
      </w:r>
      <w:r>
        <w:rPr>
          <w:rFonts w:ascii="Times New Roman" w:cs="Times New Roman" w:eastAsia="Times New Roman" w:hAnsi="Times New Roman"/>
          <w:sz w:val="18"/>
          <w:szCs w:val="18"/>
          <w:b w:val="1"/>
          <w:bCs w:val="1"/>
          <w:color w:val="auto"/>
        </w:rPr>
        <w:t xml:space="preserve"> Registry Agreement could have a material adverse impact on our business.</w:t>
      </w:r>
    </w:p>
    <w:p>
      <w:pPr>
        <w:spacing w:after="0" w:line="114" w:lineRule="exact"/>
        <w:rPr>
          <w:sz w:val="20"/>
          <w:szCs w:val="20"/>
          <w:color w:val="auto"/>
        </w:rPr>
      </w:pPr>
    </w:p>
    <w:p>
      <w:pPr>
        <w:ind w:right="20" w:firstLine="399"/>
        <w:spacing w:after="0" w:line="265" w:lineRule="auto"/>
        <w:rPr>
          <w:sz w:val="20"/>
          <w:szCs w:val="20"/>
          <w:color w:val="auto"/>
        </w:rPr>
      </w:pPr>
      <w:r>
        <w:rPr>
          <w:rFonts w:ascii="Times New Roman" w:cs="Times New Roman" w:eastAsia="Times New Roman" w:hAnsi="Times New Roman"/>
          <w:sz w:val="17"/>
          <w:szCs w:val="17"/>
          <w:color w:val="auto"/>
        </w:rPr>
        <w:t xml:space="preserve">Under the terms of the </w:t>
      </w:r>
      <w:r>
        <w:rPr>
          <w:rFonts w:ascii="Times New Roman" w:cs="Times New Roman" w:eastAsia="Times New Roman" w:hAnsi="Times New Roman"/>
          <w:sz w:val="17"/>
          <w:szCs w:val="17"/>
          <w:i w:val="1"/>
          <w:iCs w:val="1"/>
          <w:color w:val="auto"/>
        </w:rPr>
        <w:t>.com</w:t>
      </w:r>
      <w:r>
        <w:rPr>
          <w:rFonts w:ascii="Times New Roman" w:cs="Times New Roman" w:eastAsia="Times New Roman" w:hAnsi="Times New Roman"/>
          <w:sz w:val="17"/>
          <w:szCs w:val="17"/>
          <w:color w:val="auto"/>
        </w:rPr>
        <w:t xml:space="preserve"> Registry Agreement, we may increase the annual fee of each </w:t>
      </w:r>
      <w:r>
        <w:rPr>
          <w:rFonts w:ascii="Times New Roman" w:cs="Times New Roman" w:eastAsia="Times New Roman" w:hAnsi="Times New Roman"/>
          <w:sz w:val="17"/>
          <w:szCs w:val="17"/>
          <w:i w:val="1"/>
          <w:iCs w:val="1"/>
          <w:color w:val="auto"/>
        </w:rPr>
        <w:t>.com</w:t>
      </w:r>
      <w:r>
        <w:rPr>
          <w:rFonts w:ascii="Times New Roman" w:cs="Times New Roman" w:eastAsia="Times New Roman" w:hAnsi="Times New Roman"/>
          <w:sz w:val="17"/>
          <w:szCs w:val="17"/>
          <w:color w:val="auto"/>
        </w:rPr>
        <w:t xml:space="preserve"> domain name registration or renewal by up to 7% over the previous year in each of the final four years of each six-year period. We can provide no assurance that we will exercise such right to increase the annual fee. In addition to this contractual right, we are entitled to increase the annual fee of each </w:t>
      </w:r>
      <w:r>
        <w:rPr>
          <w:rFonts w:ascii="Times New Roman" w:cs="Times New Roman" w:eastAsia="Times New Roman" w:hAnsi="Times New Roman"/>
          <w:sz w:val="17"/>
          <w:szCs w:val="17"/>
          <w:i w:val="1"/>
          <w:iCs w:val="1"/>
          <w:color w:val="auto"/>
        </w:rPr>
        <w:t>.com</w:t>
      </w:r>
      <w:r>
        <w:rPr>
          <w:rFonts w:ascii="Times New Roman" w:cs="Times New Roman" w:eastAsia="Times New Roman" w:hAnsi="Times New Roman"/>
          <w:sz w:val="17"/>
          <w:szCs w:val="17"/>
          <w:color w:val="auto"/>
        </w:rPr>
        <w:t xml:space="preserve"> domain name registration or renewal by up to 7% due to the imposition of any new specifications or policies adopted by ICANN pursuant to the procedures set forth in its bylaws and due process (“Consensus Policies”) or documented extraordinary expense resulting from an attack or threat of attack on the security and stability of the DNS (an “Extraordinary Expense”). In addition, our ability to increase the price for </w:t>
      </w:r>
      <w:r>
        <w:rPr>
          <w:rFonts w:ascii="Times New Roman" w:cs="Times New Roman" w:eastAsia="Times New Roman" w:hAnsi="Times New Roman"/>
          <w:sz w:val="17"/>
          <w:szCs w:val="17"/>
          <w:i w:val="1"/>
          <w:iCs w:val="1"/>
          <w:color w:val="auto"/>
        </w:rPr>
        <w:t>.com</w:t>
      </w:r>
      <w:r>
        <w:rPr>
          <w:rFonts w:ascii="Times New Roman" w:cs="Times New Roman" w:eastAsia="Times New Roman" w:hAnsi="Times New Roman"/>
          <w:sz w:val="17"/>
          <w:szCs w:val="17"/>
          <w:color w:val="auto"/>
        </w:rPr>
        <w:t xml:space="preserve"> domain name registrations and renewals due to a Consensus Policy or Extraordinary Expense may occur only in years in which we do not increase the price for </w:t>
      </w:r>
      <w:r>
        <w:rPr>
          <w:rFonts w:ascii="Times New Roman" w:cs="Times New Roman" w:eastAsia="Times New Roman" w:hAnsi="Times New Roman"/>
          <w:sz w:val="17"/>
          <w:szCs w:val="17"/>
          <w:i w:val="1"/>
          <w:iCs w:val="1"/>
          <w:color w:val="auto"/>
        </w:rPr>
        <w:t>.com</w:t>
      </w:r>
      <w:r>
        <w:rPr>
          <w:rFonts w:ascii="Times New Roman" w:cs="Times New Roman" w:eastAsia="Times New Roman" w:hAnsi="Times New Roman"/>
          <w:sz w:val="17"/>
          <w:szCs w:val="17"/>
          <w:color w:val="auto"/>
        </w:rPr>
        <w:t xml:space="preserve"> domain name registrations and renewals as described above. It is uncertain whether circumstances would arise that would permit us to take a price increase due to a Consensus Policy or Extraordinary Expense, or if they do, whether we would seek to increase the price for </w:t>
      </w:r>
      <w:r>
        <w:rPr>
          <w:rFonts w:ascii="Times New Roman" w:cs="Times New Roman" w:eastAsia="Times New Roman" w:hAnsi="Times New Roman"/>
          <w:sz w:val="17"/>
          <w:szCs w:val="17"/>
          <w:i w:val="1"/>
          <w:iCs w:val="1"/>
          <w:color w:val="auto"/>
        </w:rPr>
        <w:t>.com</w:t>
      </w:r>
      <w:r>
        <w:rPr>
          <w:rFonts w:ascii="Times New Roman" w:cs="Times New Roman" w:eastAsia="Times New Roman" w:hAnsi="Times New Roman"/>
          <w:sz w:val="17"/>
          <w:szCs w:val="17"/>
          <w:color w:val="auto"/>
        </w:rPr>
        <w:t xml:space="preserve"> domain name registrations for this reason. A failure to seek and obtain a price increase due to a Consensus Policy or Extraordinary Expense, when available, could negatively affect our operating results. We also have the right under the Cooperative Agreement to seek the removal of these pricing restrictions on the </w:t>
      </w:r>
      <w:r>
        <w:rPr>
          <w:rFonts w:ascii="Times New Roman" w:cs="Times New Roman" w:eastAsia="Times New Roman" w:hAnsi="Times New Roman"/>
          <w:sz w:val="17"/>
          <w:szCs w:val="17"/>
          <w:i w:val="1"/>
          <w:iCs w:val="1"/>
          <w:color w:val="auto"/>
        </w:rPr>
        <w:t>.com</w:t>
      </w:r>
      <w:r>
        <w:rPr>
          <w:rFonts w:ascii="Times New Roman" w:cs="Times New Roman" w:eastAsia="Times New Roman" w:hAnsi="Times New Roman"/>
          <w:sz w:val="17"/>
          <w:szCs w:val="17"/>
          <w:color w:val="auto"/>
        </w:rPr>
        <w:t xml:space="preserve"> gTLD if we demonstrate to the DOC that market conditions no longer warrant these restrictions. However, we can provide no assurances whether we will seek the removal of these restrictions, or whether the DOC would approve the removal of these restrictions.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160" w:firstLine="399"/>
        <w:spacing w:after="0" w:line="262"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including its pricing provisions, has faced, and could face in the future, challenges, including possible legal challenges, or challenges under ICANN’s accountability mechanisms, from ICANN, registrars, registrants, and others, and any adverse outcome from these challenges could have a material adverse effect on our business.</w:t>
      </w:r>
    </w:p>
    <w:p>
      <w:pPr>
        <w:spacing w:after="0" w:line="68"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b w:val="1"/>
          <w:bCs w:val="1"/>
          <w:color w:val="auto"/>
        </w:rPr>
        <w:t>Government regulation and the application of new and existing laws in the U.S. and internationally may slow business growth, increase our costs of doing business, create potential material liability and could have a material adverse effect on our business.</w:t>
      </w:r>
    </w:p>
    <w:p>
      <w:pPr>
        <w:spacing w:after="0" w:line="55" w:lineRule="exact"/>
        <w:rPr>
          <w:sz w:val="20"/>
          <w:szCs w:val="20"/>
          <w:color w:val="auto"/>
        </w:rPr>
      </w:pPr>
    </w:p>
    <w:p>
      <w:pPr>
        <w:ind w:firstLine="399"/>
        <w:spacing w:after="0" w:line="271" w:lineRule="auto"/>
        <w:rPr>
          <w:sz w:val="20"/>
          <w:szCs w:val="20"/>
          <w:color w:val="auto"/>
        </w:rPr>
      </w:pPr>
      <w:r>
        <w:rPr>
          <w:rFonts w:ascii="Times New Roman" w:cs="Times New Roman" w:eastAsia="Times New Roman" w:hAnsi="Times New Roman"/>
          <w:sz w:val="17"/>
          <w:szCs w:val="17"/>
          <w:color w:val="auto"/>
        </w:rPr>
        <w:t>Application of new and existing laws and regulations in the U.S. or internationally to the internet or the domain name industry have imposed and may in the future impose new costs and new restrictions on our business. Laws and regulations, including those designed to restrict who can register and who can distribute domain names or to require registrants to provide additional documentation to register domain names, have, and may in the future, impose significant additional costs on our business and subject us to additional liabilities or could prevent us from operating in certain jurisdictions. For example, the government of China has indicated that it will issue, and has issued, new regulations, and has begun to enforce existing regulations, that impose additional</w:t>
      </w:r>
    </w:p>
    <w:p>
      <w:pPr>
        <w:spacing w:after="0" w:line="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costs on, and risks to, our provision of registry services in China and could impact the demand for domain name registrations in China. Registries, including us, and China-based registrars are also required by some of these regulations to obtain a government-issued license for each gTLD or ccTLD operating in China. Any failure to obtain or renew the required licenses, or to comply with any license requirements or any updates thereto, by us or our China-based registrars could impact our current and future business in China.</w:t>
      </w:r>
    </w:p>
    <w:p>
      <w:pPr>
        <w:spacing w:after="0" w:line="75" w:lineRule="exact"/>
        <w:rPr>
          <w:sz w:val="20"/>
          <w:szCs w:val="20"/>
          <w:color w:val="auto"/>
        </w:rPr>
      </w:pPr>
    </w:p>
    <w:p>
      <w:pPr>
        <w:ind w:right="60" w:firstLine="399"/>
        <w:spacing w:after="0" w:line="252" w:lineRule="auto"/>
        <w:rPr>
          <w:sz w:val="20"/>
          <w:szCs w:val="20"/>
          <w:color w:val="auto"/>
        </w:rPr>
      </w:pPr>
      <w:r>
        <w:rPr>
          <w:rFonts w:ascii="Times New Roman" w:cs="Times New Roman" w:eastAsia="Times New Roman" w:hAnsi="Times New Roman"/>
          <w:sz w:val="18"/>
          <w:szCs w:val="18"/>
          <w:color w:val="auto"/>
        </w:rPr>
        <w:t>We are also subject to changing laws and regulations that impact whether, how, and under what circumstances we may transfer, process and/or receive certain data that is critical to our operations, including data shared between countries or regions in which we operate and data shared among our products and services. For example, following the invalidation of the U.S.-EU Safe Harbor by the European Court of Justice (“EUCJ”) in 2015, the European Union and United States agreed to an alternative framework for data transferred from the European Union to the United States, called Privacy Shield. In 2018, Privacy Shield was also invalidated by the EUCJ. In 2022, the United States and European Union announced a new, but undefined data transfer framework, which once finalized, also could be subject to further legal challenges.</w:t>
      </w:r>
    </w:p>
    <w:p>
      <w:pPr>
        <w:spacing w:after="0" w:line="78"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b w:val="1"/>
          <w:bCs w:val="1"/>
          <w:color w:val="auto"/>
        </w:rPr>
        <w:t>New laws, regulations, directives or ICANN polices that require us to obtain and maintain personal information of registrants of domain names in the .com and .net gTLDs could impose material compliance costs and could create new, material legal and others risks to our business.</w:t>
      </w:r>
    </w:p>
    <w:p>
      <w:pPr>
        <w:spacing w:after="0" w:line="42" w:lineRule="exact"/>
        <w:rPr>
          <w:sz w:val="20"/>
          <w:szCs w:val="20"/>
          <w:color w:val="auto"/>
        </w:rPr>
      </w:pPr>
    </w:p>
    <w:p>
      <w:pPr>
        <w:ind w:right="280" w:firstLine="399"/>
        <w:spacing w:after="0" w:line="269" w:lineRule="auto"/>
        <w:rPr>
          <w:sz w:val="20"/>
          <w:szCs w:val="20"/>
          <w:color w:val="auto"/>
        </w:rPr>
      </w:pPr>
      <w:r>
        <w:rPr>
          <w:rFonts w:ascii="Times New Roman" w:cs="Times New Roman" w:eastAsia="Times New Roman" w:hAnsi="Times New Roman"/>
          <w:sz w:val="17"/>
          <w:szCs w:val="17"/>
          <w:color w:val="auto"/>
        </w:rPr>
        <w:t>If we are required to, or choose to, obtain and maintain personal information of registrants of domain names in the .com and .net gTLDs we could be required to incur significant compliance and legal costs as a result of GDPR and other similar regulations. For example, we could incur material costs to</w:t>
      </w:r>
    </w:p>
    <w:p>
      <w:pPr>
        <w:spacing w:after="0" w:line="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protect such information from unauthorized disclosure and, under GDPR, to ensure authorized disclosures are permitted. Failure to properly protect such information, or failure to comply with GDPR, could expose the Company to material costs and penalties. In addition, new obligations to obtain and maintain personal information of registrants in the .com and .net gTLDs could conflict with certain laws and regulations that may require such personal information be maintained solely within the jurisdiction of the data subject. In addition, any such new obligations could increase the cost and risks associated with complying with regulations that require verification of registrant personal information, including for purposes of complying with the economic and trade sanctions programs administered by the Office of Foreign Assets Control (“OFAC”).</w:t>
      </w:r>
    </w:p>
    <w:p>
      <w:pPr>
        <w:spacing w:after="0" w:line="78" w:lineRule="exact"/>
        <w:rPr>
          <w:sz w:val="20"/>
          <w:szCs w:val="20"/>
          <w:color w:val="auto"/>
        </w:rPr>
      </w:pPr>
    </w:p>
    <w:p>
      <w:pPr>
        <w:ind w:right="40" w:firstLine="399"/>
        <w:spacing w:after="0" w:line="238" w:lineRule="auto"/>
        <w:rPr>
          <w:sz w:val="20"/>
          <w:szCs w:val="20"/>
          <w:color w:val="auto"/>
        </w:rPr>
      </w:pPr>
      <w:r>
        <w:rPr>
          <w:rFonts w:ascii="Times New Roman" w:cs="Times New Roman" w:eastAsia="Times New Roman" w:hAnsi="Times New Roman"/>
          <w:sz w:val="18"/>
          <w:szCs w:val="18"/>
          <w:color w:val="auto"/>
        </w:rPr>
        <w:t>Such laws, regulations, directives or ICANN policies, could give rise to significant claims, inquiries, investigations or other actions against us, which could result in significant costs, damages, fines or penalties and could delay the development of new products, change our current business practices, result in negative publicity, require significant management time and attention, all or any of which could materially harm our business.</w:t>
      </w:r>
    </w:p>
    <w:p>
      <w:pPr>
        <w:spacing w:after="0" w:line="88"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18"/>
          <w:szCs w:val="18"/>
          <w:b w:val="1"/>
          <w:bCs w:val="1"/>
          <w:color w:val="auto"/>
        </w:rPr>
        <w:t>Our international operations expose us and our business to additional economic, legal, regulatory and political risks that could have a material adverse impact on our revenues and business.</w:t>
      </w:r>
    </w:p>
    <w:p>
      <w:pPr>
        <w:spacing w:after="0" w:line="55" w:lineRule="exact"/>
        <w:rPr>
          <w:sz w:val="20"/>
          <w:szCs w:val="20"/>
          <w:color w:val="auto"/>
        </w:rPr>
      </w:pPr>
    </w:p>
    <w:p>
      <w:pPr>
        <w:ind w:right="20" w:firstLine="399"/>
        <w:spacing w:after="0" w:line="267" w:lineRule="auto"/>
        <w:rPr>
          <w:sz w:val="20"/>
          <w:szCs w:val="20"/>
          <w:color w:val="auto"/>
        </w:rPr>
      </w:pPr>
      <w:r>
        <w:rPr>
          <w:rFonts w:ascii="Times New Roman" w:cs="Times New Roman" w:eastAsia="Times New Roman" w:hAnsi="Times New Roman"/>
          <w:sz w:val="17"/>
          <w:szCs w:val="17"/>
          <w:color w:val="auto"/>
        </w:rPr>
        <w:t>A significant portion of our revenues is derived from customers outside the U.S. Our business operations in international locations have required, and will continue to require, significant management attention and resources. We may also need to tailor some of our services for a particular location and to enter into international distribution and operating relationships. We may fail to maintain our ability to conduct business, including potentially material business operations in some international locations, or we may not succeed in expanding our services into new international locations or expand our presence in existing locations. Failure to do so could materially harm our business. Moreover, local laws and customs in many countries differ significantly from those in the U.S. In many foreign countries, particularly in those with developing economies, it is common for others to engage in business practices that are prohibited by our internal policies and procedures or U.S. law or regulations applicable to us. There can be no assurance that our employees, contractors and agents will not take actions in violation of such policies, procedures, laws and/or regulations. Violations of laws, regulations or internal policies and procedures by our employees, contractors or agents could result in financial reporting problems, investigations, fines, penalties, or prohibition on</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8"/>
          <w:szCs w:val="18"/>
          <w:color w:val="auto"/>
        </w:rPr>
        <w:t>the importation or exportation of our products and services and could have a material adverse effect on our business. In addition, we face risks inherent in doing business internationally, including:</w:t>
      </w:r>
    </w:p>
    <w:p>
      <w:pPr>
        <w:spacing w:after="0" w:line="56" w:lineRule="exact"/>
        <w:rPr>
          <w:sz w:val="20"/>
          <w:szCs w:val="20"/>
          <w:color w:val="auto"/>
        </w:rPr>
      </w:pPr>
    </w:p>
    <w:p>
      <w:pPr>
        <w:ind w:left="640" w:right="160" w:hanging="314"/>
        <w:spacing w:after="0" w:line="27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companies in international locations or other domestic companies entering international locations in which we operate, as well as local governments actively promoting ccTLDs that we do not operate;</w:t>
      </w:r>
    </w:p>
    <w:p>
      <w:pPr>
        <w:spacing w:after="0" w:line="56" w:lineRule="exact"/>
        <w:rPr>
          <w:rFonts w:ascii="Times New Roman" w:cs="Times New Roman" w:eastAsia="Times New Roman" w:hAnsi="Times New Roman"/>
          <w:sz w:val="18"/>
          <w:szCs w:val="18"/>
          <w:color w:val="auto"/>
        </w:rPr>
      </w:pPr>
    </w:p>
    <w:p>
      <w:pPr>
        <w:ind w:left="640" w:right="100" w:hanging="314"/>
        <w:spacing w:after="0" w:line="27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tensions between governments and changes in international trade policies and/or the economic and trade sanctions programs administered by OFAC of the U.S. Department of the Treasury;</w:t>
      </w:r>
    </w:p>
    <w:p>
      <w:pPr>
        <w:spacing w:after="0" w:line="56"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other trade barriers and restrictions;</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international operations;</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problems associated with adapting our services to technical conditions existing in different countries;</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vulnerability from terrorist groups targeting U.S. interests abroad;</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conflicting or adverse tax consequences;</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in international locations in which we only recently started doing business; and</w:t>
      </w:r>
    </w:p>
    <w:p>
      <w:pPr>
        <w:spacing w:after="0" w:line="112" w:lineRule="exact"/>
        <w:rPr>
          <w:rFonts w:ascii="Times New Roman" w:cs="Times New Roman" w:eastAsia="Times New Roman" w:hAnsi="Times New Roman"/>
          <w:sz w:val="18"/>
          <w:szCs w:val="18"/>
          <w:color w:val="auto"/>
        </w:rPr>
      </w:pPr>
    </w:p>
    <w:p>
      <w:pPr>
        <w:ind w:left="640" w:hanging="314"/>
        <w:spacing w:after="0" w:line="27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concerns of international governments or customers and prospects regarding doing business with U.S. technology companies due to alleged U.S. government data collection policies.</w:t>
      </w:r>
    </w:p>
    <w:p>
      <w:pPr>
        <w:spacing w:after="0" w:line="56"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18"/>
          <w:szCs w:val="18"/>
          <w:color w:val="auto"/>
        </w:rPr>
        <w:t>Escalating political tensions between the United States and China in particular may pose additional risks to our business in China. In 2020 and 2021, the U.S. government announced restrictions on trading with certain Chinese companies. The Chinese government subsequently announced actions that, if implemented, could impose additional restrictions on the Chinese operations of non-Chinese companies. These and future government actions impacting our ability to operate in China may cause our management’s attention to be diverted, our reputation to be damaged, or our business in China to be adversely affected.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or interpretations of, tax rules and regulations or our tax positions may materially and adversely affect our income taxes.</w:t>
      </w:r>
    </w:p>
    <w:p>
      <w:pPr>
        <w:spacing w:after="0" w:line="114" w:lineRule="exact"/>
        <w:rPr>
          <w:sz w:val="20"/>
          <w:szCs w:val="20"/>
          <w:color w:val="auto"/>
        </w:rPr>
      </w:pPr>
    </w:p>
    <w:p>
      <w:pPr>
        <w:ind w:firstLine="399"/>
        <w:spacing w:after="0" w:line="267" w:lineRule="auto"/>
        <w:rPr>
          <w:sz w:val="20"/>
          <w:szCs w:val="20"/>
          <w:color w:val="auto"/>
        </w:rPr>
      </w:pPr>
      <w:r>
        <w:rPr>
          <w:rFonts w:ascii="Times New Roman" w:cs="Times New Roman" w:eastAsia="Times New Roman" w:hAnsi="Times New Roman"/>
          <w:sz w:val="17"/>
          <w:szCs w:val="17"/>
          <w:color w:val="auto"/>
        </w:rPr>
        <w:t>We are subject to income taxes in both the U.S. and numerous international jurisdictions. Significant judgment is required in determining our worldwide provision for income taxes. In the ordinary course of our business, there are many transactions and calculations where the ultimate tax determination is uncertain. Our effective tax rates may fluctuate significantly on a quarterly basis because of a variety of factors, including changes in the mix of earnings and losses in countries with differing statutory tax rates, changes in our business or structure, changes in tax laws that could adversely impact our income or non-income taxes or the expiration of or disputes about certain tax agreements in a particular country. We are subject to audit by various tax authorities. In accordance with U.S. GAAP, we recognize income tax benefits, net of required valuation allowances and accrual for uncertain tax positions. Although we believe our tax estimates are reasonable, the final determination of tax audits and any related litigation could be materially different than that which is reflected in historical income tax provisions and accruals. Should additional taxes be assessed as a result of an audit or litigation, an adverse effect on our results of operations, financial condition and cash flows in the period or periods for which that determination is made could result.</w:t>
      </w:r>
    </w:p>
    <w:p>
      <w:pPr>
        <w:spacing w:after="0" w:line="66" w:lineRule="exact"/>
        <w:rPr>
          <w:sz w:val="20"/>
          <w:szCs w:val="20"/>
          <w:color w:val="auto"/>
        </w:rPr>
      </w:pPr>
    </w:p>
    <w:p>
      <w:pPr>
        <w:ind w:right="40" w:firstLine="399"/>
        <w:spacing w:after="0" w:line="254"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continues to issue guidance that will provide a long-term, multilateral proposal on the taxation of the digital economy. Similarly, some international tax jurisdictions, independent of the OECD, have enacted or may enact new tax regimes aimed at income resulting from digital services. Although we cannot predict the nature or outcome of such changes or the likelihood of such legislative proposals being adopted in the U.S. or throughout the world, any or all of these changes in tax laws could increase our taxes and adversely impact our financial condition and cash flow.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faces risks arising from ICANN’s consensus and temporary policies, technical standards and other processes.</w:t>
      </w:r>
    </w:p>
    <w:p>
      <w:pPr>
        <w:spacing w:after="0" w:line="114" w:lineRule="exact"/>
        <w:rPr>
          <w:sz w:val="20"/>
          <w:szCs w:val="20"/>
          <w:color w:val="auto"/>
        </w:rPr>
      </w:pPr>
    </w:p>
    <w:p>
      <w:pPr>
        <w:ind w:right="20" w:firstLine="399"/>
        <w:spacing w:after="0" w:line="273" w:lineRule="auto"/>
        <w:rPr>
          <w:sz w:val="20"/>
          <w:szCs w:val="20"/>
          <w:color w:val="auto"/>
        </w:rPr>
      </w:pPr>
      <w:r>
        <w:rPr>
          <w:rFonts w:ascii="Times New Roman" w:cs="Times New Roman" w:eastAsia="Times New Roman" w:hAnsi="Times New Roman"/>
          <w:sz w:val="17"/>
          <w:szCs w:val="17"/>
          <w:color w:val="auto"/>
        </w:rPr>
        <w:t>Our Registry Agreements with ICANN require us to implement Consensus Policies and changes mandated by ICANN through temporary specifications or policies (“Temporary Policies”). ICANN could adopt Consensus Policies or Temporary Policies that (1) are unfavorable to us as the registry operator of</w:t>
      </w:r>
    </w:p>
    <w:p>
      <w:pPr>
        <w:jc w:val="both"/>
        <w:ind w:right="420"/>
        <w:spacing w:after="0" w:line="250" w:lineRule="auto"/>
        <w:rPr>
          <w:sz w:val="20"/>
          <w:szCs w:val="20"/>
          <w:color w:val="auto"/>
        </w:rPr>
      </w:pP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 </w:t>
      </w:r>
      <w:r>
        <w:rPr>
          <w:rFonts w:ascii="Times New Roman" w:cs="Times New Roman" w:eastAsia="Times New Roman" w:hAnsi="Times New Roman"/>
          <w:sz w:val="18"/>
          <w:szCs w:val="18"/>
          <w:color w:val="auto"/>
        </w:rPr>
        <w:t>and other gTLDs we operate, (2) are inconsistent with our current or future plans, (3) impose substantial costs on our business, (4) subject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to additional legal risks, or (5) affect our competitive position. These Consensus Policies or Temporary Policies could have a material adverse effect on our business.</w:t>
      </w:r>
    </w:p>
    <w:p>
      <w:pPr>
        <w:spacing w:after="0" w:line="80" w:lineRule="exact"/>
        <w:rPr>
          <w:sz w:val="20"/>
          <w:szCs w:val="20"/>
          <w:color w:val="auto"/>
        </w:rPr>
      </w:pPr>
    </w:p>
    <w:p>
      <w:pPr>
        <w:ind w:right="340" w:firstLine="399"/>
        <w:spacing w:after="0" w:line="261" w:lineRule="auto"/>
        <w:rPr>
          <w:sz w:val="20"/>
          <w:szCs w:val="20"/>
          <w:color w:val="auto"/>
        </w:rPr>
      </w:pPr>
      <w:r>
        <w:rPr>
          <w:rFonts w:ascii="Times New Roman" w:cs="Times New Roman" w:eastAsia="Times New Roman" w:hAnsi="Times New Roman"/>
          <w:sz w:val="18"/>
          <w:szCs w:val="18"/>
          <w:color w:val="auto"/>
        </w:rPr>
        <w:t>Our Registry Agreements with ICANN require us to implement and comply with various technical standards and specifications published by the Internet Engineering Task Force (“IETF”). ICANN could impose requirements on us through changes to these IETF standards, or new standards, that are inconsistent with our current or future plans, that impose substantial</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8"/>
          <w:szCs w:val="18"/>
          <w:color w:val="auto"/>
        </w:rPr>
        <w:t>costs on our business, that subject the Company to additional legal risks, or that affect our competitive position. Any such changes to the IETF standards, or new standards, could have a material adverse effect on our business.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Weakening of, or changes to, the multi-stakeholder form of internet governance could materially and adversely impact our business.</w:t>
      </w:r>
    </w:p>
    <w:p>
      <w:pPr>
        <w:spacing w:after="0" w:line="114" w:lineRule="exact"/>
        <w:rPr>
          <w:sz w:val="20"/>
          <w:szCs w:val="20"/>
          <w:color w:val="auto"/>
        </w:rPr>
      </w:pPr>
    </w:p>
    <w:p>
      <w:pPr>
        <w:ind w:right="120" w:firstLine="399"/>
        <w:spacing w:after="0" w:line="251" w:lineRule="auto"/>
        <w:rPr>
          <w:sz w:val="20"/>
          <w:szCs w:val="20"/>
          <w:color w:val="auto"/>
        </w:rPr>
      </w:pPr>
      <w:r>
        <w:rPr>
          <w:rFonts w:ascii="Times New Roman" w:cs="Times New Roman" w:eastAsia="Times New Roman" w:hAnsi="Times New Roman"/>
          <w:sz w:val="18"/>
          <w:szCs w:val="18"/>
          <w:color w:val="auto"/>
        </w:rPr>
        <w:t>The internet is governed under a multi-stakeholder model comprising civil society, the private sector, including for-profit and not-for-profit organizations such as ICANN, governments, including the U.S. government, academia, non-governmental organizations and international organizations. If ICANN fails to uphold, or if the multi-stakeholder model is significantly redefined, it could harm our business. For example, certain governments, governmental organizations, and private actors continue to express dissatisfaction with the multi-stakeholder form of internet governance and have proposed alternatives including oversight by the United Nations or by international treaties. Furthermore, national legislation has been proposed on topics such as information security and access to personal information that effectively supplants the multi-stakeholder process for policy development in the DNS. Substantially weakening or replacing the multi-stakeholder form of internet governance could materially harm our business.</w:t>
      </w:r>
    </w:p>
    <w:p>
      <w:pPr>
        <w:spacing w:after="0" w:line="82" w:lineRule="exact"/>
        <w:rPr>
          <w:sz w:val="20"/>
          <w:szCs w:val="20"/>
          <w:color w:val="auto"/>
        </w:rPr>
      </w:pPr>
    </w:p>
    <w:p>
      <w:pPr>
        <w:ind w:firstLine="399"/>
        <w:spacing w:after="0" w:line="261" w:lineRule="auto"/>
        <w:rPr>
          <w:sz w:val="20"/>
          <w:szCs w:val="20"/>
          <w:color w:val="auto"/>
        </w:rPr>
      </w:pPr>
      <w:r>
        <w:rPr>
          <w:rFonts w:ascii="Times New Roman" w:cs="Times New Roman" w:eastAsia="Times New Roman" w:hAnsi="Times New Roman"/>
          <w:sz w:val="18"/>
          <w:szCs w:val="18"/>
          <w:color w:val="auto"/>
        </w:rPr>
        <w:t>In addition, in 2016 the U.S. government transferred key internet functions to ICANN, who adopted new and enhanced accountability mechanisms in its bylaws such as the creation of the Empowered Community. There can be no assurance that the removal of the U.S. government oversight of these key functions, or the changes to ICANN’s bylaws, will not negatively impact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Claims, lawsuits, audits or investigations in which we are or could become involved may result in material adverse outcomes to our business.</w:t>
      </w:r>
    </w:p>
    <w:p>
      <w:pPr>
        <w:spacing w:after="0" w:line="114" w:lineRule="exact"/>
        <w:rPr>
          <w:sz w:val="20"/>
          <w:szCs w:val="20"/>
          <w:color w:val="auto"/>
        </w:rPr>
      </w:pPr>
    </w:p>
    <w:p>
      <w:pPr>
        <w:ind w:firstLine="399"/>
        <w:spacing w:after="0" w:line="249" w:lineRule="auto"/>
        <w:rPr>
          <w:sz w:val="20"/>
          <w:szCs w:val="20"/>
          <w:color w:val="auto"/>
        </w:rPr>
      </w:pPr>
      <w:r>
        <w:rPr>
          <w:rFonts w:ascii="Times New Roman" w:cs="Times New Roman" w:eastAsia="Times New Roman" w:hAnsi="Times New Roman"/>
          <w:sz w:val="18"/>
          <w:szCs w:val="18"/>
          <w:color w:val="auto"/>
        </w:rPr>
        <w:t>We are, and may in the future become, involved in claims, lawsuits, audits, and investigations, including intellectual property litigation and infringement claims. Litigation is inherently unpredictable, and unexpected judgments or excessive verdicts do occur. In addition, proceedings that we initially view as immaterial could prove to be material. Adverse outcomes in lawsuits, audits and investigations, could result in significant monetary damages, including indemnification payments, or injunctive relief that could adversely affect our ability to conduct our business, and may have a material adverse effect on our financial condition, results of operations and cash flows. For example, we are engaged in activities to help mitigate security threats and other forms of DNS abuse in the gTLDs and ccTLDs we operate and we are involved in community efforts that could increase and expand such activities including potential new contractual obligations. Such activities include, for example, receiving reports of suspected threats and abuse from appropriate “trusted notifiers” (typically involving national and international law enforcement) and notifying registrars or others of domain names associated with suspected malicious or illegal activity. Our activities may also include disabling one or more domain names in the gTLDs or ccTLDs we operate including in response to governmental directives and orders in those jurisdictions in which we operate. Activities such as these have resulted in, and could in the future result in, significant litigation and could harm our reputation. Given the inherent uncertainties in litigation, even when we are able to reasonably estimate the amount of possible loss or range of loss and therefore record an aggregate litigation accrual for probable and reasonably estimable loss contingencies, the accrual may change in the future due to new developments or changes in approach. In addition, such claims, lawsuits, audits and investigations could involve significant expense and diversion of management’s attention and resources from other matters.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Strategic, Business and Operating Risk Factors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Deterioration of economic conditions could materially harm our business.</w:t>
      </w:r>
    </w:p>
    <w:p>
      <w:pPr>
        <w:spacing w:after="0" w:line="114" w:lineRule="exact"/>
        <w:rPr>
          <w:sz w:val="20"/>
          <w:szCs w:val="20"/>
          <w:color w:val="auto"/>
        </w:rPr>
      </w:pPr>
    </w:p>
    <w:p>
      <w:pPr>
        <w:jc w:val="both"/>
        <w:ind w:right="340" w:firstLine="399"/>
        <w:spacing w:after="0" w:line="256" w:lineRule="auto"/>
        <w:rPr>
          <w:sz w:val="20"/>
          <w:szCs w:val="20"/>
          <w:color w:val="auto"/>
        </w:rPr>
      </w:pPr>
      <w:r>
        <w:rPr>
          <w:rFonts w:ascii="Times New Roman" w:cs="Times New Roman" w:eastAsia="Times New Roman" w:hAnsi="Times New Roman"/>
          <w:sz w:val="18"/>
          <w:szCs w:val="18"/>
          <w:color w:val="auto"/>
        </w:rPr>
        <w:t>Our business is, and could continue to be, adversely affected by the deterioration in national or global economic conditions, including high inflation rates, increasing interest rates, disruption in the supply chain, and currency fluctuations, resulting from the continuing economic effects of the COVID-19 pandemic, war and civil unrest, and other political and economic developments. The severity and duration of a these economic conditions, as well as the timing, strength, and sustainability of any recovery, are unknown and are not within the Company’s control.</w:t>
      </w:r>
    </w:p>
    <w:p>
      <w:pPr>
        <w:spacing w:after="0" w:line="73" w:lineRule="exact"/>
        <w:rPr>
          <w:sz w:val="20"/>
          <w:szCs w:val="20"/>
          <w:color w:val="auto"/>
        </w:rPr>
      </w:pPr>
    </w:p>
    <w:p>
      <w:pPr>
        <w:ind w:right="620"/>
        <w:spacing w:after="0" w:line="278" w:lineRule="auto"/>
        <w:rPr>
          <w:sz w:val="20"/>
          <w:szCs w:val="20"/>
          <w:color w:val="auto"/>
        </w:rPr>
      </w:pPr>
      <w:r>
        <w:rPr>
          <w:rFonts w:ascii="Times New Roman" w:cs="Times New Roman" w:eastAsia="Times New Roman" w:hAnsi="Times New Roman"/>
          <w:sz w:val="18"/>
          <w:szCs w:val="18"/>
          <w:b w:val="1"/>
          <w:bCs w:val="1"/>
          <w:color w:val="auto"/>
        </w:rPr>
        <w:t>The business environment is highly competitive and, if we do not compete effectively, we may suffer material adverse impact to our business, including lower demand for our products, reduced gross margins, and loss of market share.</w:t>
      </w:r>
    </w:p>
    <w:p>
      <w:pPr>
        <w:spacing w:after="0" w:line="42" w:lineRule="exact"/>
        <w:rPr>
          <w:sz w:val="20"/>
          <w:szCs w:val="20"/>
          <w:color w:val="auto"/>
        </w:rPr>
      </w:pPr>
    </w:p>
    <w:p>
      <w:pPr>
        <w:ind w:right="80" w:firstLine="399"/>
        <w:spacing w:after="0" w:line="234" w:lineRule="auto"/>
        <w:rPr>
          <w:sz w:val="20"/>
          <w:szCs w:val="20"/>
          <w:color w:val="auto"/>
        </w:rPr>
      </w:pPr>
      <w:r>
        <w:rPr>
          <w:rFonts w:ascii="Times New Roman" w:cs="Times New Roman" w:eastAsia="Times New Roman" w:hAnsi="Times New Roman"/>
          <w:sz w:val="18"/>
          <w:szCs w:val="18"/>
          <w:color w:val="auto"/>
        </w:rPr>
        <w:t xml:space="preserve">We face competition from services that provide an online identity or presence, including other gTLDs and ccTLDs. In order to remain competitive, we must continually demonstrate the security, stability, and resiliency of our services and must adopt and support new technologies to adapt our services to changing technologies, market conditions, and our customers’ and internet users’ preferences and practices. Also to remain competitive, we have undertaken important initiatives such as our efforts to acquire the </w:t>
      </w:r>
      <w:r>
        <w:rPr>
          <w:rFonts w:ascii="Times New Roman" w:cs="Times New Roman" w:eastAsia="Times New Roman" w:hAnsi="Times New Roman"/>
          <w:sz w:val="18"/>
          <w:szCs w:val="18"/>
          <w:i w:val="1"/>
          <w:iCs w:val="1"/>
          <w:color w:val="auto"/>
        </w:rPr>
        <w:t>.web</w:t>
      </w:r>
      <w:r>
        <w:rPr>
          <w:rFonts w:ascii="Times New Roman" w:cs="Times New Roman" w:eastAsia="Times New Roman" w:hAnsi="Times New Roman"/>
          <w:sz w:val="18"/>
          <w:szCs w:val="18"/>
          <w:color w:val="auto"/>
        </w:rPr>
        <w:t xml:space="preserve"> gTLD, and we may in the future undertake other important initiatives. Any of these initiatives require significant resources, can subject us to regulatory scrutiny and/or negative publicity, and divert management attention from our existing business. Such undertakings, including our efforts to acquire the </w:t>
      </w:r>
      <w:r>
        <w:rPr>
          <w:rFonts w:ascii="Times New Roman" w:cs="Times New Roman" w:eastAsia="Times New Roman" w:hAnsi="Times New Roman"/>
          <w:sz w:val="18"/>
          <w:szCs w:val="18"/>
          <w:i w:val="1"/>
          <w:iCs w:val="1"/>
          <w:color w:val="auto"/>
        </w:rPr>
        <w:t>.web</w:t>
      </w:r>
      <w:r>
        <w:rPr>
          <w:rFonts w:ascii="Times New Roman" w:cs="Times New Roman" w:eastAsia="Times New Roman" w:hAnsi="Times New Roman"/>
          <w:sz w:val="18"/>
          <w:szCs w:val="18"/>
          <w:color w:val="auto"/>
        </w:rPr>
        <w:t xml:space="preserve"> gTLD, may be unsuccessful and costly. In addition, competing technologies developed by others or the emergence of new industry standards may adversely affect our competitive position or render our services or technologies noncompetitive or obsolete. Finally, consolidation within our</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industry has occurred and is likely to continue to occur. Our ability to participate and benefit from such consolidations may be limited and consolidation within our industry among our competitors could harm our competitive position and adversely impact our business.</w:t>
      </w:r>
    </w:p>
    <w:p>
      <w:pPr>
        <w:spacing w:after="0" w:line="71" w:lineRule="exact"/>
        <w:rPr>
          <w:sz w:val="20"/>
          <w:szCs w:val="20"/>
          <w:color w:val="auto"/>
        </w:rPr>
      </w:pPr>
    </w:p>
    <w:p>
      <w:pPr>
        <w:ind w:right="160" w:firstLine="399"/>
        <w:spacing w:after="0" w:line="256" w:lineRule="auto"/>
        <w:rPr>
          <w:sz w:val="20"/>
          <w:szCs w:val="20"/>
          <w:color w:val="auto"/>
        </w:rPr>
      </w:pPr>
      <w:r>
        <w:rPr>
          <w:rFonts w:ascii="Times New Roman" w:cs="Times New Roman" w:eastAsia="Times New Roman" w:hAnsi="Times New Roman"/>
          <w:sz w:val="18"/>
          <w:szCs w:val="18"/>
          <w:color w:val="auto"/>
        </w:rPr>
        <w:t>We have been designated as the registry operator for certain new gTLDs, including certain IDN gTLDs. Our new gTLDs may not be as or more successful than the new gTLDs obtained by our competitors. In addition, our new gTLDs may face additional universal acceptance and usability challenges and it is possible that resolution of domain names within some of these new gTLDs may be blocked within certain state or organizational environments, challenging universal resolvability of these strings and their general acceptance and usability.</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the “Competition” section in Part I, Item 1 of this Form 10-K for further information.</w:t>
      </w:r>
    </w:p>
    <w:p>
      <w:pPr>
        <w:spacing w:after="0" w:line="110" w:lineRule="exact"/>
        <w:rPr>
          <w:sz w:val="20"/>
          <w:szCs w:val="20"/>
          <w:color w:val="auto"/>
        </w:rPr>
      </w:pPr>
    </w:p>
    <w:p>
      <w:pPr>
        <w:jc w:val="both"/>
        <w:ind w:right="340"/>
        <w:spacing w:after="0" w:line="308" w:lineRule="auto"/>
        <w:rPr>
          <w:sz w:val="20"/>
          <w:szCs w:val="20"/>
          <w:color w:val="auto"/>
        </w:rPr>
      </w:pPr>
      <w:r>
        <w:rPr>
          <w:rFonts w:ascii="Times New Roman" w:cs="Times New Roman" w:eastAsia="Times New Roman" w:hAnsi="Times New Roman"/>
          <w:sz w:val="17"/>
          <w:szCs w:val="17"/>
          <w:b w:val="1"/>
          <w:bCs w:val="1"/>
          <w:color w:val="auto"/>
        </w:rPr>
        <w:t>The evolution of technologies or internet practices and behaviors, the adoption of substitute technologies, or wholesale price increases of domain names in the gTLDs we operate may materially and negatively impact the demand for the domain names for which we are the registry operator.</w:t>
      </w:r>
    </w:p>
    <w:p>
      <w:pPr>
        <w:spacing w:after="0" w:line="33" w:lineRule="exact"/>
        <w:rPr>
          <w:sz w:val="20"/>
          <w:szCs w:val="20"/>
          <w:color w:val="auto"/>
        </w:rPr>
      </w:pPr>
    </w:p>
    <w:p>
      <w:pPr>
        <w:ind w:right="40" w:firstLine="399"/>
        <w:spacing w:after="0" w:line="256" w:lineRule="auto"/>
        <w:rPr>
          <w:sz w:val="20"/>
          <w:szCs w:val="20"/>
          <w:color w:val="auto"/>
        </w:rPr>
      </w:pPr>
      <w:r>
        <w:rPr>
          <w:rFonts w:ascii="Times New Roman" w:cs="Times New Roman" w:eastAsia="Times New Roman" w:hAnsi="Times New Roman"/>
          <w:sz w:val="18"/>
          <w:szCs w:val="18"/>
          <w:color w:val="auto"/>
        </w:rPr>
        <w:t>Technologies relating to online presence, including social media, mobile devices, apps, and search engines, have evolved and continue to evolve, changing the internet practices and behaviors of consumers and businesses. These ongoing changes can negatively impact the demand for our domain names. In addition, registrants purchase domain names for a variety of reasons, including personal, commercial, and investment reasons. Changes in the motivation of domain name registrants can negatively impact our business.</w:t>
      </w:r>
    </w:p>
    <w:p>
      <w:pPr>
        <w:spacing w:after="0" w:line="75" w:lineRule="exact"/>
        <w:rPr>
          <w:sz w:val="20"/>
          <w:szCs w:val="20"/>
          <w:color w:val="auto"/>
        </w:rPr>
      </w:pPr>
    </w:p>
    <w:p>
      <w:pPr>
        <w:ind w:right="60" w:firstLine="399"/>
        <w:spacing w:after="0" w:line="239" w:lineRule="auto"/>
        <w:rPr>
          <w:sz w:val="20"/>
          <w:szCs w:val="20"/>
          <w:color w:val="auto"/>
        </w:rPr>
      </w:pPr>
      <w:r>
        <w:rPr>
          <w:rFonts w:ascii="Times New Roman" w:cs="Times New Roman" w:eastAsia="Times New Roman" w:hAnsi="Times New Roman"/>
          <w:sz w:val="18"/>
          <w:szCs w:val="18"/>
          <w:color w:val="auto"/>
        </w:rPr>
        <w:t>Technology changes to web browser or internet search technologies could reduce demand for domain names. Similarly, if internet users’ preferences or practices shift away from recognizing and relying on web addresses or if internet users were to significantly decrease the use of web browsers in favor of applications to locate and access content, demand for domain names in the gTLDs we operate could be negatively impacted. Demand for domain names in the gTLDs we operate could be negatively impacted by new technologies that significantly decrease the use of traditional domain names to present and protect an online identity. New technologies that encourage internet users to expand the use of third-level domains or alternate identifiers, such as identifiers from social networking, e-commerce platforms and microblogging sites, could also negatively impact the demand for domain names in the gTLDs we operate. In addition, the demand for domain names in the gTLDs we operate could be impacted by alternative namespaces with domain-name-like identifiers that are operated outside the single authoritative DNS root zone, including blockchain namespaces. To the extent that web browsers, applications, DNS registrars and DNS resolvers recognize and support such namespaces, and that internet users are able to perform online operations with identifiers from such namespaces, demand for domain names in gTLDs and ccTLDs in the single authoritative DNS root zone, including the gTLDs we operate, could be negatively impacted.</w:t>
      </w:r>
    </w:p>
    <w:p>
      <w:pPr>
        <w:spacing w:after="0" w:line="76" w:lineRule="exact"/>
        <w:rPr>
          <w:sz w:val="20"/>
          <w:szCs w:val="20"/>
          <w:color w:val="auto"/>
        </w:rPr>
      </w:pPr>
    </w:p>
    <w:p>
      <w:pPr>
        <w:jc w:val="both"/>
        <w:ind w:right="180" w:firstLine="399"/>
        <w:spacing w:after="0" w:line="261" w:lineRule="auto"/>
        <w:rPr>
          <w:sz w:val="20"/>
          <w:szCs w:val="20"/>
          <w:color w:val="auto"/>
        </w:rPr>
      </w:pPr>
      <w:r>
        <w:rPr>
          <w:rFonts w:ascii="Times New Roman" w:cs="Times New Roman" w:eastAsia="Times New Roman" w:hAnsi="Times New Roman"/>
          <w:sz w:val="18"/>
          <w:szCs w:val="18"/>
          <w:color w:val="auto"/>
        </w:rPr>
        <w:t>Some registrars and registrants purchase and resell domain names at an increased price in a secondary market. Adverse changes in the resale value of domain names, changes in the business models for such domain name registrars and registrants, or other factors, including regulations limiting the resale of domain names, could result in a decrease in the demand and/or renewal rates for domain names in the gTLDs we operate.</w:t>
      </w:r>
    </w:p>
    <w:p>
      <w:pPr>
        <w:spacing w:after="0" w:line="70" w:lineRule="exact"/>
        <w:rPr>
          <w:sz w:val="20"/>
          <w:szCs w:val="20"/>
          <w:color w:val="auto"/>
        </w:rPr>
      </w:pPr>
    </w:p>
    <w:p>
      <w:pPr>
        <w:ind w:right="40" w:firstLine="399"/>
        <w:spacing w:after="0" w:line="254" w:lineRule="auto"/>
        <w:rPr>
          <w:sz w:val="20"/>
          <w:szCs w:val="20"/>
          <w:color w:val="auto"/>
        </w:rPr>
      </w:pPr>
      <w:r>
        <w:rPr>
          <w:rFonts w:ascii="Times New Roman" w:cs="Times New Roman" w:eastAsia="Times New Roman" w:hAnsi="Times New Roman"/>
          <w:sz w:val="18"/>
          <w:szCs w:val="18"/>
          <w:color w:val="auto"/>
        </w:rPr>
        <w:t>Some registrars and registrants seek to generate revenues by registering domain names specifically for website advertising. Changes in the way these registrars and registrants are compensated (including changes in methodologies and metrics) by advertisers and advertisement placement networks, such as Google, Baidu and Bing, have adversely affected, and may continue to adversely affect the market for domain names used for this purpose, which has resulted in, and may continue to result in, a decrease in demand and/or the renewal rate for such domain names. In addition, if spending on online advertising and marketing is reduced, this may result in a further decline in the demand for domain names used for this purpose.</w:t>
      </w:r>
    </w:p>
    <w:p>
      <w:pPr>
        <w:spacing w:after="0" w:line="74" w:lineRule="exact"/>
        <w:rPr>
          <w:sz w:val="20"/>
          <w:szCs w:val="20"/>
          <w:color w:val="auto"/>
        </w:rPr>
      </w:pPr>
    </w:p>
    <w:p>
      <w:pPr>
        <w:jc w:val="both"/>
        <w:ind w:right="80" w:firstLine="399"/>
        <w:spacing w:after="0" w:line="262" w:lineRule="auto"/>
        <w:rPr>
          <w:sz w:val="20"/>
          <w:szCs w:val="20"/>
          <w:color w:val="auto"/>
        </w:rPr>
      </w:pPr>
      <w:r>
        <w:rPr>
          <w:rFonts w:ascii="Times New Roman" w:cs="Times New Roman" w:eastAsia="Times New Roman" w:hAnsi="Times New Roman"/>
          <w:sz w:val="18"/>
          <w:szCs w:val="18"/>
          <w:color w:val="auto"/>
        </w:rPr>
        <w:t xml:space="preserve">Under the terms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Registry Agreements, as amended, we are permitted to increase the annual fee of each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 registration or renewal according to the provisions in these agreements. To the extent we increase our prices, there could be a decrease in the demand and/or renewal rates for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expand our services into developing and emerging economies in international locations, our business may not grow.</w:t>
      </w:r>
    </w:p>
    <w:p>
      <w:pPr>
        <w:spacing w:after="0" w:line="114" w:lineRule="exact"/>
        <w:rPr>
          <w:sz w:val="20"/>
          <w:szCs w:val="20"/>
          <w:color w:val="auto"/>
        </w:rPr>
      </w:pPr>
    </w:p>
    <w:p>
      <w:pPr>
        <w:jc w:val="both"/>
        <w:ind w:right="140" w:firstLine="399"/>
        <w:spacing w:after="0" w:line="261" w:lineRule="auto"/>
        <w:rPr>
          <w:sz w:val="20"/>
          <w:szCs w:val="20"/>
          <w:color w:val="auto"/>
        </w:rPr>
      </w:pPr>
      <w:r>
        <w:rPr>
          <w:rFonts w:ascii="Times New Roman" w:cs="Times New Roman" w:eastAsia="Times New Roman" w:hAnsi="Times New Roman"/>
          <w:sz w:val="18"/>
          <w:szCs w:val="18"/>
          <w:color w:val="auto"/>
        </w:rPr>
        <w:t>We seek to serve new, developing, and emerging economies in international locations to grow our business. These economies are rapidly evolving and may not grow or even if they do grow, our services may not be widely used or accepted there. Accordingly, the demand for our services in these locations is uncertain. Factors that may affect acceptance or adoption of our services in these locations include:</w:t>
      </w:r>
    </w:p>
    <w:p>
      <w:pPr>
        <w:spacing w:after="0" w:line="70" w:lineRule="exact"/>
        <w:rPr>
          <w:sz w:val="20"/>
          <w:szCs w:val="20"/>
          <w:color w:val="auto"/>
        </w:rPr>
      </w:pPr>
    </w:p>
    <w:p>
      <w:pPr>
        <w:ind w:left="640" w:hanging="314"/>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internet infrastructure development, expansion, penetration and adoption, and the development, maturity and depth of our sales channels;</w:t>
      </w:r>
    </w:p>
    <w:p>
      <w:pPr>
        <w:spacing w:after="0" w:line="112" w:lineRule="exact"/>
        <w:rPr>
          <w:rFonts w:ascii="Times New Roman" w:cs="Times New Roman" w:eastAsia="Times New Roman" w:hAnsi="Times New Roman"/>
          <w:sz w:val="18"/>
          <w:szCs w:val="18"/>
          <w:color w:val="auto"/>
        </w:rPr>
      </w:pPr>
    </w:p>
    <w:p>
      <w:pPr>
        <w:ind w:left="640" w:hanging="314"/>
        <w:spacing w:after="0" w:line="27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and adoption of substitute products and services that enable online presence without a domain name, including social media, e-commerce platforms, website builders and mobile applications;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40" w:hanging="314"/>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acceptance and adoption of other substitute products and services, including ccTLDs or other gTLDs;</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the security of our products and services;</w:t>
      </w:r>
    </w:p>
    <w:p>
      <w:pPr>
        <w:spacing w:after="0" w:line="1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mobile applications as the primary engagement mechanism for navigating the internet; and</w:t>
      </w:r>
    </w:p>
    <w:p>
      <w:pPr>
        <w:spacing w:after="0" w:line="112" w:lineRule="exact"/>
        <w:rPr>
          <w:rFonts w:ascii="Times New Roman" w:cs="Times New Roman" w:eastAsia="Times New Roman" w:hAnsi="Times New Roman"/>
          <w:sz w:val="18"/>
          <w:szCs w:val="18"/>
          <w:color w:val="auto"/>
        </w:rPr>
      </w:pPr>
    </w:p>
    <w:p>
      <w:pPr>
        <w:ind w:left="640" w:right="220" w:hanging="314"/>
        <w:spacing w:after="0" w:line="27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affecting the internet, internet access and availability, domain name registrations or the provision of registry services, data security, privacy, or data localization, e-commerce or telecommunications.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services are not widely accepted or adopted in these locations, our business may not grow.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depends on registrars and their resellers maintaining their focus on marketing our products and services.</w:t>
      </w:r>
    </w:p>
    <w:p>
      <w:pPr>
        <w:spacing w:after="0" w:line="114" w:lineRule="exact"/>
        <w:rPr>
          <w:sz w:val="20"/>
          <w:szCs w:val="20"/>
          <w:color w:val="auto"/>
        </w:rPr>
      </w:pPr>
    </w:p>
    <w:p>
      <w:pPr>
        <w:ind w:right="40" w:firstLine="399"/>
        <w:spacing w:after="0" w:line="252" w:lineRule="auto"/>
        <w:rPr>
          <w:sz w:val="20"/>
          <w:szCs w:val="20"/>
          <w:color w:val="auto"/>
        </w:rPr>
      </w:pPr>
      <w:r>
        <w:rPr>
          <w:rFonts w:ascii="Times New Roman" w:cs="Times New Roman" w:eastAsia="Times New Roman" w:hAnsi="Times New Roman"/>
          <w:sz w:val="18"/>
          <w:szCs w:val="18"/>
          <w:color w:val="auto"/>
        </w:rPr>
        <w:t>All of the domain name registrations and renewals for the registries we operate occur through registrars. Registrars and their resellers engage in substantial marketing efforts to increase the demand and/or renewal rates for domain names as well as their own associated offerings. Consolidation in the registrar or reseller industry or changes in ownership, management, or strategy among individual registrars or resellers, including vertical integration by registrar or reseller industry participants, could result in significant changes to their businesses, operating models, and cost structures. These changes could include reduced marketing efforts for the gTLDs we operate or other operational changes that could adversely impact the demand and/or the renewal rates for the domain names for which we are the registry operator.</w:t>
      </w:r>
    </w:p>
    <w:p>
      <w:pPr>
        <w:spacing w:after="0" w:line="80" w:lineRule="exact"/>
        <w:rPr>
          <w:sz w:val="20"/>
          <w:szCs w:val="20"/>
          <w:color w:val="auto"/>
        </w:rPr>
      </w:pPr>
    </w:p>
    <w:p>
      <w:pPr>
        <w:ind w:right="60" w:firstLine="399"/>
        <w:spacing w:after="0" w:line="250" w:lineRule="auto"/>
        <w:rPr>
          <w:sz w:val="20"/>
          <w:szCs w:val="20"/>
          <w:color w:val="auto"/>
        </w:rPr>
      </w:pPr>
      <w:r>
        <w:rPr>
          <w:rFonts w:ascii="Times New Roman" w:cs="Times New Roman" w:eastAsia="Times New Roman" w:hAnsi="Times New Roman"/>
          <w:sz w:val="18"/>
          <w:szCs w:val="18"/>
          <w:color w:val="auto"/>
        </w:rPr>
        <w:t>With the introduction of new gTLDs, many of our registrars and resellers have chosen to, and may continue to choose to, focus their short- or long-term marketing efforts on these new offerings and/or reduce the prominence or visibility of our products and services on their e-commerce platforms. Our registrars and resellers sell domain name registrations of other competing registries, including new gTLDs, and some also sell and support their own services for websites such as email, website hosting, and other services. Our registrars and resellers may be more motivated to sell to registrants to whom they can also market their own services. To the extent that registrars and resellers focus more on selling and supporting their services and less on the registration and renewal of domain names in the gTLDs we operate, our revenues could be adversely impacted. Our ability to successfully market our services to, and build and maintain strong relationships with, new and existing registrars or resellers is a factor upon which successful operation of our business is dependent. If we are unable to keep a significant portion of their marketing efforts focused on selling registrations of domain names in the gTLDs we operate, as opposed to other competing gTLDs, including the new gTLDs, or their own services, our business could be harmed.</w:t>
      </w:r>
    </w:p>
    <w:p>
      <w:pPr>
        <w:spacing w:after="0" w:line="81"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b w:val="1"/>
          <w:bCs w:val="1"/>
          <w:color w:val="auto"/>
        </w:rPr>
        <w:t>We depend on highly skilled employees to maintain and provide innovative solutions for our business, and our business could be materially harmed if we are not able to attract and retain such qualified talent.</w:t>
      </w:r>
    </w:p>
    <w:p>
      <w:pPr>
        <w:spacing w:after="0" w:line="55" w:lineRule="exact"/>
        <w:rPr>
          <w:sz w:val="20"/>
          <w:szCs w:val="20"/>
          <w:color w:val="auto"/>
        </w:rPr>
      </w:pPr>
    </w:p>
    <w:p>
      <w:pPr>
        <w:ind w:right="20" w:firstLine="399"/>
        <w:spacing w:after="0" w:line="252" w:lineRule="auto"/>
        <w:rPr>
          <w:sz w:val="20"/>
          <w:szCs w:val="20"/>
          <w:color w:val="auto"/>
        </w:rPr>
      </w:pPr>
      <w:r>
        <w:rPr>
          <w:rFonts w:ascii="Times New Roman" w:cs="Times New Roman" w:eastAsia="Times New Roman" w:hAnsi="Times New Roman"/>
          <w:sz w:val="18"/>
          <w:szCs w:val="18"/>
          <w:color w:val="auto"/>
        </w:rPr>
        <w:t>Our business is highly technical and requires individuals skilled and knowledgeable in unique technologies, configurations, operating systems, and software development tools. We depend on the knowledge, experience, and performance of these employees and leaders to effectively manage and provide innovative solutions for our business. For example, we require employees with expertise in DNS operations and with certain cybersecurity specialties. Because such employees are in high demand by our competitors and other companies, we must be able to attract, integrate, retain and motivate such highly skilled employees and leaders. Failure to attract and retain such employees and to effectively implement succession plans for these employees could harm our business.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 Risk Factors</w:t>
      </w:r>
    </w:p>
    <w:p>
      <w:pPr>
        <w:spacing w:after="0" w:line="112"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b w:val="1"/>
          <w:bCs w:val="1"/>
          <w:color w:val="auto"/>
        </w:rPr>
        <w:t>We rely on our intellectual property rights to protect our proprietary assets, and any failure by us to protect or enforce, or any misappropriation of, our intellectual property could materially harm our business.</w:t>
      </w:r>
    </w:p>
    <w:p>
      <w:pPr>
        <w:spacing w:after="0" w:line="55" w:lineRule="exact"/>
        <w:rPr>
          <w:sz w:val="20"/>
          <w:szCs w:val="20"/>
          <w:color w:val="auto"/>
        </w:rPr>
      </w:pPr>
    </w:p>
    <w:p>
      <w:pPr>
        <w:ind w:firstLine="399"/>
        <w:spacing w:after="0" w:line="249" w:lineRule="auto"/>
        <w:rPr>
          <w:sz w:val="20"/>
          <w:szCs w:val="20"/>
          <w:color w:val="auto"/>
        </w:rPr>
      </w:pPr>
      <w:r>
        <w:rPr>
          <w:rFonts w:ascii="Times New Roman" w:cs="Times New Roman" w:eastAsia="Times New Roman" w:hAnsi="Times New Roman"/>
          <w:sz w:val="18"/>
          <w:szCs w:val="18"/>
          <w:color w:val="auto"/>
        </w:rPr>
        <w:t>Our success depends in part on our internally developed technologies and related intellectual property. Despite our precautions, it may be possible for an external party to copy or otherwise obtain and use our intellectual property without authorization. Furthermore, the laws of other countries may not protect our proprietary rights in those countries to the same extent U.S. law protects these rights in the U.S. In addition, it is possible that others may independently develop substantially equivalent intellectual property. If we do not effectively protect our intellectual property, our business could suffer. Additionally, we have filed patent applications with respect to some of our technology in the U.S. Patent and Trademark Office and patent offices outside the U.S. Patents may not be awarded with respect to these applications and even if such patents are awarded, third parties may seek to oppose or otherwise challenge our patents, and such patents’ scope may differ significantly from what was requested in the patent applications and may not provide us with sufficient protection of our intellectual property. In the future, we may have to resort to litigation to enforce and protect our intellectual property rights, to protect our trade secrets or to determine the validity and scope of the proprietary rights of others. This type of litigation is inherently unpredictable and, regardless of its outcome, could result in substantial costs and diversion of management attention and technical resources. Some of the software and protocols used in our business are based on standards set by standards setting organizations such as the IETF. To the extent any of our patents are considered “standards essential patents,” in some cases we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18"/>
          <w:szCs w:val="18"/>
          <w:color w:val="auto"/>
        </w:rPr>
        <w:t>may be required to license such patents to our competitors on reasonable and non-discriminatory terms or otherwise be limited in our ability to assert such patents.</w:t>
      </w:r>
    </w:p>
    <w:p>
      <w:pPr>
        <w:spacing w:after="0" w:line="56" w:lineRule="exact"/>
        <w:rPr>
          <w:sz w:val="20"/>
          <w:szCs w:val="20"/>
          <w:color w:val="auto"/>
        </w:rPr>
      </w:pPr>
    </w:p>
    <w:p>
      <w:pPr>
        <w:ind w:right="40" w:firstLine="399"/>
        <w:spacing w:after="0" w:line="254" w:lineRule="auto"/>
        <w:rPr>
          <w:sz w:val="20"/>
          <w:szCs w:val="20"/>
          <w:color w:val="auto"/>
        </w:rPr>
      </w:pPr>
      <w:r>
        <w:rPr>
          <w:rFonts w:ascii="Times New Roman" w:cs="Times New Roman" w:eastAsia="Times New Roman" w:hAnsi="Times New Roman"/>
          <w:sz w:val="18"/>
          <w:szCs w:val="18"/>
          <w:color w:val="auto"/>
        </w:rPr>
        <w:t>We also license externally developed technology that is used in some of our products and services to perform key functions. These externally developed technology licenses may not continue to be available to us on commercially reasonable terms or at all. The loss of, or our inability to obtain or maintain, any of these technology licenses could hinder or increase the cost of our services, launching new products and services, entering into new markets and/or otherwise harm our business. Some of the software and protocols used in our business are in the public domain or may otherwise become publicly available, which means that such software and protocols are or may become equally available to our competitors.</w:t>
      </w:r>
    </w:p>
    <w:p>
      <w:pPr>
        <w:spacing w:after="0" w:line="76" w:lineRule="exact"/>
        <w:rPr>
          <w:sz w:val="20"/>
          <w:szCs w:val="20"/>
          <w:color w:val="auto"/>
        </w:rPr>
      </w:pPr>
    </w:p>
    <w:p>
      <w:pPr>
        <w:jc w:val="both"/>
        <w:ind w:right="100" w:firstLine="399"/>
        <w:spacing w:after="0" w:line="261" w:lineRule="auto"/>
        <w:rPr>
          <w:sz w:val="20"/>
          <w:szCs w:val="20"/>
          <w:color w:val="auto"/>
        </w:rPr>
      </w:pPr>
      <w:r>
        <w:rPr>
          <w:rFonts w:ascii="Times New Roman" w:cs="Times New Roman" w:eastAsia="Times New Roman" w:hAnsi="Times New Roman"/>
          <w:sz w:val="18"/>
          <w:szCs w:val="18"/>
          <w:color w:val="auto"/>
        </w:rPr>
        <w:t>We rely on the strength of our Verisign brand to help differentiate Verisign in the marketing of our products. Dilution of the strength of our brand could harm our business. We are at risk that we will be unable to fully register, build equity in, or enforce the Verisign logo in all markets where Verisign products and services are sold.</w:t>
      </w:r>
    </w:p>
    <w:p>
      <w:pPr>
        <w:spacing w:after="0" w:line="1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6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68" w:lineRule="exact"/>
        <w:rPr>
          <w:sz w:val="20"/>
          <w:szCs w:val="20"/>
          <w:color w:val="auto"/>
        </w:rPr>
      </w:pPr>
    </w:p>
    <w:p>
      <w:pPr>
        <w:ind w:right="120" w:firstLine="439"/>
        <w:spacing w:after="0" w:line="261" w:lineRule="auto"/>
        <w:rPr>
          <w:sz w:val="20"/>
          <w:szCs w:val="20"/>
          <w:color w:val="auto"/>
        </w:rPr>
      </w:pPr>
      <w:r>
        <w:rPr>
          <w:rFonts w:ascii="Times New Roman" w:cs="Times New Roman" w:eastAsia="Times New Roman" w:hAnsi="Times New Roman"/>
          <w:sz w:val="18"/>
          <w:szCs w:val="18"/>
          <w:color w:val="auto"/>
        </w:rPr>
        <w:t>As of December 31, 2022, we owned each of our significant properties, which include our corporate headquarters facility in Reston, Virginia, and data center facilities in New Castle, Delaware and Dulles, Virginia. We also lease a number of smaller office and data center locations around the world. We believe that our existing facilities, both owned and leased, are in good condition and suitable for the conduct of our business.</w:t>
      </w:r>
    </w:p>
    <w:p>
      <w:pPr>
        <w:spacing w:after="0" w:line="20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previously disclosed, Afilias Domains No. 3 Limited (now called Altanovo Domains Limited ) (“Afilias”), a competitor and losing bidder in the</w:t>
      </w:r>
    </w:p>
    <w:p>
      <w:pPr>
        <w:spacing w:after="0" w:line="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 xml:space="preserve">.web auction, filed a form of arbitration proceeding against ICANN, an Independent Review Process (“IRP”) under ICANN’s bylaws, on November 14, 2018. Afilias alleges that the agreement between Verisign and Nu Dotco, LLC (“NDC”) pertaining to </w:t>
      </w:r>
      <w:r>
        <w:rPr>
          <w:rFonts w:ascii="Times New Roman" w:cs="Times New Roman" w:eastAsia="Times New Roman" w:hAnsi="Times New Roman"/>
          <w:sz w:val="17"/>
          <w:szCs w:val="17"/>
          <w:i w:val="1"/>
          <w:iCs w:val="1"/>
          <w:color w:val="auto"/>
        </w:rPr>
        <w:t>.web</w:t>
      </w:r>
      <w:r>
        <w:rPr>
          <w:rFonts w:ascii="Times New Roman" w:cs="Times New Roman" w:eastAsia="Times New Roman" w:hAnsi="Times New Roman"/>
          <w:sz w:val="17"/>
          <w:szCs w:val="17"/>
          <w:color w:val="auto"/>
        </w:rPr>
        <w:t xml:space="preserve"> violated ICANN’s new gTLD Applicant Guidebook. As a result, Afilias claims that ICANN had a duty to disqualify NDC’s bid and award the </w:t>
      </w:r>
      <w:r>
        <w:rPr>
          <w:rFonts w:ascii="Times New Roman" w:cs="Times New Roman" w:eastAsia="Times New Roman" w:hAnsi="Times New Roman"/>
          <w:sz w:val="17"/>
          <w:szCs w:val="17"/>
          <w:i w:val="1"/>
          <w:iCs w:val="1"/>
          <w:color w:val="auto"/>
        </w:rPr>
        <w:t>.web</w:t>
      </w:r>
      <w:r>
        <w:rPr>
          <w:rFonts w:ascii="Times New Roman" w:cs="Times New Roman" w:eastAsia="Times New Roman" w:hAnsi="Times New Roman"/>
          <w:sz w:val="17"/>
          <w:szCs w:val="17"/>
          <w:color w:val="auto"/>
        </w:rPr>
        <w:t xml:space="preserve"> gTLD to Afilias. Afilias also claims that ICANN would violate its bylaws pertaining to competition by awarding the </w:t>
      </w:r>
      <w:r>
        <w:rPr>
          <w:rFonts w:ascii="Times New Roman" w:cs="Times New Roman" w:eastAsia="Times New Roman" w:hAnsi="Times New Roman"/>
          <w:sz w:val="17"/>
          <w:szCs w:val="17"/>
          <w:i w:val="1"/>
          <w:iCs w:val="1"/>
          <w:color w:val="auto"/>
        </w:rPr>
        <w:t>.web</w:t>
      </w:r>
      <w:r>
        <w:rPr>
          <w:rFonts w:ascii="Times New Roman" w:cs="Times New Roman" w:eastAsia="Times New Roman" w:hAnsi="Times New Roman"/>
          <w:sz w:val="17"/>
          <w:szCs w:val="17"/>
          <w:color w:val="auto"/>
        </w:rPr>
        <w:t xml:space="preserve"> gTLD to Verisign. Afilias amended its IRP request on March 21, 2019 in part to oppose Verisign’s and NDC’s participation in the IRP. A hearing was held on Verisign’s and NDC’s applications for participation and, on February 12, 2020, the IRP panel permitted Verisign and NDC to participate in aspects of the IRP. In early August 2020, the IRP panel held a hearing on Afilias’ claims.</w:t>
      </w:r>
    </w:p>
    <w:p>
      <w:pPr>
        <w:spacing w:after="0" w:line="134" w:lineRule="exact"/>
        <w:rPr>
          <w:sz w:val="20"/>
          <w:szCs w:val="20"/>
          <w:color w:val="auto"/>
        </w:rPr>
      </w:pPr>
    </w:p>
    <w:p>
      <w:pPr>
        <w:ind w:right="140" w:firstLine="399"/>
        <w:spacing w:after="0" w:line="242" w:lineRule="auto"/>
        <w:rPr>
          <w:sz w:val="20"/>
          <w:szCs w:val="20"/>
          <w:color w:val="auto"/>
        </w:rPr>
      </w:pPr>
      <w:r>
        <w:rPr>
          <w:rFonts w:ascii="Times New Roman" w:cs="Times New Roman" w:eastAsia="Times New Roman" w:hAnsi="Times New Roman"/>
          <w:sz w:val="18"/>
          <w:szCs w:val="18"/>
          <w:color w:val="auto"/>
        </w:rPr>
        <w:t xml:space="preserve">The IRP panel issued its final decision on May 20, 2021. Consistent with Verisign’s position, the IRP panel dismissed Afilias’ claims for relief seeking to invalidate the </w:t>
      </w:r>
      <w:r>
        <w:rPr>
          <w:rFonts w:ascii="Times New Roman" w:cs="Times New Roman" w:eastAsia="Times New Roman" w:hAnsi="Times New Roman"/>
          <w:sz w:val="18"/>
          <w:szCs w:val="18"/>
          <w:i w:val="1"/>
          <w:iCs w:val="1"/>
          <w:color w:val="auto"/>
        </w:rPr>
        <w:t>.web</w:t>
      </w:r>
      <w:r>
        <w:rPr>
          <w:rFonts w:ascii="Times New Roman" w:cs="Times New Roman" w:eastAsia="Times New Roman" w:hAnsi="Times New Roman"/>
          <w:sz w:val="18"/>
          <w:szCs w:val="18"/>
          <w:color w:val="auto"/>
        </w:rPr>
        <w:t xml:space="preserve"> auction and to award the </w:t>
      </w:r>
      <w:r>
        <w:rPr>
          <w:rFonts w:ascii="Times New Roman" w:cs="Times New Roman" w:eastAsia="Times New Roman" w:hAnsi="Times New Roman"/>
          <w:sz w:val="18"/>
          <w:szCs w:val="18"/>
          <w:i w:val="1"/>
          <w:iCs w:val="1"/>
          <w:color w:val="auto"/>
        </w:rPr>
        <w:t>.web</w:t>
      </w:r>
      <w:r>
        <w:rPr>
          <w:rFonts w:ascii="Times New Roman" w:cs="Times New Roman" w:eastAsia="Times New Roman" w:hAnsi="Times New Roman"/>
          <w:sz w:val="18"/>
          <w:szCs w:val="18"/>
          <w:color w:val="auto"/>
        </w:rPr>
        <w:t xml:space="preserve"> gTLD to Afilias, concluding that such issues were beyond the IRP panel’s jurisdiction. Furthermore, as expected, the IRP panel’s ruling recommended that ICANN’s Board of Directors consider the objections made regarding the </w:t>
      </w:r>
      <w:r>
        <w:rPr>
          <w:rFonts w:ascii="Times New Roman" w:cs="Times New Roman" w:eastAsia="Times New Roman" w:hAnsi="Times New Roman"/>
          <w:sz w:val="18"/>
          <w:szCs w:val="18"/>
          <w:i w:val="1"/>
          <w:iCs w:val="1"/>
          <w:color w:val="auto"/>
        </w:rPr>
        <w:t>.web</w:t>
      </w:r>
      <w:r>
        <w:rPr>
          <w:rFonts w:ascii="Times New Roman" w:cs="Times New Roman" w:eastAsia="Times New Roman" w:hAnsi="Times New Roman"/>
          <w:sz w:val="18"/>
          <w:szCs w:val="18"/>
          <w:color w:val="auto"/>
        </w:rPr>
        <w:t xml:space="preserve"> auction and then make a decision on the delegation of </w:t>
      </w:r>
      <w:r>
        <w:rPr>
          <w:rFonts w:ascii="Times New Roman" w:cs="Times New Roman" w:eastAsia="Times New Roman" w:hAnsi="Times New Roman"/>
          <w:sz w:val="18"/>
          <w:szCs w:val="18"/>
          <w:i w:val="1"/>
          <w:iCs w:val="1"/>
          <w:color w:val="auto"/>
        </w:rPr>
        <w:t>.web</w:t>
      </w:r>
      <w:r>
        <w:rPr>
          <w:rFonts w:ascii="Times New Roman" w:cs="Times New Roman" w:eastAsia="Times New Roman" w:hAnsi="Times New Roman"/>
          <w:sz w:val="18"/>
          <w:szCs w:val="18"/>
          <w:color w:val="auto"/>
        </w:rPr>
        <w:t>. With respect to ICANN, the final decision said that certain actions and/or inaction by ICANN in response to Afilias’ objections did violate aspects of ICANN's bylaws related to transparency and fairness.</w:t>
      </w:r>
    </w:p>
    <w:p>
      <w:pPr>
        <w:spacing w:after="0" w:line="128" w:lineRule="exact"/>
        <w:rPr>
          <w:sz w:val="20"/>
          <w:szCs w:val="20"/>
          <w:color w:val="auto"/>
        </w:rPr>
      </w:pPr>
    </w:p>
    <w:p>
      <w:pPr>
        <w:ind w:right="40" w:firstLine="399"/>
        <w:spacing w:after="0" w:line="241" w:lineRule="auto"/>
        <w:rPr>
          <w:sz w:val="20"/>
          <w:szCs w:val="20"/>
          <w:color w:val="auto"/>
        </w:rPr>
      </w:pPr>
      <w:r>
        <w:rPr>
          <w:rFonts w:ascii="Times New Roman" w:cs="Times New Roman" w:eastAsia="Times New Roman" w:hAnsi="Times New Roman"/>
          <w:sz w:val="18"/>
          <w:szCs w:val="18"/>
          <w:color w:val="auto"/>
        </w:rPr>
        <w:t xml:space="preserve">On June 19, 2021, Afilias filed an application to the IRP panel requesting that it interpret certain terms of, and make certain amendments to, the final decision. The IRP panel denied that application in its entirety on December 21, 2021 finding that it was “frivolous” and sanctioning Afilias by directing it to pay ICANN’s attorney fees. On January 16, 2022, ICANN’s Board directed its Board Accountability Mechanisms Committee (“BAMC”) to review the IRP panel’s final decision and to provide the Board with its findings to consider and recommendations to act upon regarding the award and delegation of </w:t>
      </w:r>
      <w:r>
        <w:rPr>
          <w:rFonts w:ascii="Times New Roman" w:cs="Times New Roman" w:eastAsia="Times New Roman" w:hAnsi="Times New Roman"/>
          <w:sz w:val="18"/>
          <w:szCs w:val="18"/>
          <w:i w:val="1"/>
          <w:iCs w:val="1"/>
          <w:color w:val="auto"/>
        </w:rPr>
        <w:t>.web</w:t>
      </w:r>
      <w:r>
        <w:rPr>
          <w:rFonts w:ascii="Times New Roman" w:cs="Times New Roman" w:eastAsia="Times New Roman" w:hAnsi="Times New Roman"/>
          <w:sz w:val="18"/>
          <w:szCs w:val="18"/>
          <w:color w:val="auto"/>
        </w:rPr>
        <w:t xml:space="preserve">. On May 19, 2022, the BAMC requested that the parties submit detailed summaries of their claims along with supporting materials. All parties submitted the requested materials by August 29, 2022. It is expected that after the BAMC makes its findings and recommendations, the ICANN Board will determine the final disposition of </w:t>
      </w:r>
      <w:r>
        <w:rPr>
          <w:rFonts w:ascii="Times New Roman" w:cs="Times New Roman" w:eastAsia="Times New Roman" w:hAnsi="Times New Roman"/>
          <w:sz w:val="18"/>
          <w:szCs w:val="18"/>
          <w:i w:val="1"/>
          <w:iCs w:val="1"/>
          <w:color w:val="auto"/>
        </w:rPr>
        <w:t>.web</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right="280" w:firstLine="399"/>
        <w:spacing w:after="0" w:line="237" w:lineRule="auto"/>
        <w:rPr>
          <w:sz w:val="20"/>
          <w:szCs w:val="20"/>
          <w:color w:val="auto"/>
        </w:rPr>
      </w:pPr>
      <w:r>
        <w:rPr>
          <w:rFonts w:ascii="Times New Roman" w:cs="Times New Roman" w:eastAsia="Times New Roman" w:hAnsi="Times New Roman"/>
          <w:sz w:val="18"/>
          <w:szCs w:val="18"/>
          <w:color w:val="auto"/>
        </w:rPr>
        <w:t>We are also involved in various investigations, claims and lawsuits arising in the normal conduct of our business, none of which, in our opinion, will have a material adverse effect on our financial condition, results of operations, or cash flows. We cannot assure you that we will prevail in any litigation. Regardless of the outcome, any litigation may require us to incur significant litigation expense and may result in significant diversion of management attention.</w:t>
      </w:r>
    </w:p>
    <w:p>
      <w:pPr>
        <w:spacing w:after="0" w:line="37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2" w:lineRule="exact"/>
        <w:rPr>
          <w:sz w:val="20"/>
          <w:szCs w:val="20"/>
          <w:color w:val="auto"/>
        </w:rPr>
      </w:pPr>
    </w:p>
    <w:p>
      <w:pPr>
        <w:ind w:left="840" w:right="260" w:hanging="958"/>
        <w:spacing w:after="0" w:line="278"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14" w:lineRule="exact"/>
        <w:rPr>
          <w:sz w:val="20"/>
          <w:szCs w:val="20"/>
          <w:color w:val="auto"/>
        </w:rPr>
      </w:pPr>
    </w:p>
    <w:p>
      <w:pPr>
        <w:jc w:val="both"/>
        <w:ind w:right="40" w:firstLine="399"/>
        <w:spacing w:after="0" w:line="306" w:lineRule="auto"/>
        <w:rPr>
          <w:sz w:val="20"/>
          <w:szCs w:val="20"/>
          <w:color w:val="auto"/>
        </w:rPr>
      </w:pPr>
      <w:r>
        <w:rPr>
          <w:rFonts w:ascii="Times New Roman" w:cs="Times New Roman" w:eastAsia="Times New Roman" w:hAnsi="Times New Roman"/>
          <w:sz w:val="17"/>
          <w:szCs w:val="17"/>
          <w:color w:val="auto"/>
        </w:rPr>
        <w:t>Our common stock is traded on the Nasdaq Global Select Market under the symbol VRSN. On February 10, 2023, there were 323 holders of record of our common stock. We cannot estimate the number of beneficial owners since many brokers and other institutions hold our stock on behalf of stockholders.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share repurchase activity during the three months ended December 31, 2022: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380" w:type="dxa"/>
            <w:vAlign w:val="bottom"/>
          </w:tcPr>
          <w:p>
            <w:pPr>
              <w:spacing w:after="0"/>
              <w:rPr>
                <w:sz w:val="13"/>
                <w:szCs w:val="13"/>
                <w:color w:val="auto"/>
              </w:rPr>
            </w:pPr>
          </w:p>
        </w:tc>
        <w:tc>
          <w:tcPr>
            <w:tcW w:w="1260" w:type="dxa"/>
            <w:vAlign w:val="bottom"/>
            <w:vMerge w:val="restart"/>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380" w:type="dxa"/>
            <w:vAlign w:val="bottom"/>
          </w:tcPr>
          <w:p>
            <w:pPr>
              <w:spacing w:after="0"/>
              <w:rPr>
                <w:sz w:val="12"/>
                <w:szCs w:val="12"/>
                <w:color w:val="auto"/>
              </w:rPr>
            </w:pPr>
          </w:p>
        </w:tc>
        <w:tc>
          <w:tcPr>
            <w:tcW w:w="1260" w:type="dxa"/>
            <w:vAlign w:val="bottom"/>
          </w:tcPr>
          <w:p>
            <w:pPr>
              <w:jc w:val="center"/>
              <w:ind w:left="183"/>
              <w:spacing w:after="0" w:line="147"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380" w:type="dxa"/>
            <w:vAlign w:val="bottom"/>
          </w:tcPr>
          <w:p>
            <w:pPr>
              <w:spacing w:after="0"/>
              <w:rPr>
                <w:sz w:val="11"/>
                <w:szCs w:val="11"/>
                <w:color w:val="auto"/>
              </w:rPr>
            </w:pPr>
          </w:p>
        </w:tc>
        <w:tc>
          <w:tcPr>
            <w:tcW w:w="1800" w:type="dxa"/>
            <w:vAlign w:val="bottom"/>
            <w:gridSpan w:val="2"/>
          </w:tcPr>
          <w:p>
            <w:pPr>
              <w:jc w:val="center"/>
              <w:ind w:right="191"/>
              <w:spacing w:after="0" w:line="135"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4"/>
        </w:trPr>
        <w:tc>
          <w:tcPr>
            <w:tcW w:w="45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14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Announced</w:t>
            </w:r>
          </w:p>
        </w:tc>
        <w:tc>
          <w:tcPr>
            <w:tcW w:w="380" w:type="dxa"/>
            <w:vAlign w:val="bottom"/>
          </w:tcPr>
          <w:p>
            <w:pPr>
              <w:spacing w:after="0"/>
              <w:rPr>
                <w:sz w:val="12"/>
                <w:szCs w:val="12"/>
                <w:color w:val="auto"/>
              </w:rPr>
            </w:pPr>
          </w:p>
        </w:tc>
        <w:tc>
          <w:tcPr>
            <w:tcW w:w="1800" w:type="dxa"/>
            <w:vAlign w:val="bottom"/>
            <w:gridSpan w:val="2"/>
          </w:tcPr>
          <w:p>
            <w:pPr>
              <w:jc w:val="center"/>
              <w:ind w:right="171"/>
              <w:spacing w:after="0" w:line="145" w:lineRule="exact"/>
              <w:rPr>
                <w:sz w:val="20"/>
                <w:szCs w:val="20"/>
                <w:color w:val="auto"/>
              </w:rPr>
            </w:pPr>
            <w:r>
              <w:rPr>
                <w:rFonts w:ascii="Times New Roman" w:cs="Times New Roman" w:eastAsia="Times New Roman" w:hAnsi="Times New Roman"/>
                <w:sz w:val="14"/>
                <w:szCs w:val="14"/>
                <w:b w:val="1"/>
                <w:bCs w:val="1"/>
                <w:color w:val="auto"/>
                <w:w w:val="99"/>
              </w:rPr>
              <w:t>Yet Be Purchased</w:t>
            </w:r>
          </w:p>
        </w:tc>
        <w:tc>
          <w:tcPr>
            <w:tcW w:w="0" w:type="dxa"/>
            <w:vAlign w:val="bottom"/>
          </w:tcPr>
          <w:p>
            <w:pPr>
              <w:spacing w:after="0"/>
              <w:rPr>
                <w:sz w:val="1"/>
                <w:szCs w:val="1"/>
                <w:color w:val="auto"/>
              </w:rPr>
            </w:pPr>
          </w:p>
        </w:tc>
      </w:tr>
      <w:tr>
        <w:trPr>
          <w:trHeight w:val="146"/>
        </w:trPr>
        <w:tc>
          <w:tcPr>
            <w:tcW w:w="4520" w:type="dxa"/>
            <w:vAlign w:val="bottom"/>
          </w:tcPr>
          <w:p>
            <w:pPr>
              <w:spacing w:after="0"/>
              <w:rPr>
                <w:sz w:val="12"/>
                <w:szCs w:val="12"/>
                <w:color w:val="auto"/>
              </w:rPr>
            </w:pPr>
          </w:p>
        </w:tc>
        <w:tc>
          <w:tcPr>
            <w:tcW w:w="13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5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4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380" w:type="dxa"/>
            <w:vAlign w:val="bottom"/>
          </w:tcPr>
          <w:p>
            <w:pPr>
              <w:spacing w:after="0"/>
              <w:rPr>
                <w:sz w:val="12"/>
                <w:szCs w:val="12"/>
                <w:color w:val="auto"/>
              </w:rPr>
            </w:pPr>
          </w:p>
        </w:tc>
        <w:tc>
          <w:tcPr>
            <w:tcW w:w="1800" w:type="dxa"/>
            <w:vAlign w:val="bottom"/>
            <w:gridSpan w:val="2"/>
          </w:tcPr>
          <w:p>
            <w:pPr>
              <w:jc w:val="center"/>
              <w:ind w:right="171"/>
              <w:spacing w:after="0" w:line="147"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3"/>
        </w:trPr>
        <w:tc>
          <w:tcPr>
            <w:tcW w:w="45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 Share</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rPr>
              <w:t>Programs (1)(2)</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5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40" w:type="dxa"/>
            <w:vAlign w:val="bottom"/>
            <w:gridSpan w:val="2"/>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31, 2022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5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$178.98</w:t>
            </w: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429</w:t>
            </w:r>
          </w:p>
        </w:tc>
        <w:tc>
          <w:tcPr>
            <w:tcW w:w="3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993.8</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million</w:t>
            </w:r>
          </w:p>
        </w:tc>
        <w:tc>
          <w:tcPr>
            <w:tcW w:w="0" w:type="dxa"/>
            <w:vAlign w:val="bottom"/>
          </w:tcPr>
          <w:p>
            <w:pPr>
              <w:spacing w:after="0"/>
              <w:rPr>
                <w:sz w:val="1"/>
                <w:szCs w:val="1"/>
                <w:color w:val="auto"/>
              </w:rPr>
            </w:pPr>
          </w:p>
        </w:tc>
      </w:tr>
      <w:tr>
        <w:trPr>
          <w:trHeight w:val="22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 30, 2022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54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$191.75</w:t>
            </w: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339</w:t>
            </w:r>
          </w:p>
        </w:tc>
        <w:tc>
          <w:tcPr>
            <w:tcW w:w="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928.8</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million</w:t>
            </w:r>
          </w:p>
        </w:tc>
        <w:tc>
          <w:tcPr>
            <w:tcW w:w="0" w:type="dxa"/>
            <w:vAlign w:val="bottom"/>
          </w:tcPr>
          <w:p>
            <w:pPr>
              <w:spacing w:after="0"/>
              <w:rPr>
                <w:sz w:val="1"/>
                <w:szCs w:val="1"/>
                <w:color w:val="auto"/>
              </w:rPr>
            </w:pPr>
          </w:p>
        </w:tc>
      </w:tr>
      <w:tr>
        <w:trPr>
          <w:trHeight w:val="22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31, 2022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5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$200.08</w:t>
            </w:r>
          </w:p>
        </w:tc>
        <w:tc>
          <w:tcPr>
            <w:tcW w:w="1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350</w:t>
            </w:r>
          </w:p>
        </w:tc>
        <w:tc>
          <w:tcPr>
            <w:tcW w:w="3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858.8</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million</w:t>
            </w:r>
          </w:p>
        </w:tc>
        <w:tc>
          <w:tcPr>
            <w:tcW w:w="0" w:type="dxa"/>
            <w:vAlign w:val="bottom"/>
          </w:tcPr>
          <w:p>
            <w:pPr>
              <w:spacing w:after="0"/>
              <w:rPr>
                <w:sz w:val="1"/>
                <w:szCs w:val="1"/>
                <w:color w:val="auto"/>
              </w:rPr>
            </w:pPr>
          </w:p>
        </w:tc>
      </w:tr>
      <w:tr>
        <w:trPr>
          <w:trHeight w:val="220"/>
        </w:trPr>
        <w:tc>
          <w:tcPr>
            <w:tcW w:w="45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540" w:type="dxa"/>
            <w:vAlign w:val="bottom"/>
          </w:tcPr>
          <w:p>
            <w:pPr>
              <w:spacing w:after="0"/>
              <w:rPr>
                <w:sz w:val="19"/>
                <w:szCs w:val="19"/>
                <w:color w:val="auto"/>
              </w:rPr>
            </w:pPr>
          </w:p>
        </w:tc>
        <w:tc>
          <w:tcPr>
            <w:tcW w:w="1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color w:val="auto"/>
              </w:rPr>
              <w:t>1,118</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320" w:hanging="314"/>
        <w:spacing w:after="0" w:line="292" w:lineRule="auto"/>
        <w:tabs>
          <w:tab w:leader="none" w:pos="31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February 10, 2022, our Board of Directors authorized the repurchase of our common stock in the amount of $705.4 million, in addition to the $294.6 million that remained available for repurchases under the share repurchase program, for a total repurchase authorization of up to $1.00 billion under the program.</w:t>
      </w:r>
    </w:p>
    <w:p>
      <w:pPr>
        <w:spacing w:after="0" w:line="74" w:lineRule="exact"/>
        <w:rPr>
          <w:rFonts w:ascii="Times New Roman" w:cs="Times New Roman" w:eastAsia="Times New Roman" w:hAnsi="Times New Roman"/>
          <w:sz w:val="14"/>
          <w:szCs w:val="14"/>
          <w:color w:val="auto"/>
        </w:rPr>
      </w:pPr>
    </w:p>
    <w:p>
      <w:pPr>
        <w:ind w:left="320" w:right="60" w:hanging="314"/>
        <w:spacing w:after="0" w:line="275" w:lineRule="auto"/>
        <w:tabs>
          <w:tab w:leader="none" w:pos="31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October 27, 2022, our Board of Directors authorized the repurchase of our common stock in the amount of $803.0 million, in addition to the $197.0 million that remained available for repurchases under the share repurchase program, for a total repurchase authorization of up to $1.00 billion under the program. The share repurchase program has no expiration date. Purchases made under the program could be effected through open market transactions, block purchases, accelerated share repurchase agreements or other negotiated transactions.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52" w:lineRule="exact"/>
        <w:rPr>
          <w:sz w:val="20"/>
          <w:szCs w:val="20"/>
          <w:color w:val="auto"/>
        </w:rPr>
      </w:pPr>
    </w:p>
    <w:p>
      <w:pPr>
        <w:ind w:firstLine="439"/>
        <w:spacing w:after="0" w:line="262" w:lineRule="auto"/>
        <w:rPr>
          <w:sz w:val="20"/>
          <w:szCs w:val="20"/>
          <w:color w:val="auto"/>
        </w:rPr>
      </w:pPr>
      <w:r>
        <w:rPr>
          <w:rFonts w:ascii="Times New Roman" w:cs="Times New Roman" w:eastAsia="Times New Roman" w:hAnsi="Times New Roman"/>
          <w:sz w:val="18"/>
          <w:szCs w:val="18"/>
          <w:i w:val="1"/>
          <w:iCs w:val="1"/>
          <w:color w:val="auto"/>
        </w:rPr>
        <w:t>The information contained in the Performance Graph shall not be deemed to be “soliciting material” or “filed” with the SEC or subject to the liabilities of Section 18 of the Exchange Act, except to the extent that we specifically incorporate it by reference into a document filed under the Securities Act of 1933, as amended (the “Securities Act”), or the Exchange Act.</w:t>
      </w:r>
    </w:p>
    <w:p>
      <w:pPr>
        <w:spacing w:after="0" w:line="110" w:lineRule="exact"/>
        <w:rPr>
          <w:sz w:val="20"/>
          <w:szCs w:val="20"/>
          <w:color w:val="auto"/>
        </w:rPr>
      </w:pPr>
    </w:p>
    <w:p>
      <w:pPr>
        <w:ind w:right="20" w:firstLine="439"/>
        <w:spacing w:after="0" w:line="256"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our common stock, the Standard and Poor’s (“S&amp;P”) 500 Index, and the S&amp;P 500 Information Technology Index. The graph assumes that $100 (and the reinvestment of any dividends thereafter) was invested in our common stock, the S&amp;P 500 Index and the S&amp;P 500 Information Technology Index on December 31, 2017, and calculates the return annually through December 31, 2022.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144145</wp:posOffset>
            </wp:positionV>
            <wp:extent cx="5181600" cy="40576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81600" cy="405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12/31/17</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12/31/18</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12/31/19</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12/31/22</w:t>
            </w:r>
          </w:p>
        </w:tc>
      </w:tr>
      <w:tr>
        <w:trPr>
          <w:trHeight w:val="25"/>
        </w:trPr>
        <w:tc>
          <w:tcPr>
            <w:tcW w:w="6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2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VeriSign, Inc.</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 Information Technology Index</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100" w:right="1340" w:hanging="4083"/>
        <w:spacing w:after="0" w:line="278"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FORWARD-LOOKING STATEMENTS</w:t>
      </w:r>
    </w:p>
    <w:p>
      <w:pPr>
        <w:spacing w:after="0" w:line="93" w:lineRule="exact"/>
        <w:rPr>
          <w:sz w:val="20"/>
          <w:szCs w:val="20"/>
          <w:color w:val="auto"/>
        </w:rPr>
      </w:pPr>
    </w:p>
    <w:p>
      <w:pPr>
        <w:ind w:firstLine="439"/>
        <w:spacing w:after="0"/>
        <w:rPr>
          <w:sz w:val="20"/>
          <w:szCs w:val="20"/>
          <w:color w:val="auto"/>
        </w:rPr>
      </w:pPr>
      <w:r>
        <w:rPr>
          <w:rFonts w:ascii="Times New Roman" w:cs="Times New Roman" w:eastAsia="Times New Roman" w:hAnsi="Times New Roman"/>
          <w:sz w:val="18"/>
          <w:szCs w:val="18"/>
          <w:i w:val="1"/>
          <w:iCs w:val="1"/>
          <w:color w:val="auto"/>
        </w:rPr>
        <w:t>This Form 10-K contains forward-looking statements within the meaning of Section 27A of the Securities Act and Section 21E of the Exchange Act. These forward-looking statements are based on current expectations and assumptions and involve risks and uncertainties, including, statements regarding our expectations about the sufficiency of our existing cash, cash equivalents and marketable securities, and funds generated from operations, together with our borrowing capacity under the unsecured revolving credit facility. Forward-looking statements include, among others, those statements including the words “expects,” “anticipates,” “intends,” “believes” and similar language. Our actual results may differ significantly from those projected in the forward-looking statements. Factors that might cause or contribute to such differences include, but are not limited to, those discussed in the section titled “Risk Factors” in Part I, Item 1A of this Form 10-K. You should also carefully review the risks described in other documents we file from time to time with the SEC, including the Quarterly Reports on Form 10-Q or Current Reports on Form 8-K that we file in 2023. You are cautioned not to place undue reliance on the forward-looking statements, which speak only as of the date of this Form 10-K. We undertake no obligation to update publicly or revise such statements, whether as a result of new information, future events, or otherwise, except as required by law.</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This section of this Form 10-K generally discusses 2022 and 2021 items and year-to-year comparisons between 2022 and 2021. Discussions</w:t>
      </w:r>
    </w:p>
    <w:p>
      <w:pPr>
        <w:spacing w:after="0" w:line="2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i w:val="1"/>
          <w:iCs w:val="1"/>
          <w:color w:val="auto"/>
        </w:rPr>
        <w:t>of 2020 items and year-to-year comparisons between 2021 and 2020 that are not included in this Form 10-K can be found in “Management’s Discussion and Analysis of Financial Condition and Results of Operations” in Part II, Item 7 of our Annual Report on Form 10-K for the fiscal year ended December 31, 2021.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4" w:lineRule="exact"/>
        <w:rPr>
          <w:sz w:val="20"/>
          <w:szCs w:val="20"/>
          <w:color w:val="auto"/>
        </w:rPr>
      </w:pPr>
    </w:p>
    <w:p>
      <w:pPr>
        <w:ind w:right="80" w:firstLine="399"/>
        <w:spacing w:after="0" w:line="256" w:lineRule="auto"/>
        <w:rPr>
          <w:sz w:val="20"/>
          <w:szCs w:val="20"/>
          <w:color w:val="auto"/>
        </w:rPr>
      </w:pPr>
      <w:r>
        <w:rPr>
          <w:rFonts w:ascii="Times New Roman" w:cs="Times New Roman" w:eastAsia="Times New Roman" w:hAnsi="Times New Roman"/>
          <w:sz w:val="18"/>
          <w:szCs w:val="18"/>
          <w:color w:val="auto"/>
        </w:rPr>
        <w:t>We are a global provider of domain name registry services and internet infrastructure, enabling internet navigation for many of the world’s most recognized domain names. We enable the security, stability, and resiliency of key internet infrastructure and services, including providing Root Zone Maintainer services, operating two of the 13 global internet root servers, and providing registration services and authoritative resolution for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top-level domains, which support the majority of global e-commerce.</w:t>
      </w:r>
    </w:p>
    <w:p>
      <w:pPr>
        <w:spacing w:after="0" w:line="73" w:lineRule="exact"/>
        <w:rPr>
          <w:sz w:val="20"/>
          <w:szCs w:val="20"/>
          <w:color w:val="auto"/>
        </w:rPr>
      </w:pPr>
    </w:p>
    <w:p>
      <w:pPr>
        <w:ind w:right="80" w:firstLine="399"/>
        <w:spacing w:after="0" w:line="251" w:lineRule="auto"/>
        <w:rPr>
          <w:sz w:val="20"/>
          <w:szCs w:val="20"/>
          <w:color w:val="auto"/>
        </w:rPr>
      </w:pPr>
      <w:r>
        <w:rPr>
          <w:rFonts w:ascii="Times New Roman" w:cs="Times New Roman" w:eastAsia="Times New Roman" w:hAnsi="Times New Roman"/>
          <w:sz w:val="18"/>
          <w:szCs w:val="18"/>
          <w:color w:val="auto"/>
        </w:rPr>
        <w:t>As of December 31, 2022, we had approximately 173.8 million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registrations in the domain name base. The number of domain names registered is largely driven by continued growth in online advertising, e-commerce, and the number of internet users, which is partially driven by greater availability of internet access, as well as marketing activities carried out by us and our registrars. Growth in the number of domain name registrations under our management may be hindered by certain factors, including overall economic conditions, competition from ccTLDs, other gTLDs, services that offer alternatives for an online presence, such as social media, and ongoing changes in the internet practices and behaviors of consumers and businesses. Factors such as the evolving practices and preferences of internet users, and how they navigate the internet, as well as the motivation of domain name registrants and how they will manage their investment in domain names, can negatively impact our business and the demand for new domain name registrations and renewals.</w:t>
      </w:r>
    </w:p>
    <w:p>
      <w:pPr>
        <w:spacing w:after="0" w:line="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2022 Business Highlights and Trends</w:t>
      </w:r>
    </w:p>
    <w:p>
      <w:pPr>
        <w:spacing w:after="0" w:line="116" w:lineRule="exact"/>
        <w:rPr>
          <w:sz w:val="20"/>
          <w:szCs w:val="20"/>
          <w:color w:val="auto"/>
        </w:rPr>
      </w:pPr>
    </w:p>
    <w:p>
      <w:pPr>
        <w:ind w:left="960" w:hanging="39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revenues of $1,424.9 million in 2022, which represents an increase of 7% compared to 2021.</w:t>
      </w:r>
    </w:p>
    <w:p>
      <w:pPr>
        <w:spacing w:after="0" w:line="112" w:lineRule="exact"/>
        <w:rPr>
          <w:rFonts w:ascii="Times New Roman" w:cs="Times New Roman" w:eastAsia="Times New Roman" w:hAnsi="Times New Roman"/>
          <w:sz w:val="18"/>
          <w:szCs w:val="18"/>
          <w:color w:val="auto"/>
        </w:rPr>
      </w:pPr>
    </w:p>
    <w:p>
      <w:pPr>
        <w:ind w:left="960" w:hanging="39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operating income of $943.1 million during 2022, which represents an increase of 9% as compared to 2021.</w:t>
      </w:r>
    </w:p>
    <w:p>
      <w:pPr>
        <w:spacing w:after="0" w:line="110" w:lineRule="exact"/>
        <w:rPr>
          <w:rFonts w:ascii="Times New Roman" w:cs="Times New Roman" w:eastAsia="Times New Roman" w:hAnsi="Times New Roman"/>
          <w:sz w:val="18"/>
          <w:szCs w:val="18"/>
          <w:color w:val="auto"/>
        </w:rPr>
      </w:pPr>
    </w:p>
    <w:p>
      <w:pPr>
        <w:ind w:left="960" w:right="60" w:hanging="394"/>
        <w:spacing w:after="0" w:line="278"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finished 2022 with 173.8 million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registrations in the domain name base, which represents a 0.2% increase from December 31, 2021.</w:t>
      </w:r>
    </w:p>
    <w:p>
      <w:pPr>
        <w:spacing w:after="0" w:line="52" w:lineRule="exact"/>
        <w:rPr>
          <w:rFonts w:ascii="Times New Roman" w:cs="Times New Roman" w:eastAsia="Times New Roman" w:hAnsi="Times New Roman"/>
          <w:sz w:val="18"/>
          <w:szCs w:val="18"/>
          <w:color w:val="auto"/>
        </w:rPr>
      </w:pPr>
    </w:p>
    <w:p>
      <w:pPr>
        <w:ind w:left="960" w:hanging="39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2022, we processed 39.9 million new domain name registrations for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compared to 44.6 million in 2021.</w:t>
      </w:r>
    </w:p>
    <w:p>
      <w:pPr>
        <w:spacing w:after="0" w:line="112" w:lineRule="exact"/>
        <w:rPr>
          <w:rFonts w:ascii="Times New Roman" w:cs="Times New Roman" w:eastAsia="Times New Roman" w:hAnsi="Times New Roman"/>
          <w:sz w:val="18"/>
          <w:szCs w:val="18"/>
          <w:color w:val="auto"/>
        </w:rPr>
      </w:pPr>
    </w:p>
    <w:p>
      <w:pPr>
        <w:ind w:left="960" w:right="20" w:hanging="394"/>
        <w:spacing w:after="0" w:line="278"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final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renewal rate for the third quarter of 2022 was 73.7% compared to 75.0% for the same quarter of 2021. Renewal rates are not fully measurable until 45 days after the end of the quarter.</w:t>
      </w:r>
    </w:p>
    <w:p>
      <w:pPr>
        <w:spacing w:after="0" w:line="54" w:lineRule="exact"/>
        <w:rPr>
          <w:rFonts w:ascii="Times New Roman" w:cs="Times New Roman" w:eastAsia="Times New Roman" w:hAnsi="Times New Roman"/>
          <w:sz w:val="18"/>
          <w:szCs w:val="18"/>
          <w:color w:val="auto"/>
        </w:rPr>
      </w:pPr>
    </w:p>
    <w:p>
      <w:pPr>
        <w:ind w:left="960" w:right="320" w:hanging="394"/>
        <w:spacing w:after="0" w:line="276"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repurchased 5.5 million shares of our common stock for an aggregate cost of $1.03 billion in 2022. As of December 31, 2022, there was $858.8 million remaining for future share repurchases under the share repurchase program.</w:t>
      </w:r>
    </w:p>
    <w:p>
      <w:pPr>
        <w:spacing w:after="0" w:line="56" w:lineRule="exact"/>
        <w:rPr>
          <w:rFonts w:ascii="Times New Roman" w:cs="Times New Roman" w:eastAsia="Times New Roman" w:hAnsi="Times New Roman"/>
          <w:sz w:val="18"/>
          <w:szCs w:val="18"/>
          <w:color w:val="auto"/>
        </w:rPr>
      </w:pPr>
    </w:p>
    <w:p>
      <w:pPr>
        <w:ind w:left="960" w:hanging="39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cash flows from operating activities of $831.1 million in 2022, which represents an increase of 3% as compared to 2021.</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60" w:right="140" w:hanging="394"/>
        <w:spacing w:after="0" w:line="278"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February 9, 2023, we announced that we will increase the annual registry-level wholesale fee for each new and renewal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domain name registration from $8.97 to $9.59, effective September 1, 2023.</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16" w:lineRule="exact"/>
        <w:rPr>
          <w:sz w:val="20"/>
          <w:szCs w:val="20"/>
          <w:color w:val="auto"/>
        </w:rPr>
      </w:pPr>
    </w:p>
    <w:p>
      <w:pPr>
        <w:ind w:right="100" w:firstLine="479"/>
        <w:spacing w:after="0" w:line="270" w:lineRule="auto"/>
        <w:rPr>
          <w:sz w:val="20"/>
          <w:szCs w:val="20"/>
          <w:color w:val="auto"/>
        </w:rPr>
      </w:pPr>
      <w:r>
        <w:rPr>
          <w:rFonts w:ascii="Times New Roman" w:cs="Times New Roman" w:eastAsia="Times New Roman" w:hAnsi="Times New Roman"/>
          <w:sz w:val="17"/>
          <w:szCs w:val="17"/>
          <w:color w:val="auto"/>
        </w:rPr>
        <w:t>The discussion and analysis of our financial condition and results of operations are based upon our Consolidated Financial Statements, which have been prepared in accordance with U.S. generally accepted accounting principles. The preparation of these financial statements requires management to make estimates and judgments that affect the reported amounts of assets, liabilities, revenues and expenses, and related disclosures of contingent assets and liabilities. On an ongoing basis, management evaluates those estimates. Management bases its estimates on historical experience and on various assumptions that are believed to be reasonable under the circumstances, the results of which form the basis for making judgments about the carrying values of assets and liabilities that are not readily available from other sources. Actual results may differ from these estimates under different assumptions or conditions.</w:t>
      </w:r>
    </w:p>
    <w:p>
      <w:pPr>
        <w:spacing w:after="0" w:line="105" w:lineRule="exact"/>
        <w:rPr>
          <w:sz w:val="20"/>
          <w:szCs w:val="20"/>
          <w:color w:val="auto"/>
        </w:rPr>
      </w:pPr>
    </w:p>
    <w:p>
      <w:pPr>
        <w:ind w:right="100" w:firstLine="439"/>
        <w:spacing w:after="0" w:line="261" w:lineRule="auto"/>
        <w:rPr>
          <w:sz w:val="20"/>
          <w:szCs w:val="20"/>
          <w:color w:val="auto"/>
        </w:rPr>
      </w:pPr>
      <w:r>
        <w:rPr>
          <w:rFonts w:ascii="Times New Roman" w:cs="Times New Roman" w:eastAsia="Times New Roman" w:hAnsi="Times New Roman"/>
          <w:sz w:val="18"/>
          <w:szCs w:val="18"/>
          <w:color w:val="auto"/>
        </w:rPr>
        <w:t>Critical accounting estimates are those estimates made in accordance with generally accepted accounting principles that involve a significant level of estimation uncertainty and have had or are reasonably likely to have a material impact on the financial condition or results of operations of the registrant. We believe the following critical accounting estimates and policies have the most significant impact on our consolidated financial statements: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4"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18"/>
          <w:szCs w:val="18"/>
          <w:color w:val="auto"/>
        </w:rPr>
        <w:t>We operate in multiple tax jurisdictions in the United States and internationally. Tax laws and regulations in these jurisdictions are complex, interrelated, and periodically changing. Significant judgment or interpretation of these laws and regulations is often required in determining our worldwide provision for income taxes, including, for example, the calculations of taxable income in each jurisdiction, deferred taxes, and the availability and amount of deductions and tax credits. We have recognized $234.6 million of deferred tax assets, net as of December 31, 2022. Our income tax expense was $206.4 million for the year ended December 31, 2022.</w:t>
      </w:r>
    </w:p>
    <w:p>
      <w:pPr>
        <w:spacing w:after="0" w:line="76"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18"/>
          <w:szCs w:val="18"/>
          <w:color w:val="auto"/>
        </w:rPr>
        <w:t>The final taxes payable are also dependent upon many factors, including negotiations with taxing authorities in various jurisdictions and resolution of disputes arising from various tax examinations. We only recognize or continue to recognize tax positions and tax benefit amounts that are more likely than not to be sustained upon examination. We adjust these amounts in light of changing facts and circumstances; however, due to the complexity of some of these uncertainties, the ultimate resolution may result in an outcome that is materially different from our current estimate of unrecognized tax benefits. See Note 10, “Income Taxes” of our Notes to Consolidated Financial Statements in Item 8 of this Form 10-K for further discussion of the $165.5 million deferred tax asset and corresponding income tax benefit recognized in the fourth quarter of 2021.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information regarding our results of operations as a percentage of revenues: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16"/>
                <w:szCs w:val="16"/>
                <w:color w:val="auto"/>
              </w:rPr>
            </w:pPr>
          </w:p>
        </w:tc>
      </w:tr>
      <w:tr>
        <w:trPr>
          <w:trHeight w:val="25"/>
        </w:trPr>
        <w:tc>
          <w:tcPr>
            <w:tcW w:w="67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6780" w:type="dxa"/>
            <w:vAlign w:val="bottom"/>
          </w:tcPr>
          <w:p>
            <w:pPr>
              <w:spacing w:after="0"/>
              <w:rPr>
                <w:sz w:val="16"/>
                <w:szCs w:val="16"/>
                <w:color w:val="auto"/>
              </w:rPr>
            </w:pPr>
          </w:p>
        </w:tc>
        <w:tc>
          <w:tcPr>
            <w:tcW w:w="13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60" w:type="dxa"/>
            <w:vAlign w:val="bottom"/>
            <w:gridSpan w:val="2"/>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6"/>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6"/>
        </w:trPr>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revenues</w:t>
            </w: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14.1</w:t>
            </w:r>
          </w:p>
        </w:tc>
        <w:tc>
          <w:tcPr>
            <w:tcW w:w="146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14.2</w:t>
            </w:r>
          </w:p>
        </w:tc>
      </w:tr>
      <w:tr>
        <w:trPr>
          <w:trHeight w:val="226"/>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6.0</w:t>
            </w:r>
          </w:p>
        </w:tc>
        <w:tc>
          <w:tcPr>
            <w:tcW w:w="146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5.9</w:t>
            </w:r>
          </w:p>
        </w:tc>
      </w:tr>
      <w:tr>
        <w:trPr>
          <w:trHeight w:val="226"/>
        </w:trPr>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13.7</w:t>
            </w:r>
          </w:p>
        </w:tc>
        <w:tc>
          <w:tcPr>
            <w:tcW w:w="146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14.7</w:t>
            </w:r>
          </w:p>
        </w:tc>
      </w:tr>
      <w:tr>
        <w:trPr>
          <w:trHeight w:val="220"/>
        </w:trPr>
        <w:tc>
          <w:tcPr>
            <w:tcW w:w="678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3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34.8</w:t>
            </w:r>
          </w:p>
        </w:tc>
      </w:tr>
      <w:tr>
        <w:trPr>
          <w:trHeight w:val="22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65.2</w:t>
            </w:r>
          </w:p>
        </w:tc>
      </w:tr>
      <w:tr>
        <w:trPr>
          <w:trHeight w:val="22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3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(5.3)</w:t>
            </w:r>
          </w:p>
        </w:tc>
        <w:tc>
          <w:tcPr>
            <w:tcW w:w="146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(7.1)</w:t>
            </w:r>
          </w:p>
        </w:tc>
      </w:tr>
      <w:tr>
        <w:trPr>
          <w:trHeight w:val="226"/>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(loss), net</w:t>
            </w: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0.9</w:t>
            </w:r>
          </w:p>
        </w:tc>
        <w:tc>
          <w:tcPr>
            <w:tcW w:w="146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1.2</w:t>
            </w:r>
          </w:p>
        </w:tc>
      </w:tr>
      <w:tr>
        <w:trPr>
          <w:trHeight w:val="220"/>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3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59.3</w:t>
            </w:r>
          </w:p>
        </w:tc>
      </w:tr>
      <w:tr>
        <w:trPr>
          <w:trHeight w:val="226"/>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(14.5)</w:t>
            </w:r>
          </w:p>
        </w:tc>
        <w:tc>
          <w:tcPr>
            <w:tcW w:w="146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5.1</w:t>
            </w:r>
          </w:p>
        </w:tc>
      </w:tr>
      <w:tr>
        <w:trPr>
          <w:trHeight w:val="245"/>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64.4 %</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14" w:lineRule="exact"/>
        <w:rPr>
          <w:sz w:val="20"/>
          <w:szCs w:val="20"/>
          <w:color w:val="auto"/>
        </w:rPr>
      </w:pPr>
    </w:p>
    <w:p>
      <w:pPr>
        <w:ind w:right="160" w:firstLine="399"/>
        <w:spacing w:after="0" w:line="254" w:lineRule="auto"/>
        <w:rPr>
          <w:sz w:val="20"/>
          <w:szCs w:val="20"/>
          <w:color w:val="auto"/>
        </w:rPr>
      </w:pPr>
      <w:r>
        <w:rPr>
          <w:rFonts w:ascii="Times New Roman" w:cs="Times New Roman" w:eastAsia="Times New Roman" w:hAnsi="Times New Roman"/>
          <w:sz w:val="18"/>
          <w:szCs w:val="18"/>
          <w:color w:val="auto"/>
        </w:rPr>
        <w:t xml:space="preserve">Our revenues are primarily derived from registrations for domain names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 registries. We also derive revenues from operating domain name registries and technical systems for several other gTLDs and ccTLDs, all of which are not significant in relation to our consolidated revenues. For domain names registered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registries we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receive a fee from registrars per annual registration that is determined pursuant to our agreements with ICANN. Individual customers, called registrants, contract directly with registrars or their resellers, and the registrars, who are our direct customers, in turn register the domain names with Verisign. Changes in revenues are driven largely by changes in the number of new domain name registrations and the renewal rate for existing registrations as well as the impact of new and prior price increases, to the extent permitted by ICANN and the DOC. New registrations and the renewal rate for existing registrations are impacted by continued growth in online advertising, e-commerce, and the number of internet users, as well as marketing activities carried out by us and our registrars. We also offer promotional incentive-based discount programs to registrars based upon market conditions and the business environment in which the registrars operate.</w:t>
      </w:r>
    </w:p>
    <w:p>
      <w:pPr>
        <w:spacing w:after="0" w:line="74" w:lineRule="exact"/>
        <w:rPr>
          <w:sz w:val="20"/>
          <w:szCs w:val="20"/>
          <w:color w:val="auto"/>
        </w:rPr>
      </w:pPr>
    </w:p>
    <w:p>
      <w:pPr>
        <w:ind w:right="80" w:firstLine="399"/>
        <w:spacing w:after="0" w:line="242" w:lineRule="auto"/>
        <w:rPr>
          <w:sz w:val="20"/>
          <w:szCs w:val="20"/>
          <w:color w:val="auto"/>
        </w:rPr>
      </w:pPr>
      <w:r>
        <w:rPr>
          <w:rFonts w:ascii="Times New Roman" w:cs="Times New Roman" w:eastAsia="Times New Roman" w:hAnsi="Times New Roman"/>
          <w:sz w:val="18"/>
          <w:szCs w:val="18"/>
          <w:color w:val="auto"/>
        </w:rPr>
        <w:t>Under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we are permitted to increase the price of a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domain name registration by up to 7% in each of the final four years of each six-year period beginning on October 26, 2018. We increased the annual registry-level wholesale fee for each new and renewal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domain name registration from $7.85 to $8.39 effective September 1, 2021, and from $8.39 to $8.97 effective September 1, 2022. On February 9, 2023, we announced that we will increase the annual registry-level wholesale fee for each new and renewal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domain name registration from $8.97 to $9.59, effective September 1, 2023. We have the contractual right to increase the fees for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 registrations by up to 10% each year during the term of our agreement with ICANN, through June 30, 2023. On July 28, 2022, we announced that we will increase the annual registry-level wholesale fee for each new and renewal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 registration from $9.02 to $9.92, effective February 1, 2023. All fees paid to us for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registrations are in U.S. dollars.</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comparison of revenues is presented below:</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0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Pr>
          <w:p>
            <w:pPr>
              <w:jc w:val="right"/>
              <w:ind w:right="325"/>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0"/>
                <w:szCs w:val="10"/>
                <w:color w:val="auto"/>
              </w:rPr>
            </w:pPr>
          </w:p>
        </w:tc>
        <w:tc>
          <w:tcPr>
            <w:tcW w:w="1160" w:type="dxa"/>
            <w:vAlign w:val="bottom"/>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tcPr>
          <w:p>
            <w:pPr>
              <w:jc w:val="right"/>
              <w:ind w:right="683"/>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3"/>
        </w:trPr>
        <w:tc>
          <w:tcPr>
            <w:tcW w:w="5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center"/>
              <w:ind w:right="42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1,424.9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1,327.6</w:t>
            </w:r>
          </w:p>
        </w:tc>
        <w:tc>
          <w:tcPr>
            <w:tcW w:w="11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5 %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compares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domain name registrations in the domain name base: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20" w:type="dxa"/>
            <w:vAlign w:val="bottom"/>
          </w:tcPr>
          <w:p>
            <w:pPr>
              <w:spacing w:after="0"/>
              <w:rPr>
                <w:sz w:val="11"/>
                <w:szCs w:val="11"/>
                <w:color w:val="auto"/>
              </w:rPr>
            </w:pPr>
          </w:p>
        </w:tc>
        <w:tc>
          <w:tcPr>
            <w:tcW w:w="1320" w:type="dxa"/>
            <w:vAlign w:val="bottom"/>
            <w:vMerge w:val="restart"/>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860" w:type="dxa"/>
            <w:vAlign w:val="bottom"/>
          </w:tcPr>
          <w:p>
            <w:pPr>
              <w:jc w:val="right"/>
              <w:ind w:right="285"/>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860" w:type="dxa"/>
            <w:vAlign w:val="bottom"/>
          </w:tcPr>
          <w:p>
            <w:pPr>
              <w:jc w:val="right"/>
              <w:ind w:right="285"/>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1200" w:type="dxa"/>
            <w:vAlign w:val="bottom"/>
            <w:vMerge w:val="restart"/>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 xml:space="preserve">.com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.net </w:t>
            </w:r>
            <w:r>
              <w:rPr>
                <w:rFonts w:ascii="Times New Roman" w:cs="Times New Roman" w:eastAsia="Times New Roman" w:hAnsi="Times New Roman"/>
                <w:sz w:val="17"/>
                <w:szCs w:val="17"/>
                <w:color w:val="auto"/>
              </w:rPr>
              <w:t>domain name registrations in the domain name base</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173.8 million</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 million</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165.2 million</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20" w:firstLine="439"/>
        <w:spacing w:after="0" w:line="252" w:lineRule="auto"/>
        <w:rPr>
          <w:sz w:val="20"/>
          <w:szCs w:val="20"/>
          <w:color w:val="auto"/>
        </w:rPr>
      </w:pPr>
      <w:r>
        <w:rPr>
          <w:rFonts w:ascii="Times New Roman" w:cs="Times New Roman" w:eastAsia="Times New Roman" w:hAnsi="Times New Roman"/>
          <w:sz w:val="18"/>
          <w:szCs w:val="18"/>
          <w:color w:val="auto"/>
        </w:rPr>
        <w:t>Revenues increased by $97.3 million in 2022 compared to 2021, primarily due to an increase in revenues from the operation of the registry for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gTLD driven by the price increases that became effective September 1, 2022 and 2021, and to a lesser extent, an increase in the domain name base for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As discussed in prior periods, we believe that the effects of the COVID-19 pandemic initially led to an increase in the demand for domain names, particularly as businesses and entrepreneurs sought to establish or expand their presence online in the beginning of the pandemic. This increased demand appears to have subsided in 2022. Additionally, revenues from the operation of the .</w:t>
      </w:r>
      <w:r>
        <w:rPr>
          <w:rFonts w:ascii="Times New Roman" w:cs="Times New Roman" w:eastAsia="Times New Roman" w:hAnsi="Times New Roman"/>
          <w:sz w:val="18"/>
          <w:szCs w:val="18"/>
          <w:i w:val="1"/>
          <w:iCs w:val="1"/>
          <w:color w:val="auto"/>
        </w:rPr>
        <w:t>tv</w:t>
      </w:r>
      <w:r>
        <w:rPr>
          <w:rFonts w:ascii="Times New Roman" w:cs="Times New Roman" w:eastAsia="Times New Roman" w:hAnsi="Times New Roman"/>
          <w:sz w:val="18"/>
          <w:szCs w:val="18"/>
          <w:color w:val="auto"/>
        </w:rPr>
        <w:t xml:space="preserve"> registry increased by $6.6 million in 2022 primarily due to the recognition of the remaining deferred revenue as the operation of the .</w:t>
      </w:r>
      <w:r>
        <w:rPr>
          <w:rFonts w:ascii="Times New Roman" w:cs="Times New Roman" w:eastAsia="Times New Roman" w:hAnsi="Times New Roman"/>
          <w:sz w:val="18"/>
          <w:szCs w:val="18"/>
          <w:i w:val="1"/>
          <w:iCs w:val="1"/>
          <w:color w:val="auto"/>
        </w:rPr>
        <w:t>tv</w:t>
      </w:r>
      <w:r>
        <w:rPr>
          <w:rFonts w:ascii="Times New Roman" w:cs="Times New Roman" w:eastAsia="Times New Roman" w:hAnsi="Times New Roman"/>
          <w:sz w:val="18"/>
          <w:szCs w:val="18"/>
          <w:color w:val="auto"/>
        </w:rPr>
        <w:t xml:space="preserve"> registry was transitioned to a new operator in November 2022 and upon completion of the transition, we had no remaining performance obligations to our customers.</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Demand for domain names has been primarily driven by continued internet growth and marketing activities carried out by us and our</w:t>
      </w:r>
    </w:p>
    <w:p>
      <w:pPr>
        <w:spacing w:after="0" w:line="25"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8"/>
          <w:szCs w:val="18"/>
          <w:color w:val="auto"/>
        </w:rPr>
        <w:t>registrars. However, competitive pressure from ccTLDs, other gTLDs, services that offer alternatives for an online presence, such as social media, ongoing changes in internet practices and behaviors of consumers and business, as well as the motivation of existing domain name registrants managing their investment in domain names, such as for resale at increased prices or for revenue generation through website advertising, and global economic uncertainty, has limited the demand for domain names and may continue to do so in the future.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Geographic revenues</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generate revenues in the U.S.; Europe, the Middle East and Africa (“EMEA”); China; and certain other countries, including Canada, Japan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The following table presents a comparison of the Company’s geographic revenues:</w:t>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6"/>
          </w:tcPr>
          <w:p>
            <w:pPr>
              <w:jc w:val="center"/>
              <w:ind w:left="803"/>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0" w:type="dxa"/>
            <w:vAlign w:val="bottom"/>
            <w:gridSpan w:val="2"/>
          </w:tcPr>
          <w:p>
            <w:pPr>
              <w:jc w:val="right"/>
              <w:ind w:right="403"/>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416"/>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36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0" w:type="dxa"/>
            <w:vAlign w:val="bottom"/>
          </w:tcPr>
          <w:p>
            <w:pPr>
              <w:spacing w:after="0"/>
              <w:rPr>
                <w:sz w:val="1"/>
                <w:szCs w:val="1"/>
                <w:color w:val="auto"/>
              </w:rPr>
            </w:pPr>
          </w:p>
        </w:tc>
      </w:tr>
      <w:tr>
        <w:trPr>
          <w:trHeight w:val="22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2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26"/>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45"/>
        </w:trPr>
        <w:tc>
          <w:tcPr>
            <w:tcW w:w="4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right="20" w:firstLine="399"/>
        <w:spacing w:after="0" w:line="272" w:lineRule="auto"/>
        <w:rPr>
          <w:sz w:val="20"/>
          <w:szCs w:val="20"/>
          <w:color w:val="auto"/>
        </w:rPr>
      </w:pPr>
      <w:r>
        <w:rPr>
          <w:rFonts w:ascii="Times New Roman" w:cs="Times New Roman" w:eastAsia="Times New Roman" w:hAnsi="Times New Roman"/>
          <w:sz w:val="17"/>
          <w:szCs w:val="17"/>
          <w:color w:val="auto"/>
        </w:rPr>
        <w:t>Revenues in the table above are attributed to the country of domicile and the respective regions in which our registrars are located; however, this may differ from the regions where the registrars operate or where registrants are located. Revenue growth for each region may be impacted by registrars reincorporating, relocating, or from acquisitions or changes in affiliations of resellers. Revenues in the U.S. benefited from several such changes during 2022, while revenues in EMEA were negatively impacted. Revenue growth for each region may also be impacted by registrars domiciled in one region, registering domain names in another region. During 2022, revenues increased in all regions except EMEA, which declined due to the factors described above.</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16" w:lineRule="exact"/>
        <w:rPr>
          <w:sz w:val="20"/>
          <w:szCs w:val="20"/>
          <w:color w:val="auto"/>
        </w:rPr>
      </w:pPr>
    </w:p>
    <w:p>
      <w:pPr>
        <w:ind w:right="140" w:firstLine="399"/>
        <w:spacing w:after="0" w:line="261" w:lineRule="auto"/>
        <w:rPr>
          <w:sz w:val="20"/>
          <w:szCs w:val="20"/>
          <w:color w:val="auto"/>
        </w:rPr>
      </w:pPr>
      <w:r>
        <w:rPr>
          <w:rFonts w:ascii="Times New Roman" w:cs="Times New Roman" w:eastAsia="Times New Roman" w:hAnsi="Times New Roman"/>
          <w:sz w:val="18"/>
          <w:szCs w:val="18"/>
          <w:color w:val="auto"/>
        </w:rPr>
        <w:t>Cost of revenues consist primarily of salaries and employee benefits expenses for our personnel who manage the operational systems, depreciation expenses, operational costs associated with the delivery of our services, fees paid to ICANN, customer support and training, costs of facilities and computer equipment used in these activities, telecommunications expense and allocations of indirect costs such as corporate overhead.</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comparison of cost of revenues is presented below:</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60" w:type="dxa"/>
            <w:vAlign w:val="bottom"/>
            <w:gridSpan w:val="3"/>
          </w:tcPr>
          <w:p>
            <w:pPr>
              <w:jc w:val="center"/>
              <w:ind w:left="76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Pr>
          <w:p>
            <w:pPr>
              <w:jc w:val="right"/>
              <w:ind w:right="445"/>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0"/>
                <w:szCs w:val="10"/>
                <w:color w:val="auto"/>
              </w:rPr>
            </w:pPr>
          </w:p>
        </w:tc>
        <w:tc>
          <w:tcPr>
            <w:tcW w:w="1240" w:type="dxa"/>
            <w:vAlign w:val="bottom"/>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300" w:type="dxa"/>
            <w:vAlign w:val="bottom"/>
          </w:tcPr>
          <w:p>
            <w:pPr>
              <w:jc w:val="right"/>
              <w:ind w:right="803"/>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3"/>
        </w:trPr>
        <w:tc>
          <w:tcPr>
            <w:tcW w:w="4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ind w:right="52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3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191.9</w:t>
            </w:r>
          </w:p>
        </w:tc>
        <w:tc>
          <w:tcPr>
            <w:tcW w:w="13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color w:val="auto"/>
              </w:rPr>
              <w:t>7 %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80" w:firstLine="439"/>
        <w:spacing w:after="0" w:line="254" w:lineRule="auto"/>
        <w:rPr>
          <w:sz w:val="20"/>
          <w:szCs w:val="20"/>
          <w:color w:val="auto"/>
        </w:rPr>
      </w:pPr>
      <w:r>
        <w:rPr>
          <w:rFonts w:ascii="Times New Roman" w:cs="Times New Roman" w:eastAsia="Times New Roman" w:hAnsi="Times New Roman"/>
          <w:sz w:val="18"/>
          <w:szCs w:val="18"/>
          <w:color w:val="auto"/>
        </w:rPr>
        <w:t>Cost of revenues increased by $8.8 million in 2022 compared to 2021 primarily due to a increases in compensation and benefits expenses, telecommunications expenses, allocated overhead expenses and several other individually insignificant factors. Compensation and benefits expenses increased by $2.3 million as a result of an increase in expenses related to employee salaries. Telecommunications expenses increased by $1.9 million due to an increase in network costs supporting our operations. Allocated overhead expenses increased by $1.9 million primarily due to an increase in total allocable expenses.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16" w:lineRule="exact"/>
        <w:rPr>
          <w:sz w:val="20"/>
          <w:szCs w:val="20"/>
          <w:color w:val="auto"/>
        </w:rPr>
      </w:pPr>
    </w:p>
    <w:p>
      <w:pPr>
        <w:ind w:right="200" w:firstLine="39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related to research and development personnel, including salaries and other personnel-related expenses, consulting fees, facilities costs, computer and communications equipment, support services used in our service and technology development, and allocations of indirect costs such as corporate overhead.</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comparison of research and development expenses is presented below:</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60" w:type="dxa"/>
            <w:vAlign w:val="bottom"/>
            <w:gridSpan w:val="3"/>
          </w:tcPr>
          <w:p>
            <w:pPr>
              <w:jc w:val="center"/>
              <w:ind w:left="745"/>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Pr>
          <w:p>
            <w:pPr>
              <w:jc w:val="right"/>
              <w:ind w:right="465"/>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1"/>
                <w:szCs w:val="11"/>
                <w:color w:val="auto"/>
              </w:rPr>
            </w:pPr>
          </w:p>
        </w:tc>
        <w:tc>
          <w:tcPr>
            <w:tcW w:w="1240" w:type="dxa"/>
            <w:vAlign w:val="bottom"/>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80" w:type="dxa"/>
            <w:vAlign w:val="bottom"/>
          </w:tcPr>
          <w:p>
            <w:pPr>
              <w:jc w:val="right"/>
              <w:ind w:right="783"/>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center"/>
              <w:ind w:right="50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3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80.5</w:t>
            </w:r>
          </w:p>
        </w:tc>
        <w:tc>
          <w:tcPr>
            <w:tcW w:w="12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8 %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$5.2 million in 2022 compared to 2021 primarily due to a decrease in capitalized labor, an increase in allocated overhead expenses and a combination of several other individually insignificant factors. Capitalized labor decreased by $1.5 million due to a shift in work from capital projects to certain non-capital projects and</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maintenance of existing software products. Allocated overhead expenses increased by $1.3 million primarily due to an increase in total allocable expenses.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16" w:lineRule="exact"/>
        <w:rPr>
          <w:sz w:val="20"/>
          <w:szCs w:val="20"/>
          <w:color w:val="auto"/>
        </w:rPr>
      </w:pPr>
    </w:p>
    <w:p>
      <w:pPr>
        <w:ind w:right="20" w:firstLine="399"/>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other personnel-related expenses for our executive, administrative, legal, finance, information technology, human resources, sales, and marketing personnel, travel and related expenses, trade shows, costs of computer and communications equipment and support services, consulting and professional service fees, costs of marketing programs, costs of facilities, management information systems, support services, and certain tax and license fees, offset by allocations of indirect costs such as facilities and shared services expenses to other cost types.</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comparison of selling, general and administrative expenses is presented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60" w:type="dxa"/>
            <w:vAlign w:val="bottom"/>
            <w:gridSpan w:val="3"/>
          </w:tcPr>
          <w:p>
            <w:pPr>
              <w:jc w:val="center"/>
              <w:ind w:left="76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Pr>
          <w:p>
            <w:pPr>
              <w:jc w:val="right"/>
              <w:ind w:right="445"/>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0"/>
                <w:szCs w:val="10"/>
                <w:color w:val="auto"/>
              </w:rPr>
            </w:pPr>
          </w:p>
        </w:tc>
        <w:tc>
          <w:tcPr>
            <w:tcW w:w="1240" w:type="dxa"/>
            <w:vAlign w:val="bottom"/>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80" w:type="dxa"/>
            <w:vAlign w:val="bottom"/>
          </w:tcPr>
          <w:p>
            <w:pPr>
              <w:jc w:val="right"/>
              <w:ind w:right="783"/>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3"/>
        </w:trPr>
        <w:tc>
          <w:tcPr>
            <w:tcW w:w="4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center"/>
              <w:ind w:right="50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188.4</w:t>
            </w:r>
          </w:p>
        </w:tc>
        <w:tc>
          <w:tcPr>
            <w:tcW w:w="12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1 %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firstLine="439"/>
        <w:spacing w:after="0" w:line="251" w:lineRule="auto"/>
        <w:rPr>
          <w:sz w:val="20"/>
          <w:szCs w:val="20"/>
          <w:color w:val="auto"/>
        </w:rPr>
      </w:pPr>
      <w:r>
        <w:rPr>
          <w:rFonts w:ascii="Times New Roman" w:cs="Times New Roman" w:eastAsia="Times New Roman" w:hAnsi="Times New Roman"/>
          <w:sz w:val="18"/>
          <w:szCs w:val="18"/>
          <w:color w:val="auto"/>
        </w:rPr>
        <w:t>Selling, general and administrative expenses increased by $7.0 million in 2022 compared to 2021 primarily due to increases in stock-based compensation expenses, equipment and software expenses, compensation and benefits expenses, and several other individually insignificant factors, partially offset by an increase in overhead expenses allocated to other cost types. Stock-based compensation expenses increased by $3.3 million due to higher projected achievement levels on certain performance-based RSU grants and increases in the total value of RSUs granted in 2022. Equipment and software expenses increased by $3.1 million due to expenses related to network security and other software services. Compensation and benefits expenses increased by $1.4 million due to increased employee salaries expenses and insurances related benefits expenses. Overhead expenses allocated to other cost types increased by $3.1 million due to an increase in the total allocable expenses.</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6" w:lineRule="exact"/>
        <w:rPr>
          <w:sz w:val="20"/>
          <w:szCs w:val="20"/>
          <w:color w:val="auto"/>
        </w:rPr>
      </w:pPr>
    </w:p>
    <w:p>
      <w:pPr>
        <w:ind w:right="120" w:firstLine="439"/>
        <w:spacing w:after="0" w:line="276" w:lineRule="auto"/>
        <w:rPr>
          <w:sz w:val="20"/>
          <w:szCs w:val="20"/>
          <w:color w:val="auto"/>
        </w:rPr>
      </w:pPr>
      <w:r>
        <w:rPr>
          <w:rFonts w:ascii="Times New Roman" w:cs="Times New Roman" w:eastAsia="Times New Roman" w:hAnsi="Times New Roman"/>
          <w:sz w:val="18"/>
          <w:szCs w:val="18"/>
          <w:color w:val="auto"/>
        </w:rPr>
        <w:t>Interest expense decreased by $8.0 million in 2022 compared to 2021 primarily due to the lower interest rate on our 2031 Notes compared to the 2023 Notes which were redeemed in June 2021.</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(loss), net</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Note 9, “Non-operating Income (Loss), Net” of our Notes to Consolidated Financial Statements in Item 8 of this Form 10-K.</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80" w:type="dxa"/>
            <w:vAlign w:val="bottom"/>
          </w:tcPr>
          <w:p>
            <w:pPr>
              <w:spacing w:after="0"/>
              <w:rPr>
                <w:sz w:val="16"/>
                <w:szCs w:val="16"/>
                <w:color w:val="auto"/>
              </w:rPr>
            </w:pPr>
          </w:p>
        </w:tc>
        <w:tc>
          <w:tcPr>
            <w:tcW w:w="3140" w:type="dxa"/>
            <w:vAlign w:val="bottom"/>
            <w:gridSpan w:val="4"/>
          </w:tcPr>
          <w:p>
            <w:pPr>
              <w:jc w:val="center"/>
              <w:ind w:left="9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5"/>
        </w:trPr>
        <w:tc>
          <w:tcPr>
            <w:tcW w:w="68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6880" w:type="dxa"/>
            <w:vAlign w:val="bottom"/>
          </w:tcPr>
          <w:p>
            <w:pPr>
              <w:spacing w:after="0"/>
              <w:rPr>
                <w:sz w:val="19"/>
                <w:szCs w:val="19"/>
                <w:color w:val="auto"/>
              </w:rPr>
            </w:pPr>
          </w:p>
        </w:tc>
        <w:tc>
          <w:tcPr>
            <w:tcW w:w="138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9"/>
                <w:szCs w:val="19"/>
                <w:color w:val="auto"/>
              </w:rPr>
            </w:pPr>
          </w:p>
        </w:tc>
        <w:tc>
          <w:tcPr>
            <w:tcW w:w="104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60" w:type="dxa"/>
            <w:vAlign w:val="bottom"/>
          </w:tcPr>
          <w:p>
            <w:pPr>
              <w:spacing w:after="0"/>
              <w:rPr>
                <w:sz w:val="19"/>
                <w:szCs w:val="19"/>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5"/>
        </w:trPr>
        <w:tc>
          <w:tcPr>
            <w:tcW w:w="68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6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206.4</w:t>
            </w:r>
          </w:p>
        </w:tc>
        <w:tc>
          <w:tcPr>
            <w:tcW w:w="3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(64.7)</w:t>
            </w:r>
          </w:p>
        </w:tc>
      </w:tr>
      <w:tr>
        <w:trPr>
          <w:trHeight w:val="232"/>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176" w:lineRule="exact"/>
        <w:rPr>
          <w:sz w:val="20"/>
          <w:szCs w:val="20"/>
          <w:color w:val="auto"/>
        </w:rPr>
      </w:pPr>
    </w:p>
    <w:p>
      <w:pPr>
        <w:ind w:right="140" w:firstLine="399"/>
        <w:spacing w:after="0" w:line="276" w:lineRule="auto"/>
        <w:rPr>
          <w:sz w:val="20"/>
          <w:szCs w:val="20"/>
          <w:color w:val="auto"/>
        </w:rPr>
      </w:pPr>
      <w:r>
        <w:rPr>
          <w:rFonts w:ascii="Times New Roman" w:cs="Times New Roman" w:eastAsia="Times New Roman" w:hAnsi="Times New Roman"/>
          <w:sz w:val="18"/>
          <w:szCs w:val="18"/>
          <w:color w:val="auto"/>
        </w:rPr>
        <w:t>The effective tax rate for each of the periods in the table above differed from the statutory federal rate of 21% due to state income taxes and U.S. taxes on foreign earnings, net of foreign tax credits, offset by a lower foreign effective tax rate.</w:t>
      </w:r>
    </w:p>
    <w:p>
      <w:pPr>
        <w:spacing w:after="0" w:line="56" w:lineRule="exact"/>
        <w:rPr>
          <w:sz w:val="20"/>
          <w:szCs w:val="20"/>
          <w:color w:val="auto"/>
        </w:rPr>
      </w:pPr>
    </w:p>
    <w:p>
      <w:pPr>
        <w:ind w:right="20" w:firstLine="399"/>
        <w:spacing w:after="0" w:line="261" w:lineRule="auto"/>
        <w:rPr>
          <w:sz w:val="20"/>
          <w:szCs w:val="20"/>
          <w:color w:val="auto"/>
        </w:rPr>
      </w:pPr>
      <w:r>
        <w:rPr>
          <w:rFonts w:ascii="Times New Roman" w:cs="Times New Roman" w:eastAsia="Times New Roman" w:hAnsi="Times New Roman"/>
          <w:sz w:val="18"/>
          <w:szCs w:val="18"/>
          <w:color w:val="auto"/>
        </w:rPr>
        <w:t>During 2021, we completed a transfer of intellectual property between certain non-U.S. subsidiaries. This intellectual property did not have any book value, however the transfer created an amortizable tax basis that resulted in the recognition of a $165.5 million deferred tax asset and a corresponding income tax benefit.</w:t>
      </w:r>
    </w:p>
    <w:p>
      <w:pPr>
        <w:spacing w:after="0" w:line="70" w:lineRule="exact"/>
        <w:rPr>
          <w:sz w:val="20"/>
          <w:szCs w:val="20"/>
          <w:color w:val="auto"/>
        </w:rPr>
      </w:pPr>
    </w:p>
    <w:p>
      <w:pPr>
        <w:ind w:right="60" w:firstLine="399"/>
        <w:spacing w:after="0" w:line="256" w:lineRule="auto"/>
        <w:rPr>
          <w:sz w:val="20"/>
          <w:szCs w:val="20"/>
          <w:color w:val="auto"/>
        </w:rPr>
      </w:pPr>
      <w:r>
        <w:rPr>
          <w:rFonts w:ascii="Times New Roman" w:cs="Times New Roman" w:eastAsia="Times New Roman" w:hAnsi="Times New Roman"/>
          <w:sz w:val="18"/>
          <w:szCs w:val="18"/>
          <w:color w:val="auto"/>
        </w:rPr>
        <w:t>As of December 31, 2022, we had deferred tax assets arising from deductible temporary differences, tax losses, and tax credits of $236.2 million, net of valuation allowances, but before the offset of certain deferred tax liabilities. With the exception of deferred tax assets related to certain state and foreign net operating loss and foreign tax credit carryforwards, we believe it is more likely than not that the tax effects of the deferred tax liabilities, together with future taxable income, will be sufficient to fully recover the remaining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principal sources of liquidity:</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25"/>
        </w:trPr>
        <w:tc>
          <w:tcPr>
            <w:tcW w:w="8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81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3"/>
        </w:trPr>
        <w:tc>
          <w:tcPr>
            <w:tcW w:w="8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r>
      <w:tr>
        <w:trPr>
          <w:trHeight w:val="23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r>
      <w:tr>
        <w:trPr>
          <w:trHeight w:val="226"/>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982.3</w:t>
            </w:r>
          </w:p>
        </w:tc>
      </w:tr>
      <w:tr>
        <w:trPr>
          <w:trHeight w:val="245"/>
        </w:trPr>
        <w:tc>
          <w:tcPr>
            <w:tcW w:w="8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firstLine="399"/>
        <w:spacing w:after="0" w:line="254" w:lineRule="auto"/>
        <w:rPr>
          <w:sz w:val="20"/>
          <w:szCs w:val="20"/>
          <w:color w:val="auto"/>
        </w:rPr>
      </w:pPr>
      <w:r>
        <w:rPr>
          <w:rFonts w:ascii="Times New Roman" w:cs="Times New Roman" w:eastAsia="Times New Roman" w:hAnsi="Times New Roman"/>
          <w:sz w:val="18"/>
          <w:szCs w:val="18"/>
          <w:color w:val="auto"/>
        </w:rPr>
        <w:t>The marketable securities consist primarily of debt securities issued by the U.S. Treasury meeting the criteria of our investment policy, which is focused on the preservation of our capital through investment in investment grade securities. The cash equivalents consist of amounts invested in money market funds, time deposits and U.S. Treasury bills purchased with original maturities of three months or less. As of December 31, 2022, all of our debt securities have contractual maturities of less than one year. Our cash and cash equivalents are readily accessible. For additional information on our investment portfolio, see Note 2, “Financial Instruments,” of our Notes to Consolidated Financial Statements in Item 8 of this Form 10-K.</w:t>
      </w:r>
    </w:p>
    <w:p>
      <w:pPr>
        <w:spacing w:after="0" w:line="76" w:lineRule="exact"/>
        <w:rPr>
          <w:sz w:val="20"/>
          <w:szCs w:val="20"/>
          <w:color w:val="auto"/>
        </w:rPr>
      </w:pPr>
    </w:p>
    <w:p>
      <w:pPr>
        <w:ind w:right="60" w:firstLine="399"/>
        <w:spacing w:after="0" w:line="252" w:lineRule="auto"/>
        <w:rPr>
          <w:sz w:val="20"/>
          <w:szCs w:val="20"/>
          <w:color w:val="auto"/>
        </w:rPr>
      </w:pPr>
      <w:r>
        <w:rPr>
          <w:rFonts w:ascii="Times New Roman" w:cs="Times New Roman" w:eastAsia="Times New Roman" w:hAnsi="Times New Roman"/>
          <w:sz w:val="18"/>
          <w:szCs w:val="18"/>
          <w:color w:val="auto"/>
        </w:rPr>
        <w:t>In 2022, we repurchased 5.5 million shares of our common stock at an average stock price of $187.07 for an aggregate cost of $1.03 billion under our share repurchase program. In 2021, we repurchased 3.3 million shares of our common stock at an average stock price of $215.16 for an aggregate cost of $700.0 million. Effective October 27, 2022, our Board of Directors authorized the repurchase of our common stock in the amount of $803.0 million, in addition to the $197.0 million that remained available for repurchases under the share repurchase program, for a total repurchase authorization of up to $1.00 billion under the program. As of December 31, 2022, there was approximately $858.8 million remaining available for future share repurchases under the share repurchase program which has no expiration date.</w:t>
      </w:r>
    </w:p>
    <w:p>
      <w:pPr>
        <w:spacing w:after="0" w:line="80" w:lineRule="exact"/>
        <w:rPr>
          <w:sz w:val="20"/>
          <w:szCs w:val="20"/>
          <w:color w:val="auto"/>
        </w:rPr>
      </w:pPr>
    </w:p>
    <w:p>
      <w:pPr>
        <w:ind w:right="60" w:firstLine="399"/>
        <w:spacing w:after="0" w:line="283" w:lineRule="auto"/>
        <w:rPr>
          <w:sz w:val="20"/>
          <w:szCs w:val="20"/>
          <w:color w:val="auto"/>
        </w:rPr>
      </w:pPr>
      <w:r>
        <w:rPr>
          <w:rFonts w:ascii="Times New Roman" w:cs="Times New Roman" w:eastAsia="Times New Roman" w:hAnsi="Times New Roman"/>
          <w:sz w:val="17"/>
          <w:szCs w:val="17"/>
          <w:color w:val="auto"/>
        </w:rPr>
        <w:t>As of December 31, 2022, we had $750.0 million principal amount outstanding of the 2.70% senior unsecured notes due 2031, $550.0 million principal amount outstanding of the 4.75% senior unsecured notes due 2027, $500.0 million principal amount outstanding of the 5.25% senior unsecured notes due 2025. As of December 31, 2022, there were no borrowings outstanding under our $200.0 million unsecured revolving credit facility that will expire in 2024.</w:t>
      </w:r>
    </w:p>
    <w:p>
      <w:pPr>
        <w:spacing w:after="0" w:line="54" w:lineRule="exact"/>
        <w:rPr>
          <w:sz w:val="20"/>
          <w:szCs w:val="20"/>
          <w:color w:val="auto"/>
        </w:rPr>
      </w:pPr>
    </w:p>
    <w:p>
      <w:pPr>
        <w:ind w:right="80" w:firstLine="439"/>
        <w:spacing w:after="0" w:line="252" w:lineRule="auto"/>
        <w:rPr>
          <w:sz w:val="20"/>
          <w:szCs w:val="20"/>
          <w:color w:val="auto"/>
        </w:rPr>
      </w:pPr>
      <w:r>
        <w:rPr>
          <w:rFonts w:ascii="Times New Roman" w:cs="Times New Roman" w:eastAsia="Times New Roman" w:hAnsi="Times New Roman"/>
          <w:sz w:val="18"/>
          <w:szCs w:val="18"/>
          <w:color w:val="auto"/>
        </w:rPr>
        <w:t>We believe existing cash, cash equivalents and marketable securities, and funds generated from operations, together with our ability to arrange for additional financing should be sufficient to meet our working capital, capital expenditure requirements, and to service our debt for the next 12 months and beyond. We regularly assess our cash management approach and activities in view of our current and potential future needs. Our most significant future cash requirements include interest and principal payments on the senior notes issuances described above, income tax payments, purchase obligations and registry fees related to the operation of certain top-level domains. These items are detailed in Note 11, “Commitments and Contingencies” of our Notes to Consolidated Financial Statements in Item 8 of this Form 10-K.</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summary, our cash flows for 2022, 2021, and 2020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6"/>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Pr>
          <w:p>
            <w:pPr>
              <w:spacing w:after="0"/>
              <w:rPr>
                <w:sz w:val="16"/>
                <w:szCs w:val="16"/>
                <w:color w:val="auto"/>
              </w:rPr>
            </w:pPr>
          </w:p>
        </w:tc>
      </w:tr>
      <w:tr>
        <w:trPr>
          <w:trHeight w:val="25"/>
        </w:trPr>
        <w:tc>
          <w:tcPr>
            <w:tcW w:w="7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7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3"/>
        </w:trPr>
        <w:tc>
          <w:tcPr>
            <w:tcW w:w="7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w:t>
            </w:r>
          </w:p>
        </w:tc>
      </w:tr>
      <w:tr>
        <w:trPr>
          <w:trHeight w:val="22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2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w:t>
            </w:r>
          </w:p>
        </w:tc>
      </w:tr>
      <w:tr>
        <w:trPr>
          <w:trHeight w:val="226"/>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7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56" w:lineRule="exact"/>
        <w:rPr>
          <w:sz w:val="20"/>
          <w:szCs w:val="20"/>
          <w:color w:val="auto"/>
        </w:rPr>
      </w:pPr>
    </w:p>
    <w:p>
      <w:pPr>
        <w:jc w:val="both"/>
        <w:ind w:right="100" w:firstLine="439"/>
        <w:spacing w:after="0" w:line="276" w:lineRule="auto"/>
        <w:rPr>
          <w:sz w:val="20"/>
          <w:szCs w:val="20"/>
          <w:color w:val="auto"/>
        </w:rPr>
      </w:pPr>
      <w:r>
        <w:rPr>
          <w:rFonts w:ascii="Times New Roman" w:cs="Times New Roman" w:eastAsia="Times New Roman" w:hAnsi="Times New Roman"/>
          <w:sz w:val="18"/>
          <w:szCs w:val="18"/>
          <w:color w:val="auto"/>
        </w:rPr>
        <w:t>Our largest source of operating cash flows is cash collections from our customers. Our primary uses of cash from operating activities are for personnel related expenditures, and other general operating expenses, as well as payments related to taxes, interest and facilities.</w:t>
      </w:r>
    </w:p>
    <w:p>
      <w:pPr>
        <w:spacing w:after="0" w:line="96" w:lineRule="exact"/>
        <w:rPr>
          <w:sz w:val="20"/>
          <w:szCs w:val="20"/>
          <w:color w:val="auto"/>
        </w:rPr>
      </w:pPr>
    </w:p>
    <w:p>
      <w:pPr>
        <w:jc w:val="both"/>
        <w:ind w:right="100" w:firstLine="439"/>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increased in 2022 compared to 2021 primarily due to increases in cash received from customers and interest on investments and a decrease in cash paid for interest, partially offset by an increase in cash paid for income taxes. Cash received from customers increased primarily due to the impact of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price increases that were effective on each of September 1, 2021 and September 1, 2022. Cash received from interest on investments increased due to higher interest</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rates on our investments in debt securities. Cash paid for interest decreased due to the lower interest rate on our 2031 Notes compared to the 2023 Notes which were refinanced in the second quarter of 2021. Cash paid for income taxes increased primarily due to comparatively higher U.S. federal, state, and foreign income taxes.</w:t>
      </w:r>
    </w:p>
    <w:p>
      <w:pPr>
        <w:spacing w:after="0" w:line="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56" w:lineRule="exact"/>
        <w:rPr>
          <w:sz w:val="20"/>
          <w:szCs w:val="20"/>
          <w:color w:val="auto"/>
        </w:rPr>
      </w:pPr>
    </w:p>
    <w:p>
      <w:pPr>
        <w:ind w:right="560" w:firstLine="439"/>
        <w:spacing w:after="0" w:line="276" w:lineRule="auto"/>
        <w:rPr>
          <w:sz w:val="20"/>
          <w:szCs w:val="20"/>
          <w:color w:val="auto"/>
        </w:rPr>
      </w:pPr>
      <w:r>
        <w:rPr>
          <w:rFonts w:ascii="Times New Roman" w:cs="Times New Roman" w:eastAsia="Times New Roman" w:hAnsi="Times New Roman"/>
          <w:sz w:val="18"/>
          <w:szCs w:val="18"/>
          <w:color w:val="auto"/>
        </w:rPr>
        <w:t>The changes in cash flows from investing activities primarily relate to purchases, maturities and sales of marketable securities, and purchases of property and equipment.</w:t>
      </w:r>
    </w:p>
    <w:p>
      <w:pPr>
        <w:spacing w:after="0" w:line="56" w:lineRule="exact"/>
        <w:rPr>
          <w:sz w:val="20"/>
          <w:szCs w:val="20"/>
          <w:color w:val="auto"/>
        </w:rPr>
      </w:pPr>
    </w:p>
    <w:p>
      <w:pPr>
        <w:ind w:right="540" w:firstLine="439"/>
        <w:spacing w:after="0" w:line="306" w:lineRule="auto"/>
        <w:rPr>
          <w:sz w:val="20"/>
          <w:szCs w:val="20"/>
          <w:color w:val="auto"/>
        </w:rPr>
      </w:pPr>
      <w:r>
        <w:rPr>
          <w:rFonts w:ascii="Times New Roman" w:cs="Times New Roman" w:eastAsia="Times New Roman" w:hAnsi="Times New Roman"/>
          <w:sz w:val="17"/>
          <w:szCs w:val="17"/>
          <w:color w:val="auto"/>
        </w:rPr>
        <w:t>We had net cash inflows from investing activities in 2022, compared to net cash outflows in 2021, primarily due to an increase in proceeds from maturities and sales of marketable securities, net of purchases of marketable securities, and a decrease in purchases of property and equipment.</w:t>
      </w:r>
    </w:p>
    <w:p>
      <w:pPr>
        <w:spacing w:after="0" w:line="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56" w:lineRule="exact"/>
        <w:rPr>
          <w:sz w:val="20"/>
          <w:szCs w:val="20"/>
          <w:color w:val="auto"/>
        </w:rPr>
      </w:pPr>
    </w:p>
    <w:p>
      <w:pPr>
        <w:ind w:right="20" w:firstLine="439"/>
        <w:spacing w:after="0" w:line="276" w:lineRule="auto"/>
        <w:rPr>
          <w:sz w:val="20"/>
          <w:szCs w:val="20"/>
          <w:color w:val="auto"/>
        </w:rPr>
      </w:pPr>
      <w:r>
        <w:rPr>
          <w:rFonts w:ascii="Times New Roman" w:cs="Times New Roman" w:eastAsia="Times New Roman" w:hAnsi="Times New Roman"/>
          <w:sz w:val="18"/>
          <w:szCs w:val="18"/>
          <w:color w:val="auto"/>
        </w:rPr>
        <w:t>The changes in cash flows from financing activities primarily relate to share repurchases, proceeds from borrowings, repayment of borrowings, and our employee stock purchase plan.</w:t>
      </w:r>
    </w:p>
    <w:p>
      <w:pPr>
        <w:spacing w:after="0" w:line="110" w:lineRule="exact"/>
        <w:rPr>
          <w:sz w:val="20"/>
          <w:szCs w:val="20"/>
          <w:color w:val="auto"/>
        </w:rPr>
      </w:pPr>
    </w:p>
    <w:p>
      <w:pPr>
        <w:ind w:right="340" w:firstLine="439"/>
        <w:spacing w:after="0" w:line="276" w:lineRule="auto"/>
        <w:rPr>
          <w:sz w:val="20"/>
          <w:szCs w:val="20"/>
          <w:color w:val="auto"/>
        </w:rPr>
      </w:pPr>
      <w:r>
        <w:rPr>
          <w:rFonts w:ascii="Times New Roman" w:cs="Times New Roman" w:eastAsia="Times New Roman" w:hAnsi="Times New Roman"/>
          <w:sz w:val="18"/>
          <w:szCs w:val="18"/>
          <w:color w:val="auto"/>
        </w:rPr>
        <w:t>Net cash used in financing activities increased in 2022 compared to 2021, primarily due an increase in share repurchases, partially offset by the net impact of the redemption of our 2023 Senior Notes and the issuance of the 2031 Senior Notes during 2021.</w:t>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Dilution from RSUs</w:t>
      </w:r>
    </w:p>
    <w:p>
      <w:pPr>
        <w:spacing w:after="0" w:line="103" w:lineRule="exact"/>
        <w:rPr>
          <w:sz w:val="20"/>
          <w:szCs w:val="20"/>
          <w:color w:val="auto"/>
        </w:rPr>
      </w:pPr>
    </w:p>
    <w:p>
      <w:pPr>
        <w:ind w:firstLine="399"/>
        <w:spacing w:after="0" w:line="252" w:lineRule="auto"/>
        <w:rPr>
          <w:sz w:val="20"/>
          <w:szCs w:val="20"/>
          <w:color w:val="auto"/>
        </w:rPr>
      </w:pPr>
      <w:r>
        <w:rPr>
          <w:rFonts w:ascii="Times New Roman" w:cs="Times New Roman" w:eastAsia="Times New Roman" w:hAnsi="Times New Roman"/>
          <w:sz w:val="18"/>
          <w:szCs w:val="18"/>
          <w:color w:val="auto"/>
        </w:rPr>
        <w:t>Grants of stock-based awards are key components of the compensation packages we provide to attract and retain certain of our employees and align their interests with the interests of existing stockholders. We recognize that these stock-based awards dilute existing stockholders and have sought to control the number granted while providing competitive compensation packages. As of December 31, 2022, there were a total of 0.6 million unvested RSUs which represent potential dilution of less than 1.0%. This maximum potential dilution will only result if all outstanding RSUs vest and are settled. In recent years, our stock repurchase program has more than offset the dilutive effect of RSU grants to employees; however, we may reduce the level of our stock repurchases in the future as we may use our available cash for other purposes.</w:t>
      </w:r>
    </w:p>
    <w:p>
      <w:pPr>
        <w:spacing w:after="0" w:line="13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54" w:lineRule="exact"/>
        <w:rPr>
          <w:sz w:val="20"/>
          <w:szCs w:val="20"/>
          <w:color w:val="auto"/>
        </w:rPr>
      </w:pPr>
    </w:p>
    <w:p>
      <w:pPr>
        <w:ind w:right="440" w:firstLine="439"/>
        <w:spacing w:after="0" w:line="276" w:lineRule="auto"/>
        <w:rPr>
          <w:sz w:val="20"/>
          <w:szCs w:val="20"/>
          <w:color w:val="auto"/>
        </w:rPr>
      </w:pPr>
      <w:r>
        <w:rPr>
          <w:rFonts w:ascii="Times New Roman" w:cs="Times New Roman" w:eastAsia="Times New Roman" w:hAnsi="Times New Roman"/>
          <w:sz w:val="18"/>
          <w:szCs w:val="18"/>
          <w:color w:val="auto"/>
        </w:rPr>
        <w:t>We are exposed to financial market risks, including changes in interest rates and foreign exchange rates. We have not entered into any market risk sensitive instruments for trading purposes.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114" w:lineRule="exact"/>
        <w:rPr>
          <w:sz w:val="20"/>
          <w:szCs w:val="20"/>
          <w:color w:val="auto"/>
        </w:rPr>
      </w:pPr>
    </w:p>
    <w:p>
      <w:pPr>
        <w:ind w:right="360" w:firstLine="439"/>
        <w:spacing w:after="0" w:line="261" w:lineRule="auto"/>
        <w:rPr>
          <w:sz w:val="20"/>
          <w:szCs w:val="20"/>
          <w:color w:val="auto"/>
        </w:rPr>
      </w:pPr>
      <w:r>
        <w:rPr>
          <w:rFonts w:ascii="Times New Roman" w:cs="Times New Roman" w:eastAsia="Times New Roman" w:hAnsi="Times New Roman"/>
          <w:sz w:val="18"/>
          <w:szCs w:val="18"/>
          <w:color w:val="auto"/>
        </w:rPr>
        <w:t>The fixed income securities in our investment portfolio are subject to interest rate risk. As of December 31, 2022, we had $776.1 million of fixed income securities, which consisted of U.S. Treasury bills with maturities of less than one year. A hypothetical change in interest rates by 100 basis points would not have a significant impact on the fair value of our investments.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 Management</w:t>
      </w:r>
    </w:p>
    <w:p>
      <w:pPr>
        <w:spacing w:after="0" w:line="154" w:lineRule="exact"/>
        <w:rPr>
          <w:sz w:val="20"/>
          <w:szCs w:val="20"/>
          <w:color w:val="auto"/>
        </w:rPr>
      </w:pPr>
    </w:p>
    <w:p>
      <w:pPr>
        <w:ind w:firstLine="439"/>
        <w:spacing w:after="0" w:line="250" w:lineRule="auto"/>
        <w:rPr>
          <w:sz w:val="20"/>
          <w:szCs w:val="20"/>
          <w:color w:val="auto"/>
        </w:rPr>
      </w:pPr>
      <w:r>
        <w:rPr>
          <w:rFonts w:ascii="Times New Roman" w:cs="Times New Roman" w:eastAsia="Times New Roman" w:hAnsi="Times New Roman"/>
          <w:sz w:val="18"/>
          <w:szCs w:val="18"/>
          <w:color w:val="auto"/>
        </w:rPr>
        <w:t>We conduct business in several countries and transact in multiple foreign currencies. The functional currency for all of our international subsidiaries is the U.S. dollar. Our foreign currency risk management program is designed to mitigate foreign exchange risks associated with monetary assets and liabilities of our operations that are denominated in currencies other than the U.S. dollar. The primary objective of this program is to minimize the gains and losses to income resulting from fluctuations in exchange rates. We may choose not to hedge certain foreign exchange exposures due to immateriality, prohibitive economic cost of hedging particular exposures, and limited availability of appropriate hedging instruments. We do not enter into foreign currency transactions for trading or speculative purposes, nor do we hedge foreign currency exposures in a manner that entirely offsets the effects of changes in exchange rates. The program may entail the use of forward or option contracts, which are usually placed and adjusted monthly. These foreign currency forward contracts are derivatives and are recorded at fair market value. We attempt to limit our exposure to credit risk by executing foreign exchange contracts with financial institutions that have investment grade ratings.</w:t>
      </w:r>
    </w:p>
    <w:p>
      <w:pPr>
        <w:spacing w:after="0" w:line="136" w:lineRule="exact"/>
        <w:rPr>
          <w:sz w:val="20"/>
          <w:szCs w:val="20"/>
          <w:color w:val="auto"/>
        </w:rPr>
      </w:pPr>
    </w:p>
    <w:p>
      <w:pPr>
        <w:ind w:right="200" w:firstLine="479"/>
        <w:spacing w:after="0" w:line="261" w:lineRule="auto"/>
        <w:rPr>
          <w:sz w:val="20"/>
          <w:szCs w:val="20"/>
          <w:color w:val="auto"/>
        </w:rPr>
      </w:pPr>
      <w:r>
        <w:rPr>
          <w:rFonts w:ascii="Times New Roman" w:cs="Times New Roman" w:eastAsia="Times New Roman" w:hAnsi="Times New Roman"/>
          <w:sz w:val="18"/>
          <w:szCs w:val="18"/>
          <w:color w:val="auto"/>
        </w:rPr>
        <w:t>As of December 31, 2022, we held foreign currency forward contracts in notional amounts totaling $32.0 million to mitigate the impact of exchange rate fluctuations associated with certain foreign currencies. Gains or losses on the foreign currency forward contracts would be largely offset by the remeasurement of our foreign currency denominated assets and liabilities, resulting in an insignificant net impact to income.</w:t>
      </w:r>
    </w:p>
    <w:p>
      <w:pPr>
        <w:spacing w:after="0" w:line="110" w:lineRule="exact"/>
        <w:rPr>
          <w:sz w:val="20"/>
          <w:szCs w:val="20"/>
          <w:color w:val="auto"/>
        </w:rPr>
      </w:pPr>
    </w:p>
    <w:p>
      <w:pPr>
        <w:ind w:right="320" w:firstLine="439"/>
        <w:spacing w:after="0" w:line="276" w:lineRule="auto"/>
        <w:rPr>
          <w:sz w:val="20"/>
          <w:szCs w:val="20"/>
          <w:color w:val="auto"/>
        </w:rPr>
      </w:pPr>
      <w:r>
        <w:rPr>
          <w:rFonts w:ascii="Times New Roman" w:cs="Times New Roman" w:eastAsia="Times New Roman" w:hAnsi="Times New Roman"/>
          <w:sz w:val="18"/>
          <w:szCs w:val="18"/>
          <w:color w:val="auto"/>
        </w:rPr>
        <w:t>A hypothetical uniform 10% strengthening or weakening in the value of the U.S. dollar relative to the foreign currencies in which our revenues and expenses are denominated would not result in a significant impact to our financial statements.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Market Risk Management</w:t>
      </w:r>
    </w:p>
    <w:p>
      <w:pPr>
        <w:spacing w:after="0" w:line="114" w:lineRule="exact"/>
        <w:rPr>
          <w:sz w:val="20"/>
          <w:szCs w:val="20"/>
          <w:color w:val="auto"/>
        </w:rPr>
      </w:pPr>
    </w:p>
    <w:p>
      <w:pPr>
        <w:ind w:firstLine="399"/>
        <w:spacing w:after="0" w:line="261" w:lineRule="auto"/>
        <w:rPr>
          <w:sz w:val="20"/>
          <w:szCs w:val="20"/>
          <w:color w:val="auto"/>
        </w:rPr>
      </w:pPr>
      <w:r>
        <w:rPr>
          <w:rFonts w:ascii="Times New Roman" w:cs="Times New Roman" w:eastAsia="Times New Roman" w:hAnsi="Times New Roman"/>
          <w:sz w:val="18"/>
          <w:szCs w:val="18"/>
          <w:color w:val="auto"/>
        </w:rPr>
        <w:t>The fair market values of our senior notes are subject to interest rate risk. Generally, the fair market value of fixed interest rate debt will increase as interest rates fall and decrease as interest rates rise. As of December 31, 2022, the aggregate fair value of the senior notes issued in 2015, 2017 and 2021 was $1.65 billion, based on available market information from public data sources.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Financial Statement Description</w:t>
            </w:r>
          </w:p>
        </w:tc>
        <w:tc>
          <w:tcPr>
            <w:tcW w:w="7660" w:type="dxa"/>
            <w:vAlign w:val="bottom"/>
            <w:gridSpan w:val="7"/>
          </w:tcPr>
          <w:p>
            <w:pPr>
              <w:spacing w:after="0"/>
              <w:rPr>
                <w:sz w:val="13"/>
                <w:szCs w:val="13"/>
                <w:color w:val="auto"/>
              </w:rPr>
            </w:pPr>
          </w:p>
        </w:tc>
        <w:tc>
          <w:tcPr>
            <w:tcW w:w="138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3"/>
        </w:trPr>
        <w:tc>
          <w:tcPr>
            <w:tcW w:w="42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8"/>
              </w:rPr>
              <w:t>Reports of Independent Registered Public Accounting Firm</w:t>
            </w:r>
          </w:p>
        </w:tc>
        <w:tc>
          <w:tcPr>
            <w:tcW w:w="5380" w:type="dxa"/>
            <w:vAlign w:val="bottom"/>
            <w:vMerge w:val="restart"/>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240" w:type="dxa"/>
            <w:vAlign w:val="bottom"/>
            <w:tcBorders>
              <w:bottom w:val="single" w:sz="8" w:color="0000FF"/>
            </w:tcBorders>
            <w:gridSpan w:val="7"/>
            <w:vMerge w:val="continue"/>
          </w:tcPr>
          <w:p>
            <w:pPr>
              <w:spacing w:after="0"/>
              <w:rPr>
                <w:sz w:val="15"/>
                <w:szCs w:val="15"/>
                <w:color w:val="auto"/>
              </w:rPr>
            </w:pPr>
          </w:p>
        </w:tc>
        <w:tc>
          <w:tcPr>
            <w:tcW w:w="538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Borders>
              <w:bottom w:val="single" w:sz="8" w:color="0000FF"/>
            </w:tcBorders>
          </w:tcPr>
          <w:p>
            <w:pPr>
              <w:jc w:val="right"/>
              <w:spacing w:after="0" w:line="180" w:lineRule="exact"/>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34</w:t>
            </w:r>
          </w:p>
        </w:tc>
        <w:tc>
          <w:tcPr>
            <w:tcW w:w="0" w:type="dxa"/>
            <w:vAlign w:val="bottom"/>
          </w:tcPr>
          <w:p>
            <w:pPr>
              <w:spacing w:after="0"/>
              <w:rPr>
                <w:sz w:val="1"/>
                <w:szCs w:val="1"/>
                <w:color w:val="auto"/>
              </w:rPr>
            </w:pPr>
          </w:p>
        </w:tc>
      </w:tr>
      <w:tr>
        <w:trPr>
          <w:trHeight w:val="20"/>
        </w:trPr>
        <w:tc>
          <w:tcPr>
            <w:tcW w:w="2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06"/>
        </w:trPr>
        <w:tc>
          <w:tcPr>
            <w:tcW w:w="36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Deficit</w:t>
            </w:r>
          </w:p>
        </w:tc>
        <w:tc>
          <w:tcPr>
            <w:tcW w:w="5940" w:type="dxa"/>
            <w:vAlign w:val="bottom"/>
            <w:gridSpan w:val="2"/>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680" w:type="dxa"/>
            <w:vAlign w:val="bottom"/>
            <w:tcBorders>
              <w:top w:val="single" w:sz="8" w:color="0000FF"/>
            </w:tcBorders>
            <w:gridSpan w:val="2"/>
          </w:tcPr>
          <w:p>
            <w:pPr>
              <w:spacing w:after="0"/>
              <w:rPr>
                <w:sz w:val="17"/>
                <w:szCs w:val="17"/>
                <w:color w:val="auto"/>
              </w:rPr>
            </w:pPr>
          </w:p>
        </w:tc>
        <w:tc>
          <w:tcPr>
            <w:tcW w:w="6100" w:type="dxa"/>
            <w:vAlign w:val="bottom"/>
            <w:gridSpan w:val="3"/>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20"/>
        </w:trPr>
        <w:tc>
          <w:tcPr>
            <w:tcW w:w="1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VeriSign, Inc.:</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VeriSign, Inc. and subsidiaries (the Company) as of December 31, 2022 and 2021, the related consolidated statements of comprehensive income, stockholders’ deficit,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7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and our report dated February 17, 2023 expressed an unqualified opinion on the effectiveness of the Company’s internal control over financial reporting.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4"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14"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Evaluation of accounting for income taxes</w:t>
      </w:r>
    </w:p>
    <w:p>
      <w:pPr>
        <w:spacing w:after="0" w:line="114" w:lineRule="exact"/>
        <w:rPr>
          <w:sz w:val="20"/>
          <w:szCs w:val="20"/>
          <w:color w:val="auto"/>
        </w:rPr>
      </w:pPr>
    </w:p>
    <w:p>
      <w:pPr>
        <w:ind w:left="480" w:right="80"/>
        <w:spacing w:after="0" w:line="256" w:lineRule="auto"/>
        <w:rPr>
          <w:sz w:val="20"/>
          <w:szCs w:val="20"/>
          <w:color w:val="auto"/>
        </w:rPr>
      </w:pPr>
      <w:r>
        <w:rPr>
          <w:rFonts w:ascii="Times New Roman" w:cs="Times New Roman" w:eastAsia="Times New Roman" w:hAnsi="Times New Roman"/>
          <w:sz w:val="18"/>
          <w:szCs w:val="18"/>
          <w:color w:val="auto"/>
        </w:rPr>
        <w:t>As discussed in Notes 1 and 10 to the consolidated financial statements, the Company recognized $234.6 million of deferred tax assets, net as of December 31, 2022. The Company’s income tax expense was $206.4 million for the year ended December 31, 2022. The Company conducts business globally and consequently is subject to U.S. federal, state, as well as foreign income taxes in the jurisdictions it operates. The Company exercises judgment in the application of complex tax regulations in multiple jurisdictions.</w:t>
      </w:r>
    </w:p>
    <w:p>
      <w:pPr>
        <w:spacing w:after="0" w:line="75" w:lineRule="exact"/>
        <w:rPr>
          <w:sz w:val="20"/>
          <w:szCs w:val="20"/>
          <w:color w:val="auto"/>
        </w:rPr>
      </w:pPr>
    </w:p>
    <w:p>
      <w:pPr>
        <w:ind w:left="480" w:right="460"/>
        <w:spacing w:after="0" w:line="261" w:lineRule="auto"/>
        <w:rPr>
          <w:sz w:val="20"/>
          <w:szCs w:val="20"/>
          <w:color w:val="auto"/>
        </w:rPr>
      </w:pPr>
      <w:r>
        <w:rPr>
          <w:rFonts w:ascii="Times New Roman" w:cs="Times New Roman" w:eastAsia="Times New Roman" w:hAnsi="Times New Roman"/>
          <w:sz w:val="18"/>
          <w:szCs w:val="18"/>
          <w:color w:val="auto"/>
        </w:rPr>
        <w:t>We identified the evaluation of the accounting for income taxes as a critical audit matter. Evaluating the Company’s application of complex tax regulations in the domestic and foreign jurisdictions it operates and the impact of those regulations on U.S. federal, state, and foreign income tax provisions required complex auditor judgment, and the use of tax professionals with specialized skills and knowledge.</w:t>
      </w:r>
    </w:p>
    <w:p>
      <w:pPr>
        <w:spacing w:after="0" w:line="70" w:lineRule="exact"/>
        <w:rPr>
          <w:sz w:val="20"/>
          <w:szCs w:val="20"/>
          <w:color w:val="auto"/>
        </w:rPr>
      </w:pPr>
    </w:p>
    <w:p>
      <w:pPr>
        <w:ind w:left="480" w:right="380"/>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income tax process, including controls related to the application of complex tax regulations in the Company’s various tax jurisdictions and the impact on the Company’s U.S. federal, state, and foreign income tax provision. We involved domestic and international tax</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spacing w:after="0" w:line="276" w:lineRule="auto"/>
        <w:rPr>
          <w:sz w:val="20"/>
          <w:szCs w:val="20"/>
          <w:color w:val="auto"/>
        </w:rPr>
      </w:pPr>
      <w:r>
        <w:rPr>
          <w:rFonts w:ascii="Times New Roman" w:cs="Times New Roman" w:eastAsia="Times New Roman" w:hAnsi="Times New Roman"/>
          <w:sz w:val="18"/>
          <w:szCs w:val="18"/>
          <w:color w:val="auto"/>
        </w:rPr>
        <w:t>professionals with specialized skills and knowledge in various tax jurisdictions who assisted in evaluating the Company’s analyses over the application of complex tax regulations in those jurisdictions.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1995.</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2023</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VeriSign, Inc.:</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14"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We have audited VeriSign, Inc. and subsidiaries' (the Company) internal control over financial reporting as of December 31, 2022,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2022, based on criteria established in Internal Control – Integrated Framework (2013) issued by the Committee of Sponsoring Organizations of the Treadway Commission.</w:t>
      </w:r>
    </w:p>
    <w:p>
      <w:pPr>
        <w:spacing w:after="0" w:line="5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comprehensive income, stockholders’ deficit, and cash flows for each of the years in the three-year period ended December 31, 2022, and the related notes (collectively, the consolidated financial statements), and our report dated February 17, 2023 expressed an unqualified opinion on those consolidated financial statements.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4"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2023</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2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3"/>
        </w:trPr>
        <w:tc>
          <w:tcPr>
            <w:tcW w:w="2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18"/>
                <w:szCs w:val="18"/>
                <w:b w:val="1"/>
                <w:bCs w:val="1"/>
                <w:color w:val="auto"/>
              </w:rPr>
              <w:t>ASSETS</w:t>
            </w:r>
          </w:p>
        </w:tc>
        <w:tc>
          <w:tcPr>
            <w:tcW w:w="378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6"/>
        </w:trPr>
        <w:tc>
          <w:tcPr>
            <w:tcW w:w="8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6"/>
        </w:trPr>
        <w:tc>
          <w:tcPr>
            <w:tcW w:w="82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r>
      <w:tr>
        <w:trPr>
          <w:trHeight w:val="226"/>
        </w:trPr>
        <w:tc>
          <w:tcPr>
            <w:tcW w:w="82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w:t>
            </w:r>
          </w:p>
        </w:tc>
      </w:tr>
      <w:tr>
        <w:trPr>
          <w:trHeight w:val="226"/>
        </w:trPr>
        <w:tc>
          <w:tcPr>
            <w:tcW w:w="824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20"/>
        </w:trPr>
        <w:tc>
          <w:tcPr>
            <w:tcW w:w="8240" w:type="dxa"/>
            <w:vAlign w:val="bottom"/>
            <w:gridSpan w:val="5"/>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1,268.7</w:t>
            </w:r>
          </w:p>
        </w:tc>
      </w:tr>
      <w:tr>
        <w:trPr>
          <w:trHeight w:val="220"/>
        </w:trPr>
        <w:tc>
          <w:tcPr>
            <w:tcW w:w="8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r>
      <w:tr>
        <w:trPr>
          <w:trHeight w:val="226"/>
        </w:trPr>
        <w:tc>
          <w:tcPr>
            <w:tcW w:w="8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26"/>
        </w:trPr>
        <w:tc>
          <w:tcPr>
            <w:tcW w:w="8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r>
      <w:tr>
        <w:trPr>
          <w:trHeight w:val="226"/>
        </w:trPr>
        <w:tc>
          <w:tcPr>
            <w:tcW w:w="8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to acquire intangible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26"/>
        </w:trPr>
        <w:tc>
          <w:tcPr>
            <w:tcW w:w="82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20"/>
        </w:trPr>
        <w:tc>
          <w:tcPr>
            <w:tcW w:w="8240" w:type="dxa"/>
            <w:vAlign w:val="bottom"/>
            <w:gridSpan w:val="5"/>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long-term assets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w:t>
            </w:r>
          </w:p>
        </w:tc>
      </w:tr>
      <w:tr>
        <w:trPr>
          <w:trHeight w:val="220"/>
        </w:trPr>
        <w:tc>
          <w:tcPr>
            <w:tcW w:w="824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1,983.8</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3"/>
        </w:trPr>
        <w:tc>
          <w:tcPr>
            <w:tcW w:w="8240" w:type="dxa"/>
            <w:vAlign w:val="bottom"/>
            <w:gridSpan w:val="5"/>
            <w:shd w:val="clear" w:color="auto" w:fill="CCEEFF"/>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26"/>
        </w:trPr>
        <w:tc>
          <w:tcPr>
            <w:tcW w:w="21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80" w:type="dxa"/>
            <w:vAlign w:val="bottom"/>
            <w:tcBorders>
              <w:top w:val="single" w:sz="8" w:color="auto"/>
            </w:tcBorders>
            <w:gridSpan w:val="3"/>
          </w:tcPr>
          <w:p>
            <w:pPr>
              <w:spacing w:after="0"/>
              <w:rPr>
                <w:sz w:val="19"/>
                <w:szCs w:val="19"/>
                <w:color w:val="auto"/>
              </w:rPr>
            </w:pPr>
          </w:p>
        </w:tc>
        <w:tc>
          <w:tcPr>
            <w:tcW w:w="21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r>
      <w:tr>
        <w:trPr>
          <w:trHeight w:val="226"/>
        </w:trPr>
        <w:tc>
          <w:tcPr>
            <w:tcW w:w="82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r>
      <w:tr>
        <w:trPr>
          <w:trHeight w:val="226"/>
        </w:trPr>
        <w:tc>
          <w:tcPr>
            <w:tcW w:w="824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8"/>
                <w:szCs w:val="18"/>
                <w:color w:val="auto"/>
              </w:rPr>
              <w:t>Deferred revenues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847.4</w:t>
            </w:r>
          </w:p>
        </w:tc>
      </w:tr>
      <w:tr>
        <w:trPr>
          <w:trHeight w:val="220"/>
        </w:trPr>
        <w:tc>
          <w:tcPr>
            <w:tcW w:w="8240" w:type="dxa"/>
            <w:vAlign w:val="bottom"/>
            <w:gridSpan w:val="5"/>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w:t>
            </w:r>
          </w:p>
        </w:tc>
      </w:tr>
      <w:tr>
        <w:trPr>
          <w:trHeight w:val="220"/>
        </w:trPr>
        <w:tc>
          <w:tcPr>
            <w:tcW w:w="8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Long-term deferred revenues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w:t>
            </w:r>
          </w:p>
        </w:tc>
      </w:tr>
      <w:tr>
        <w:trPr>
          <w:trHeight w:val="226"/>
        </w:trPr>
        <w:tc>
          <w:tcPr>
            <w:tcW w:w="8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1,785.7</w:t>
            </w:r>
          </w:p>
        </w:tc>
      </w:tr>
      <w:tr>
        <w:trPr>
          <w:trHeight w:val="226"/>
        </w:trPr>
        <w:tc>
          <w:tcPr>
            <w:tcW w:w="82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Long-term tax and other liabilities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20"/>
        </w:trPr>
        <w:tc>
          <w:tcPr>
            <w:tcW w:w="8240" w:type="dxa"/>
            <w:vAlign w:val="bottom"/>
            <w:gridSpan w:val="5"/>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2,170.3</w:t>
            </w:r>
          </w:p>
        </w:tc>
      </w:tr>
      <w:tr>
        <w:trPr>
          <w:trHeight w:val="220"/>
        </w:trPr>
        <w:tc>
          <w:tcPr>
            <w:tcW w:w="8240" w:type="dxa"/>
            <w:vAlign w:val="bottom"/>
            <w:tcBorders>
              <w:bottom w:val="single" w:sz="8" w:color="CCEEFF"/>
            </w:tcBorders>
            <w:gridSpan w:val="5"/>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3,244.3</w:t>
            </w:r>
          </w:p>
        </w:tc>
      </w:tr>
      <w:tr>
        <w:trPr>
          <w:trHeight w:val="206"/>
        </w:trPr>
        <w:tc>
          <w:tcPr>
            <w:tcW w:w="8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6"/>
        </w:trPr>
        <w:tc>
          <w:tcPr>
            <w:tcW w:w="8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6"/>
        </w:trPr>
        <w:tc>
          <w:tcPr>
            <w:tcW w:w="82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stock—par value $.001 per share; Authorized shares: 5.0; Issued and outstanding shares: none</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3"/>
        </w:trPr>
        <w:tc>
          <w:tcPr>
            <w:tcW w:w="8240" w:type="dxa"/>
            <w:vAlign w:val="bottom"/>
            <w:gridSpan w:val="5"/>
          </w:tcPr>
          <w:p>
            <w:pPr>
              <w:ind w:left="340"/>
              <w:spacing w:after="0" w:line="173" w:lineRule="exact"/>
              <w:rPr>
                <w:sz w:val="20"/>
                <w:szCs w:val="20"/>
                <w:color w:val="auto"/>
              </w:rPr>
            </w:pPr>
            <w:r>
              <w:rPr>
                <w:rFonts w:ascii="Times New Roman" w:cs="Times New Roman" w:eastAsia="Times New Roman" w:hAnsi="Times New Roman"/>
                <w:sz w:val="18"/>
                <w:szCs w:val="18"/>
                <w:color w:val="auto"/>
              </w:rPr>
              <w:t>Common stock and additional paid-in capital—par value $.001 per share; Authorized shares: 1,000; Issued</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1"/>
        </w:trPr>
        <w:tc>
          <w:tcPr>
            <w:tcW w:w="8240" w:type="dxa"/>
            <w:vAlign w:val="bottom"/>
            <w:gridSpan w:val="5"/>
          </w:tcPr>
          <w:p>
            <w:pPr>
              <w:ind w:left="340"/>
              <w:spacing w:after="0" w:line="182" w:lineRule="exact"/>
              <w:rPr>
                <w:sz w:val="20"/>
                <w:szCs w:val="20"/>
                <w:color w:val="auto"/>
              </w:rPr>
            </w:pPr>
            <w:r>
              <w:rPr>
                <w:rFonts w:ascii="Times New Roman" w:cs="Times New Roman" w:eastAsia="Times New Roman" w:hAnsi="Times New Roman"/>
                <w:sz w:val="18"/>
                <w:szCs w:val="18"/>
                <w:color w:val="auto"/>
                <w:w w:val="99"/>
              </w:rPr>
              <w:t>shares: 354.5 at December 31, 2022 and 354.2 at December 31, 2021; Outstanding shares: 105.3 at December</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1"/>
        </w:trPr>
        <w:tc>
          <w:tcPr>
            <w:tcW w:w="82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31, 2022 and 110.5 at December 31, 2021</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13,620.1</w:t>
            </w:r>
          </w:p>
        </w:tc>
      </w:tr>
      <w:tr>
        <w:trPr>
          <w:trHeight w:val="226"/>
        </w:trPr>
        <w:tc>
          <w:tcPr>
            <w:tcW w:w="82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(14,877.8)</w:t>
            </w:r>
          </w:p>
        </w:tc>
      </w:tr>
      <w:tr>
        <w:trPr>
          <w:trHeight w:val="226"/>
        </w:trPr>
        <w:tc>
          <w:tcPr>
            <w:tcW w:w="824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0"/>
        </w:trPr>
        <w:tc>
          <w:tcPr>
            <w:tcW w:w="8240" w:type="dxa"/>
            <w:vAlign w:val="bottom"/>
            <w:gridSpan w:val="5"/>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(1,260.5)</w:t>
            </w:r>
          </w:p>
        </w:tc>
      </w:tr>
      <w:tr>
        <w:trPr>
          <w:trHeight w:val="220"/>
        </w:trPr>
        <w:tc>
          <w:tcPr>
            <w:tcW w:w="824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1,983.8</w:t>
            </w:r>
          </w:p>
        </w:tc>
      </w:tr>
      <w:tr>
        <w:trPr>
          <w:trHeight w:val="20"/>
        </w:trPr>
        <w:tc>
          <w:tcPr>
            <w:tcW w:w="2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6"/>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6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0" w:type="dxa"/>
            <w:vAlign w:val="bottom"/>
          </w:tcPr>
          <w:p>
            <w:pPr>
              <w:spacing w:after="0"/>
              <w:rPr>
                <w:sz w:val="1"/>
                <w:szCs w:val="1"/>
                <w:color w:val="auto"/>
              </w:rPr>
            </w:pPr>
          </w:p>
        </w:tc>
      </w:tr>
      <w:tr>
        <w:trPr>
          <w:trHeight w:val="20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0" w:type="dxa"/>
            <w:vAlign w:val="bottom"/>
          </w:tcPr>
          <w:p>
            <w:pPr>
              <w:spacing w:after="0"/>
              <w:rPr>
                <w:sz w:val="1"/>
                <w:szCs w:val="1"/>
                <w:color w:val="auto"/>
              </w:rPr>
            </w:pPr>
          </w:p>
        </w:tc>
      </w:tr>
      <w:tr>
        <w:trPr>
          <w:trHeight w:val="226"/>
        </w:trPr>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26"/>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20"/>
        </w:trPr>
        <w:tc>
          <w:tcPr>
            <w:tcW w:w="76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0" w:type="dxa"/>
            <w:vAlign w:val="bottom"/>
          </w:tcPr>
          <w:p>
            <w:pPr>
              <w:spacing w:after="0"/>
              <w:rPr>
                <w:sz w:val="1"/>
                <w:szCs w:val="1"/>
                <w:color w:val="auto"/>
              </w:rPr>
            </w:pPr>
          </w:p>
        </w:tc>
      </w:tr>
      <w:tr>
        <w:trPr>
          <w:trHeight w:val="22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2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income (loss), net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750.2</w:t>
            </w:r>
          </w:p>
        </w:tc>
        <w:tc>
          <w:tcPr>
            <w:tcW w:w="0" w:type="dxa"/>
            <w:vAlign w:val="bottom"/>
          </w:tcPr>
          <w:p>
            <w:pPr>
              <w:spacing w:after="0"/>
              <w:rPr>
                <w:sz w:val="1"/>
                <w:szCs w:val="1"/>
                <w:color w:val="auto"/>
              </w:rPr>
            </w:pPr>
          </w:p>
        </w:tc>
      </w:tr>
      <w:tr>
        <w:trPr>
          <w:trHeight w:val="22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2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0" w:type="dxa"/>
            <w:vAlign w:val="bottom"/>
          </w:tcPr>
          <w:p>
            <w:pPr>
              <w:spacing w:after="0"/>
              <w:rPr>
                <w:sz w:val="1"/>
                <w:szCs w:val="1"/>
                <w:color w:val="auto"/>
              </w:rPr>
            </w:pPr>
          </w:p>
        </w:tc>
      </w:tr>
      <w:tr>
        <w:trPr>
          <w:trHeight w:val="22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76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7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6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1"/>
              <w:spacing w:after="0" w:line="200"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64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Shares used to compute earnings per share</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6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69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 beginning of period</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(1,490.1)</w:t>
            </w:r>
          </w:p>
        </w:tc>
      </w:tr>
      <w:tr>
        <w:trPr>
          <w:trHeight w:val="146"/>
        </w:trPr>
        <w:tc>
          <w:tcPr>
            <w:tcW w:w="6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2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and additional paid-in capital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6"/>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14,990.1</w:t>
            </w:r>
          </w:p>
        </w:tc>
      </w:tr>
      <w:tr>
        <w:trPr>
          <w:trHeight w:val="226"/>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w:t>
            </w:r>
          </w:p>
        </w:tc>
      </w:tr>
      <w:tr>
        <w:trPr>
          <w:trHeight w:val="226"/>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6"/>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common stock under stock plans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0"/>
        </w:trPr>
        <w:tc>
          <w:tcPr>
            <w:tcW w:w="6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Balance, end of period</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14,275.2</w:t>
            </w:r>
          </w:p>
        </w:tc>
      </w:tr>
      <w:tr>
        <w:trPr>
          <w:trHeight w:val="146"/>
        </w:trPr>
        <w:tc>
          <w:tcPr>
            <w:tcW w:w="69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22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6"/>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(16,477.5)</w:t>
            </w:r>
          </w:p>
        </w:tc>
      </w:tr>
      <w:tr>
        <w:trPr>
          <w:trHeight w:val="226"/>
        </w:trPr>
        <w:tc>
          <w:tcPr>
            <w:tcW w:w="6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814.9</w:t>
            </w:r>
          </w:p>
        </w:tc>
      </w:tr>
      <w:tr>
        <w:trPr>
          <w:trHeight w:val="220"/>
        </w:trPr>
        <w:tc>
          <w:tcPr>
            <w:tcW w:w="6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Balance, end of period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(14,877.8)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(15,662.6)</w:t>
            </w:r>
          </w:p>
        </w:tc>
      </w:tr>
      <w:tr>
        <w:trPr>
          <w:trHeight w:val="146"/>
        </w:trPr>
        <w:tc>
          <w:tcPr>
            <w:tcW w:w="6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2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6"/>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6"/>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0"/>
        </w:trPr>
        <w:tc>
          <w:tcPr>
            <w:tcW w:w="69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Balance, end of period</w:t>
            </w: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126"/>
        </w:trPr>
        <w:tc>
          <w:tcPr>
            <w:tcW w:w="696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tcBorders>
            <w:shd w:val="clear" w:color="auto" w:fill="CCEEFF"/>
          </w:tcPr>
          <w:p>
            <w:pPr>
              <w:spacing w:after="0"/>
              <w:rPr>
                <w:sz w:val="10"/>
                <w:szCs w:val="10"/>
                <w:color w:val="auto"/>
              </w:rPr>
            </w:pPr>
          </w:p>
        </w:tc>
      </w:tr>
      <w:tr>
        <w:trPr>
          <w:trHeight w:val="22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 end of period</w:t>
            </w: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(1,260.5)</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(1,390.2)</w:t>
            </w:r>
          </w:p>
        </w:tc>
      </w:tr>
      <w:tr>
        <w:trPr>
          <w:trHeight w:val="20"/>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6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80" w:type="dxa"/>
            <w:vAlign w:val="bottom"/>
            <w:gridSpan w:val="6"/>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00" w:type="dxa"/>
            <w:vAlign w:val="bottom"/>
          </w:tcPr>
          <w:p>
            <w:pPr>
              <w:spacing w:after="0"/>
              <w:rPr>
                <w:sz w:val="16"/>
                <w:szCs w:val="16"/>
                <w:color w:val="auto"/>
              </w:rPr>
            </w:pPr>
          </w:p>
        </w:tc>
      </w:tr>
      <w:tr>
        <w:trPr>
          <w:trHeight w:val="25"/>
        </w:trPr>
        <w:tc>
          <w:tcPr>
            <w:tcW w:w="6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69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460" w:type="dxa"/>
            <w:vAlign w:val="bottom"/>
            <w:gridSpan w:val="3"/>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814.9</w:t>
            </w:r>
          </w:p>
        </w:tc>
      </w:tr>
      <w:tr>
        <w:trPr>
          <w:trHeight w:val="226"/>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6"/>
        </w:trPr>
        <w:tc>
          <w:tcPr>
            <w:tcW w:w="6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6"/>
        </w:trPr>
        <w:tc>
          <w:tcPr>
            <w:tcW w:w="6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26"/>
        </w:trPr>
        <w:tc>
          <w:tcPr>
            <w:tcW w:w="6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6"/>
        </w:trPr>
        <w:tc>
          <w:tcPr>
            <w:tcW w:w="6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6"/>
        </w:trPr>
        <w:tc>
          <w:tcPr>
            <w:tcW w:w="6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6"/>
        </w:trPr>
        <w:tc>
          <w:tcPr>
            <w:tcW w:w="6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6"/>
        </w:trPr>
        <w:tc>
          <w:tcPr>
            <w:tcW w:w="6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revenues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6"/>
        </w:trPr>
        <w:tc>
          <w:tcPr>
            <w:tcW w:w="6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deferred income taxes and other long-term tax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r>
      <w:tr>
        <w:trPr>
          <w:trHeight w:val="220"/>
        </w:trPr>
        <w:tc>
          <w:tcPr>
            <w:tcW w:w="692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730.2</w:t>
            </w:r>
          </w:p>
        </w:tc>
      </w:tr>
      <w:tr>
        <w:trPr>
          <w:trHeight w:val="20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maturities and sales of marketable securities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2,305.7</w:t>
            </w:r>
          </w:p>
        </w:tc>
      </w:tr>
      <w:tr>
        <w:trPr>
          <w:trHeight w:val="226"/>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(2,355.4)</w:t>
            </w:r>
          </w:p>
        </w:tc>
      </w:tr>
      <w:tr>
        <w:trPr>
          <w:trHeight w:val="22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26"/>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business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0"/>
        </w:trPr>
        <w:tc>
          <w:tcPr>
            <w:tcW w:w="692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0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w:t>
            </w:r>
          </w:p>
        </w:tc>
      </w:tr>
      <w:tr>
        <w:trPr>
          <w:trHeight w:val="226"/>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 of borrowings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borrowings, net of issuance costs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692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(764.9)</w:t>
            </w:r>
          </w:p>
        </w:tc>
      </w:tr>
      <w:tr>
        <w:trPr>
          <w:trHeight w:val="22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22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r>
      <w:tr>
        <w:trPr>
          <w:trHeight w:val="22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3"/>
        </w:trPr>
        <w:tc>
          <w:tcPr>
            <w:tcW w:w="692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Supplemental cash flow disclosures: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2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460" w:type="dxa"/>
            <w:vAlign w:val="bottom"/>
            <w:gridSpan w:val="3"/>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45"/>
        </w:trPr>
        <w:tc>
          <w:tcPr>
            <w:tcW w:w="6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income taxes, net of refunds received</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Summary of Significant Accounting Policies</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4" w:lineRule="exact"/>
        <w:rPr>
          <w:sz w:val="20"/>
          <w:szCs w:val="20"/>
          <w:color w:val="auto"/>
        </w:rPr>
      </w:pPr>
    </w:p>
    <w:p>
      <w:pPr>
        <w:ind w:right="120" w:firstLine="439"/>
        <w:spacing w:after="0" w:line="256" w:lineRule="auto"/>
        <w:rPr>
          <w:sz w:val="20"/>
          <w:szCs w:val="20"/>
          <w:color w:val="auto"/>
        </w:rPr>
      </w:pPr>
      <w:r>
        <w:rPr>
          <w:rFonts w:ascii="Times New Roman" w:cs="Times New Roman" w:eastAsia="Times New Roman" w:hAnsi="Times New Roman"/>
          <w:sz w:val="18"/>
          <w:szCs w:val="18"/>
          <w:color w:val="auto"/>
        </w:rPr>
        <w:t>VeriSign, Inc. (“Verisign” or “the Company”) was incorporated in Delaware on April 12, 1995. The Company has one reportable segment. The Company enables the security, stability, and resiliency of key internet infrastructure and services, including providing Root Zone Maintainer services, operating two of the 13 global internet root servers, and providing registration services and authoritative resolution for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top-level domains, which support the majority of global e-commerce.</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4" w:lineRule="exact"/>
        <w:rPr>
          <w:sz w:val="20"/>
          <w:szCs w:val="20"/>
          <w:color w:val="auto"/>
        </w:rPr>
      </w:pPr>
    </w:p>
    <w:p>
      <w:pPr>
        <w:ind w:right="560" w:firstLine="439"/>
        <w:spacing w:after="0" w:line="306" w:lineRule="auto"/>
        <w:rPr>
          <w:sz w:val="20"/>
          <w:szCs w:val="20"/>
          <w:color w:val="auto"/>
        </w:rPr>
      </w:pPr>
      <w:r>
        <w:rPr>
          <w:rFonts w:ascii="Times New Roman" w:cs="Times New Roman" w:eastAsia="Times New Roman" w:hAnsi="Times New Roman"/>
          <w:sz w:val="17"/>
          <w:szCs w:val="17"/>
          <w:color w:val="auto"/>
        </w:rPr>
        <w:t>The accompanying consolidated financial statements of Verisign and its subsidiaries have been prepared in conformity with generally accepted accounting principles (“GAAP”) in the United States (“U.S.”). All significant intercompany accounts and transactions have been eliminated.</w:t>
      </w:r>
    </w:p>
    <w:p>
      <w:pPr>
        <w:spacing w:after="0" w:line="34" w:lineRule="exact"/>
        <w:rPr>
          <w:sz w:val="20"/>
          <w:szCs w:val="20"/>
          <w:color w:val="auto"/>
        </w:rPr>
      </w:pPr>
    </w:p>
    <w:p>
      <w:pPr>
        <w:ind w:right="120" w:firstLine="439"/>
        <w:spacing w:after="0" w:line="261"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requires management to make estimates and judgments that affect the reported amounts of assets, liabilities, revenues and expenses, and related disclosures of contingent assets and liabilities. Actual results may differ from these estimates under different assumptions or conditions.</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14" w:lineRule="exact"/>
        <w:rPr>
          <w:sz w:val="20"/>
          <w:szCs w:val="20"/>
          <w:color w:val="auto"/>
        </w:rPr>
      </w:pPr>
    </w:p>
    <w:p>
      <w:pPr>
        <w:ind w:firstLine="399"/>
        <w:spacing w:after="0" w:line="276" w:lineRule="auto"/>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to current period presentation. Such reclassifications have no effect on net income as previously reported.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4"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18"/>
          <w:szCs w:val="18"/>
          <w:color w:val="auto"/>
        </w:rPr>
        <w:t>Verisign considers all highly-liquid investments purchased with original maturities of three months or less to be cash equivalents. Cash and cash equivalents include certain money market funds, debt securities and various deposit accounts. Verisign maintains its cash and cash equivalents with financial institutions that have investment grade ratings and, as part of its cash management process, performs periodic evaluations of the relative credit standing of these financial institutions.</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114" w:lineRule="exact"/>
        <w:rPr>
          <w:sz w:val="20"/>
          <w:szCs w:val="20"/>
          <w:color w:val="auto"/>
        </w:rPr>
      </w:pPr>
    </w:p>
    <w:p>
      <w:pPr>
        <w:ind w:right="80" w:firstLine="439"/>
        <w:spacing w:after="0" w:line="256" w:lineRule="auto"/>
        <w:rPr>
          <w:sz w:val="20"/>
          <w:szCs w:val="20"/>
          <w:color w:val="auto"/>
        </w:rPr>
      </w:pPr>
      <w:r>
        <w:rPr>
          <w:rFonts w:ascii="Times New Roman" w:cs="Times New Roman" w:eastAsia="Times New Roman" w:hAnsi="Times New Roman"/>
          <w:sz w:val="18"/>
          <w:szCs w:val="18"/>
          <w:color w:val="auto"/>
        </w:rPr>
        <w:t>Marketable securities primarily consist of debt securities issued by the U.S. Treasury. All marketable securities are classified as available-for-sale and are carried at fair value. Unrealized gains and losses, net of taxes, are reported as a component of Accumulated other comprehensive loss. The specific identification method is used to determine the cost basis of the marketable securities sold. The Company classifies its marketable securities as current based on their nature and availability for use in current operations.</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4" w:lineRule="exact"/>
        <w:rPr>
          <w:sz w:val="20"/>
          <w:szCs w:val="20"/>
          <w:color w:val="auto"/>
        </w:rPr>
      </w:pPr>
    </w:p>
    <w:p>
      <w:pPr>
        <w:ind w:right="40" w:firstLine="439"/>
        <w:spacing w:after="0" w:line="25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calculated using the straight-line method over the estimated useful lives of the assets of 35 to 47 years for buildings, 10 years for building improvements and three years to five years for computer equipment, software, office equipment, and furniture and fixtures. Leasehold improvements are amortized using the straight-line method over the lesser of the estimated useful lives of the assets or associated lease terms.</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Capitalized Software</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Software included in property and equipment includes amounts paid for purchased software and development costs for internally developed software.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capitalized $10.6 million and $12.1 million of costs related to internally developed software during 2022 and 2021, respectively.</w:t>
      </w:r>
    </w:p>
    <w:p>
      <w:pPr>
        <w:spacing w:after="0" w:line="200" w:lineRule="exact"/>
        <w:rPr>
          <w:sz w:val="20"/>
          <w:szCs w:val="20"/>
          <w:color w:val="auto"/>
        </w:rPr>
      </w:pPr>
    </w:p>
    <w:p>
      <w:pPr>
        <w:spacing w:after="0" w:line="3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Goodwill and Other Long-lived Assets</w:t>
      </w:r>
    </w:p>
    <w:p>
      <w:pPr>
        <w:spacing w:after="0" w:line="114" w:lineRule="exact"/>
        <w:rPr>
          <w:sz w:val="20"/>
          <w:szCs w:val="20"/>
          <w:color w:val="auto"/>
        </w:rPr>
      </w:pPr>
    </w:p>
    <w:p>
      <w:pPr>
        <w:ind w:firstLine="430"/>
        <w:spacing w:after="0" w:line="276" w:lineRule="auto"/>
        <w:rPr>
          <w:sz w:val="20"/>
          <w:szCs w:val="20"/>
          <w:color w:val="auto"/>
        </w:rPr>
      </w:pPr>
      <w:r>
        <w:rPr>
          <w:rFonts w:ascii="Times New Roman" w:cs="Times New Roman" w:eastAsia="Times New Roman" w:hAnsi="Times New Roman"/>
          <w:sz w:val="18"/>
          <w:szCs w:val="18"/>
          <w:color w:val="auto"/>
        </w:rPr>
        <w:t>Goodwill represents the excess of purchase consideration over fair value of net assets of businesses acquired. The Company has only one reporting unit, which has a negative carrying value. Therefore, the goodwill is not subject to impairment.</w:t>
      </w:r>
    </w:p>
    <w:p>
      <w:pPr>
        <w:spacing w:after="0" w:line="56" w:lineRule="exact"/>
        <w:rPr>
          <w:sz w:val="20"/>
          <w:szCs w:val="20"/>
          <w:color w:val="auto"/>
        </w:rPr>
      </w:pPr>
    </w:p>
    <w:p>
      <w:pPr>
        <w:ind w:right="60" w:firstLine="430"/>
        <w:spacing w:after="0" w:line="254" w:lineRule="auto"/>
        <w:rPr>
          <w:sz w:val="20"/>
          <w:szCs w:val="20"/>
          <w:color w:val="auto"/>
        </w:rPr>
      </w:pPr>
      <w:r>
        <w:rPr>
          <w:rFonts w:ascii="Times New Roman" w:cs="Times New Roman" w:eastAsia="Times New Roman" w:hAnsi="Times New Roman"/>
          <w:sz w:val="18"/>
          <w:szCs w:val="18"/>
          <w:color w:val="auto"/>
        </w:rPr>
        <w:t>Long-lived assets, such as property, plant, and equipment are reviewed for impairment whenever events or changes in circumstances indicate that the carrying amount of an asset, or asset group, may not be recoverable. Such events or circumstances include, but are not limited to, a significant decrease in the fair value of the underlying business. Recoverability of assets to be held and used is measured by a comparison of the carrying amount of an asset, or asset group, to estimated undiscounted future cash flows expected to be generated by the asset, or asset group. An impairment charge is recognized in the amount by which the carrying amount of the asset exceeds its fair value.</w:t>
      </w:r>
    </w:p>
    <w:p>
      <w:pPr>
        <w:spacing w:after="0" w:line="74" w:lineRule="exact"/>
        <w:rPr>
          <w:sz w:val="20"/>
          <w:szCs w:val="20"/>
          <w:color w:val="auto"/>
        </w:rPr>
      </w:pPr>
    </w:p>
    <w:p>
      <w:pPr>
        <w:ind w:right="140" w:firstLine="439"/>
        <w:spacing w:after="0" w:line="254" w:lineRule="auto"/>
        <w:rPr>
          <w:sz w:val="20"/>
          <w:szCs w:val="20"/>
          <w:color w:val="auto"/>
        </w:rPr>
      </w:pPr>
      <w:r>
        <w:rPr>
          <w:rFonts w:ascii="Times New Roman" w:cs="Times New Roman" w:eastAsia="Times New Roman" w:hAnsi="Times New Roman"/>
          <w:sz w:val="18"/>
          <w:szCs w:val="18"/>
          <w:color w:val="auto"/>
        </w:rPr>
        <w:t>As of December 31, 2022, the Company’s assets include a deposit related to the purchase of the contractual rights to the .</w:t>
      </w:r>
      <w:r>
        <w:rPr>
          <w:rFonts w:ascii="Times New Roman" w:cs="Times New Roman" w:eastAsia="Times New Roman" w:hAnsi="Times New Roman"/>
          <w:sz w:val="18"/>
          <w:szCs w:val="18"/>
          <w:i w:val="1"/>
          <w:iCs w:val="1"/>
          <w:color w:val="auto"/>
        </w:rPr>
        <w:t>web</w:t>
      </w:r>
      <w:r>
        <w:rPr>
          <w:rFonts w:ascii="Times New Roman" w:cs="Times New Roman" w:eastAsia="Times New Roman" w:hAnsi="Times New Roman"/>
          <w:sz w:val="18"/>
          <w:szCs w:val="18"/>
          <w:color w:val="auto"/>
        </w:rPr>
        <w:t xml:space="preserve"> gTLD. The amount paid to date has been recorded as a deposit until such time that the contractual rights are transferred to the Company. This asset would be tested for recoverability if the Company were to determine that it is no longer probable that the rights will be transferred. At the time of the transfer of the contractual rights, the Company will record the amount as an indefinite-lived intangible asset subject to review for impairment on an annual basis or more frequently if events or changes in circumstances indicate that an impairment is more likely than not.</w:t>
      </w:r>
    </w:p>
    <w:p>
      <w:pPr>
        <w:spacing w:after="0" w:line="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Foreign Currency Remeasurement</w:t>
      </w:r>
    </w:p>
    <w:p>
      <w:pPr>
        <w:spacing w:after="0" w:line="154" w:lineRule="exact"/>
        <w:rPr>
          <w:sz w:val="20"/>
          <w:szCs w:val="20"/>
          <w:color w:val="auto"/>
        </w:rPr>
      </w:pPr>
    </w:p>
    <w:p>
      <w:pPr>
        <w:ind w:right="100" w:firstLine="439"/>
        <w:spacing w:after="0" w:line="256" w:lineRule="auto"/>
        <w:rPr>
          <w:sz w:val="20"/>
          <w:szCs w:val="20"/>
          <w:color w:val="auto"/>
        </w:rPr>
      </w:pPr>
      <w:r>
        <w:rPr>
          <w:rFonts w:ascii="Times New Roman" w:cs="Times New Roman" w:eastAsia="Times New Roman" w:hAnsi="Times New Roman"/>
          <w:sz w:val="18"/>
          <w:szCs w:val="18"/>
          <w:color w:val="auto"/>
        </w:rPr>
        <w:t>Verisign conducts business in several different countries and transacts in multiple currencies. The functional currency for all of Verisign’s international subsidiaries is the U.S. dollar. The Company’s subsidiaries’ financial statements are remeasured into U.S. dollars using a combination of current and historical exchange rates and any remeasurement gains and losses are included in Non-operating income (loss), net. Remeasurement gains and losses were not significant in each of the last three years.</w:t>
      </w:r>
    </w:p>
    <w:p>
      <w:pPr>
        <w:spacing w:after="0" w:line="75" w:lineRule="exact"/>
        <w:rPr>
          <w:sz w:val="20"/>
          <w:szCs w:val="20"/>
          <w:color w:val="auto"/>
        </w:rPr>
      </w:pPr>
    </w:p>
    <w:p>
      <w:pPr>
        <w:ind w:right="60" w:firstLine="399"/>
        <w:spacing w:after="0" w:line="251" w:lineRule="auto"/>
        <w:rPr>
          <w:sz w:val="20"/>
          <w:szCs w:val="20"/>
          <w:color w:val="auto"/>
        </w:rPr>
      </w:pPr>
      <w:r>
        <w:rPr>
          <w:rFonts w:ascii="Times New Roman" w:cs="Times New Roman" w:eastAsia="Times New Roman" w:hAnsi="Times New Roman"/>
          <w:sz w:val="18"/>
          <w:szCs w:val="18"/>
          <w:color w:val="auto"/>
        </w:rPr>
        <w:t>Verisign maintains a foreign currency risk management program designed to mitigate foreign exchange risks associated with the monetary assets and liabilities that are denominated in currencies other than the U.S. dollar. The primary objective of this program is to minimize the gains and losses resulting from fluctuations in exchange rates. The Company does not enter into foreign currency transactions for trading or speculative purposes, nor does it hedge foreign currency exposures in a manner that entirely offsets the effects of changes in exchange rates. The program may entail the use of forward or option contracts, which are usually placed and adjusted monthly. These foreign currency forward contracts are derivatives and are recorded at fair market value. The Company records gains and losses on foreign currency forward contracts in Non-operating income (loss), net. Gains and losses related to foreign currency forward contracts were not significant in each of the last three years.</w:t>
      </w:r>
    </w:p>
    <w:p>
      <w:pPr>
        <w:spacing w:after="0" w:line="82" w:lineRule="exact"/>
        <w:rPr>
          <w:sz w:val="20"/>
          <w:szCs w:val="20"/>
          <w:color w:val="auto"/>
        </w:rPr>
      </w:pPr>
    </w:p>
    <w:p>
      <w:pPr>
        <w:ind w:right="600" w:firstLine="430"/>
        <w:spacing w:after="0" w:line="276" w:lineRule="auto"/>
        <w:rPr>
          <w:sz w:val="20"/>
          <w:szCs w:val="20"/>
          <w:color w:val="auto"/>
        </w:rPr>
      </w:pPr>
      <w:r>
        <w:rPr>
          <w:rFonts w:ascii="Times New Roman" w:cs="Times New Roman" w:eastAsia="Times New Roman" w:hAnsi="Times New Roman"/>
          <w:sz w:val="18"/>
          <w:szCs w:val="18"/>
          <w:color w:val="auto"/>
        </w:rPr>
        <w:t>As of December 31, 2022, Verisign held foreign currency forward contracts in notional amounts totaling $32.0 million to mitigate the impact of exchange rate fluctuations associated with certain assets and liabilities held in foreign currencies.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4" w:lineRule="exact"/>
        <w:rPr>
          <w:sz w:val="20"/>
          <w:szCs w:val="20"/>
          <w:color w:val="auto"/>
        </w:rPr>
      </w:pPr>
    </w:p>
    <w:p>
      <w:pPr>
        <w:ind w:right="180" w:firstLine="399"/>
        <w:spacing w:after="0" w:line="254" w:lineRule="auto"/>
        <w:rPr>
          <w:sz w:val="20"/>
          <w:szCs w:val="20"/>
          <w:color w:val="auto"/>
        </w:rPr>
      </w:pPr>
      <w:r>
        <w:rPr>
          <w:rFonts w:ascii="Times New Roman" w:cs="Times New Roman" w:eastAsia="Times New Roman" w:hAnsi="Times New Roman"/>
          <w:sz w:val="18"/>
          <w:szCs w:val="18"/>
          <w:color w:val="auto"/>
        </w:rPr>
        <w:t xml:space="preserve">Revenues are recognized when control of the promised services is transferred to customers, in an amount that reflects the consideration the Company expects to be entitled to in exchange for those services. Revenues primarily arise from fixed fees charged to registrars for the initial registration or renewal of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and other domain names. Individual customers, called registrants, contract directly with registrars or their resellers, and the registrars, who are our direct customers, in turn register the domain names with Verisign. Fees for domain name registrations and renewals are generally due at the time of registration or renewal. Domain name registration terms range from one year up to ten years.</w:t>
      </w:r>
    </w:p>
    <w:p>
      <w:pPr>
        <w:spacing w:after="0" w:line="63" w:lineRule="exact"/>
        <w:rPr>
          <w:sz w:val="20"/>
          <w:szCs w:val="20"/>
          <w:color w:val="auto"/>
        </w:rPr>
      </w:pPr>
    </w:p>
    <w:p>
      <w:pPr>
        <w:ind w:right="200" w:firstLine="399"/>
        <w:spacing w:after="0" w:line="254" w:lineRule="auto"/>
        <w:rPr>
          <w:sz w:val="20"/>
          <w:szCs w:val="20"/>
          <w:color w:val="auto"/>
        </w:rPr>
      </w:pPr>
      <w:r>
        <w:rPr>
          <w:rFonts w:ascii="Times New Roman" w:cs="Times New Roman" w:eastAsia="Times New Roman" w:hAnsi="Times New Roman"/>
          <w:sz w:val="18"/>
          <w:szCs w:val="18"/>
          <w:color w:val="auto"/>
        </w:rPr>
        <w:t>Most customers either maintain a deposit with Verisign or provide an irrevocable letter of credit in excess of the amounts owed. Verisign also offers promotional incentive-based discount programs to its registrars based upon market conditions and the business environment in which the registrars operate. Amounts payable for these programs are recorded as a reduction of revenue.</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u w:val="single" w:color="auto"/>
          <w:color w:val="auto"/>
        </w:rPr>
        <w:t>Performance Obligations</w:t>
      </w:r>
    </w:p>
    <w:p>
      <w:pPr>
        <w:spacing w:after="0" w:line="93" w:lineRule="exact"/>
        <w:rPr>
          <w:sz w:val="20"/>
          <w:szCs w:val="20"/>
          <w:color w:val="auto"/>
        </w:rPr>
      </w:pPr>
    </w:p>
    <w:p>
      <w:pPr>
        <w:ind w:right="220" w:firstLine="439"/>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 Each domain name registration or renewal is considered a separate optional purchase and represents a single performance obligation, which is to allow its registration and maintain that registration (by allowing updates, Domain Name System (“DNS”) resolution and Whois services, which allow users to find information about registered domain names) through the registration term. These services are provided continuously throughout each registration term, and as such, revenues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200" w:lineRule="exact"/>
        <w:rPr>
          <w:sz w:val="20"/>
          <w:szCs w:val="20"/>
          <w:color w:val="auto"/>
        </w:rPr>
      </w:pPr>
    </w:p>
    <w:p>
      <w:pPr>
        <w:spacing w:after="0" w:line="319"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from the initial registration or renewal of domain names are deferred and recognized ratably over the registration term. Fees for renewals and advance extensions to the existing term are deferred until the new incremental period commences. These fees are then recognized ratably over the renewal or extension term.</w:t>
      </w:r>
    </w:p>
    <w:p>
      <w:pPr>
        <w:spacing w:after="0" w:line="7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u w:val="single" w:color="auto"/>
          <w:color w:val="auto"/>
        </w:rPr>
        <w:t>Costs Incurred to Obtain a Contract</w:t>
      </w:r>
    </w:p>
    <w:p>
      <w:pPr>
        <w:spacing w:after="0" w:line="112" w:lineRule="exact"/>
        <w:rPr>
          <w:sz w:val="20"/>
          <w:szCs w:val="20"/>
          <w:color w:val="auto"/>
        </w:rPr>
      </w:pPr>
    </w:p>
    <w:p>
      <w:pPr>
        <w:ind w:right="180" w:firstLine="399"/>
        <w:spacing w:after="0" w:line="276" w:lineRule="auto"/>
        <w:rPr>
          <w:sz w:val="20"/>
          <w:szCs w:val="20"/>
          <w:color w:val="auto"/>
        </w:rPr>
      </w:pPr>
      <w:r>
        <w:rPr>
          <w:rFonts w:ascii="Times New Roman" w:cs="Times New Roman" w:eastAsia="Times New Roman" w:hAnsi="Times New Roman"/>
          <w:sz w:val="18"/>
          <w:szCs w:val="18"/>
          <w:color w:val="auto"/>
        </w:rPr>
        <w:t>The Company recognizes the fees payable to ICANN for each annual term of domain name registrations and renewals, as an asset which is amortized on a straight-line basis over the related registration term. These assets are included in Other current assets and Other long-term assets.</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4" w:lineRule="exact"/>
        <w:rPr>
          <w:sz w:val="20"/>
          <w:szCs w:val="20"/>
          <w:color w:val="auto"/>
        </w:rPr>
      </w:pPr>
    </w:p>
    <w:p>
      <w:pPr>
        <w:ind w:right="100" w:firstLine="439"/>
        <w:spacing w:after="0" w:line="252" w:lineRule="auto"/>
        <w:rPr>
          <w:sz w:val="20"/>
          <w:szCs w:val="20"/>
          <w:color w:val="auto"/>
        </w:rPr>
      </w:pPr>
      <w:r>
        <w:rPr>
          <w:rFonts w:ascii="Times New Roman" w:cs="Times New Roman" w:eastAsia="Times New Roman" w:hAnsi="Times New Roman"/>
          <w:sz w:val="18"/>
          <w:szCs w:val="18"/>
          <w:color w:val="auto"/>
        </w:rPr>
        <w:t>Verisign uses the asset and liability method to account for income taxes. Deferred tax assets and liabilities are recognized for the future tax consequences attributable to differences between the financial statement carrying amounts of existing assets and liabilities and their respective tax bases and net operating loss carryforwards. Deferred tax assets and liabilities are measured using enacted tax rates expected to apply to taxable income in the years in which those temporary differences are expected to be recovered or settled. The Company records a valuation allowance to reduce deferred tax assets to an amount whose realization is more likely than not. For every tax-paying component and within each tax jurisdiction, all deferred tax liabilities and assets are offset and presented as a single net noncurrent asset or liability.</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recognizes the U.S. income tax effect of future global intangible low-taxed income inclusions in the period in which they arise.</w:t>
      </w:r>
    </w:p>
    <w:p>
      <w:pPr>
        <w:spacing w:after="0" w:line="112" w:lineRule="exact"/>
        <w:rPr>
          <w:sz w:val="20"/>
          <w:szCs w:val="20"/>
          <w:color w:val="auto"/>
        </w:rPr>
      </w:pPr>
    </w:p>
    <w:p>
      <w:pPr>
        <w:jc w:val="both"/>
        <w:ind w:right="240" w:firstLine="439"/>
        <w:spacing w:after="0" w:line="261" w:lineRule="auto"/>
        <w:rPr>
          <w:sz w:val="20"/>
          <w:szCs w:val="20"/>
          <w:color w:val="auto"/>
        </w:rPr>
      </w:pPr>
      <w:r>
        <w:rPr>
          <w:rFonts w:ascii="Times New Roman" w:cs="Times New Roman" w:eastAsia="Times New Roman" w:hAnsi="Times New Roman"/>
          <w:sz w:val="18"/>
          <w:szCs w:val="18"/>
          <w:color w:val="auto"/>
        </w:rPr>
        <w:t>The Company’s income taxes payable is reduced by the tax benefits from restricted stock unit (“RSU”) vestings equal to the fair market value of the stock at the vesting date. If the income tax benefit at the vesting date differs from the income tax benefit recorded based on the grant date fair value of the RSUs, the excess or shortfall of the tax benefit is recognized within income tax expense.</w:t>
      </w:r>
    </w:p>
    <w:p>
      <w:pPr>
        <w:spacing w:after="0" w:line="70" w:lineRule="exact"/>
        <w:rPr>
          <w:sz w:val="20"/>
          <w:szCs w:val="20"/>
          <w:color w:val="auto"/>
        </w:rPr>
      </w:pPr>
    </w:p>
    <w:p>
      <w:pPr>
        <w:ind w:firstLine="439"/>
        <w:spacing w:after="0" w:line="250" w:lineRule="auto"/>
        <w:rPr>
          <w:sz w:val="20"/>
          <w:szCs w:val="20"/>
          <w:color w:val="auto"/>
        </w:rPr>
      </w:pPr>
      <w:r>
        <w:rPr>
          <w:rFonts w:ascii="Times New Roman" w:cs="Times New Roman" w:eastAsia="Times New Roman" w:hAnsi="Times New Roman"/>
          <w:sz w:val="18"/>
          <w:szCs w:val="18"/>
          <w:color w:val="auto"/>
        </w:rPr>
        <w:t>Verisign operates in multiple tax jurisdictions in the United States and internationally. Tax laws and regulations in these jurisdictions are complex, interrelated, and periodically changing. Significant judgment or interpretation of these laws and regulations is often required in determining the Company’s worldwide provision for income taxes, including, for example, the calculations of taxable income in each jurisdiction, deferred taxes, and the availability and amount of deductions and tax credits. The final taxes payable are dependent upon many factors, including negotiations with taxing authorities in various jurisdictions and resolution of disputes arising from various tax examinations. The Company only recognizes tax positions taken or expected to be taken on its tax returns that are more likely than not to be sustained upon examination, and records a tax benefit amount that is more likely than not to be realized upon ultimate settlement with the taxing authority. The Company adjusts its estimate of unrecognized tax benefits in light of changing facts and circumstances; however, due to the complexity of some of these uncertainties, the ultimate resolution may result in an outcome that is materially different from the estimate. See Note 10, “Income Taxes,” for details of the changes to the Company’s unrecognized tax benefits for the periods presented.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4" w:lineRule="exact"/>
        <w:rPr>
          <w:sz w:val="20"/>
          <w:szCs w:val="20"/>
          <w:color w:val="auto"/>
        </w:rPr>
      </w:pPr>
    </w:p>
    <w:p>
      <w:pPr>
        <w:ind w:right="200" w:firstLine="439"/>
        <w:spacing w:after="0" w:line="250" w:lineRule="auto"/>
        <w:rPr>
          <w:sz w:val="20"/>
          <w:szCs w:val="20"/>
          <w:color w:val="auto"/>
        </w:rPr>
      </w:pPr>
      <w:r>
        <w:rPr>
          <w:rFonts w:ascii="Times New Roman" w:cs="Times New Roman" w:eastAsia="Times New Roman" w:hAnsi="Times New Roman"/>
          <w:sz w:val="18"/>
          <w:szCs w:val="18"/>
          <w:color w:val="auto"/>
        </w:rPr>
        <w:t>The Company’s stock-based compensation consists of RSUs granted to employees and the employee stock purchase plan (“ESPP”). Stock-based compensation expense is typically recognized ratably over the requisite service period. Forfeitures of stock-based awards are recognized as they occur. As substantially all of the RSUs granted by the Company are routine annual grants, none of the awards are designed to be spring-loaded, and as such, the Company does not adjust the market price of its common stock when estimating the grant-date fair value of these awards. The Company also grants RSUs which include performance conditions, and in some cases market conditions, to certain executives. The expense for these performance-based RSUs is recognized based on the probable outcome of the performance conditions. The expense recognized for awards with market conditions is based on the grant date fair value of the awards including the impact of the market conditions, using a Monte Carlo simulation model. The Company uses the Black-Scholes option pricing model to determine the fair value of its ESPP offerings. The determination of the fair value of stock-based payment awards using the Monte Carlo simulation model or the Black-Scholes option-pricing model is affected by the Company’s stock price as well as assumptions regarding a number of complex and subjective variables.</w:t>
      </w:r>
    </w:p>
    <w:p>
      <w:pPr>
        <w:spacing w:after="0" w:line="2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4" w:lineRule="exact"/>
        <w:rPr>
          <w:sz w:val="20"/>
          <w:szCs w:val="20"/>
          <w:color w:val="auto"/>
        </w:rPr>
      </w:pPr>
    </w:p>
    <w:p>
      <w:pPr>
        <w:jc w:val="both"/>
        <w:ind w:right="200" w:firstLine="479"/>
        <w:spacing w:after="0" w:line="261" w:lineRule="auto"/>
        <w:rPr>
          <w:sz w:val="20"/>
          <w:szCs w:val="20"/>
          <w:color w:val="auto"/>
        </w:rPr>
      </w:pPr>
      <w:r>
        <w:rPr>
          <w:rFonts w:ascii="Times New Roman" w:cs="Times New Roman" w:eastAsia="Times New Roman" w:hAnsi="Times New Roman"/>
          <w:sz w:val="18"/>
          <w:szCs w:val="18"/>
          <w:color w:val="auto"/>
        </w:rPr>
        <w:t>The Company computes basic earnings per share by dividing net income by the weighted-average number of common shares outstanding during the period. Diluted earnings per share gives effect to dilutive potential common shares, including unvested RSUs and ESPP offerings,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200" w:lineRule="exact"/>
        <w:rPr>
          <w:sz w:val="20"/>
          <w:szCs w:val="20"/>
          <w:color w:val="auto"/>
        </w:rPr>
      </w:pP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4" w:lineRule="exact"/>
        <w:rPr>
          <w:sz w:val="20"/>
          <w:szCs w:val="20"/>
          <w:color w:val="auto"/>
        </w:rPr>
      </w:pPr>
    </w:p>
    <w:p>
      <w:pPr>
        <w:ind w:right="720" w:firstLine="439"/>
        <w:spacing w:after="0" w:line="276" w:lineRule="auto"/>
        <w:rPr>
          <w:sz w:val="20"/>
          <w:szCs w:val="20"/>
          <w:color w:val="auto"/>
        </w:rPr>
      </w:pPr>
      <w:r>
        <w:rPr>
          <w:rFonts w:ascii="Times New Roman" w:cs="Times New Roman" w:eastAsia="Times New Roman" w:hAnsi="Times New Roman"/>
          <w:sz w:val="18"/>
          <w:szCs w:val="18"/>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96" w:lineRule="exact"/>
        <w:rPr>
          <w:sz w:val="20"/>
          <w:szCs w:val="20"/>
          <w:color w:val="auto"/>
        </w:rPr>
      </w:pPr>
    </w:p>
    <w:p>
      <w:pPr>
        <w:ind w:left="640" w:hanging="194"/>
        <w:spacing w:after="0"/>
        <w:tabs>
          <w:tab w:leader="none" w:pos="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that reflect quoted prices (unadjusted) for identical assets or liabilities in active markets.</w:t>
      </w:r>
    </w:p>
    <w:p>
      <w:pPr>
        <w:spacing w:after="0" w:line="25" w:lineRule="exact"/>
        <w:rPr>
          <w:rFonts w:ascii="Times New Roman" w:cs="Times New Roman" w:eastAsia="Times New Roman" w:hAnsi="Times New Roman"/>
          <w:sz w:val="18"/>
          <w:szCs w:val="18"/>
          <w:color w:val="auto"/>
        </w:rPr>
      </w:pPr>
    </w:p>
    <w:p>
      <w:pPr>
        <w:ind w:left="640" w:right="300" w:hanging="234"/>
        <w:spacing w:after="0" w:line="246"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2" w:lineRule="exact"/>
        <w:rPr>
          <w:rFonts w:ascii="Times New Roman" w:cs="Times New Roman" w:eastAsia="Times New Roman" w:hAnsi="Times New Roman"/>
          <w:sz w:val="18"/>
          <w:szCs w:val="18"/>
          <w:color w:val="auto"/>
        </w:rPr>
      </w:pPr>
    </w:p>
    <w:p>
      <w:pPr>
        <w:ind w:left="640" w:right="220" w:hanging="234"/>
        <w:spacing w:after="0" w:line="253"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reflecting the Company’s own assumptions incorporated in valuation techniques used to determine fair value. These assumptions are required to be consistent with market participant assumptions that are reasonably available.</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4" w:lineRule="exact"/>
        <w:rPr>
          <w:sz w:val="20"/>
          <w:szCs w:val="20"/>
          <w:color w:val="auto"/>
        </w:rPr>
      </w:pPr>
    </w:p>
    <w:p>
      <w:pPr>
        <w:ind w:right="40" w:firstLine="399"/>
        <w:spacing w:after="0" w:line="256" w:lineRule="auto"/>
        <w:rPr>
          <w:sz w:val="20"/>
          <w:szCs w:val="20"/>
          <w:color w:val="auto"/>
        </w:rPr>
      </w:pPr>
      <w:r>
        <w:rPr>
          <w:rFonts w:ascii="Times New Roman" w:cs="Times New Roman" w:eastAsia="Times New Roman" w:hAnsi="Times New Roman"/>
          <w:sz w:val="18"/>
          <w:szCs w:val="18"/>
          <w:color w:val="auto"/>
        </w:rPr>
        <w:t>Verisign is involved in various investigations, claims and lawsuits arising in the normal conduct of its business, none of which, in its opinion, will have a material adverse effect on its financial condition, results of operations, or cash flows. The Company can provide no assurance that it will prevail in any litigation. Regardless of the outcome, any litigation may require the Company to incur significant litigation expense and may result in significant diversion of management attention.</w:t>
      </w:r>
    </w:p>
    <w:p>
      <w:pPr>
        <w:spacing w:after="0" w:line="75" w:lineRule="exact"/>
        <w:rPr>
          <w:sz w:val="20"/>
          <w:szCs w:val="20"/>
          <w:color w:val="auto"/>
        </w:rPr>
      </w:pPr>
    </w:p>
    <w:p>
      <w:pPr>
        <w:ind w:right="60" w:firstLine="399"/>
        <w:spacing w:after="0" w:line="251" w:lineRule="auto"/>
        <w:rPr>
          <w:sz w:val="20"/>
          <w:szCs w:val="20"/>
          <w:color w:val="auto"/>
        </w:rPr>
      </w:pPr>
      <w:r>
        <w:rPr>
          <w:rFonts w:ascii="Times New Roman" w:cs="Times New Roman" w:eastAsia="Times New Roman" w:hAnsi="Times New Roman"/>
          <w:sz w:val="18"/>
          <w:szCs w:val="18"/>
          <w:color w:val="auto"/>
        </w:rPr>
        <w:t>While certain legal proceedings and related indemnification obligations to which the Company is a party specify the amounts claimed, such claims may not represent reasonably possible losses. Given the inherent uncertainties of the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required accrual may change in the future due to new developments in each matter or changes in approach such as a change in settlement strategy in dealing with these matters. The Company does not believe that any such matter currently being reviewed will have a material adverse effect on its financial condition, results of operations, or cash flows.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Financial Instruments</w:t>
      </w:r>
    </w:p>
    <w:p>
      <w:pPr>
        <w:spacing w:after="0" w:line="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Cash, Cash Equivalents, and Marketable Securities</w:t>
      </w:r>
    </w:p>
    <w:p>
      <w:pPr>
        <w:spacing w:after="0" w:line="114" w:lineRule="exact"/>
        <w:rPr>
          <w:sz w:val="20"/>
          <w:szCs w:val="20"/>
          <w:color w:val="auto"/>
        </w:rPr>
      </w:pPr>
    </w:p>
    <w:p>
      <w:pPr>
        <w:ind w:right="480" w:firstLine="399"/>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Company’s cash, cash equivalents, and marketable securities and the fair value categorization of the financial instruments measured at fair value on a recurring basis: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44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gridSpan w:val="3"/>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4460" w:type="dxa"/>
            <w:vAlign w:val="bottom"/>
            <w:gridSpan w:val="2"/>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3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 (Level 1)</w:t>
            </w:r>
          </w:p>
        </w:tc>
        <w:tc>
          <w:tcPr>
            <w:tcW w:w="3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securities issued by the U.S. Treasury (Level 1)</w:t>
            </w:r>
          </w:p>
        </w:tc>
        <w:tc>
          <w:tcPr>
            <w:tcW w:w="35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6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60" w:type="dxa"/>
            <w:vAlign w:val="bottom"/>
            <w:gridSpan w:val="2"/>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long-term assets)</w:t>
            </w:r>
          </w:p>
        </w:tc>
        <w:tc>
          <w:tcPr>
            <w:tcW w:w="35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5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bottom w:val="single" w:sz="8" w:color="CCEEFF"/>
            </w:tcBorders>
            <w:vMerge w:val="restart"/>
          </w:tcPr>
          <w:p>
            <w:pPr>
              <w:jc w:val="right"/>
              <w:ind w:right="2431"/>
              <w:spacing w:after="0"/>
              <w:rPr>
                <w:sz w:val="20"/>
                <w:szCs w:val="20"/>
                <w:color w:val="auto"/>
              </w:rPr>
            </w:pPr>
            <w:r>
              <w:rPr>
                <w:rFonts w:ascii="Times New Roman" w:cs="Times New Roman" w:eastAsia="Times New Roman" w:hAnsi="Times New Roman"/>
                <w:sz w:val="18"/>
                <w:szCs w:val="18"/>
                <w:color w:val="auto"/>
              </w:rPr>
              <w:t>41</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3"/>
        </w:trPr>
        <w:tc>
          <w:tcPr>
            <w:tcW w:w="466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66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200" w:lineRule="exact"/>
        <w:rPr>
          <w:sz w:val="20"/>
          <w:szCs w:val="20"/>
          <w:color w:val="auto"/>
        </w:rPr>
      </w:pPr>
    </w:p>
    <w:p>
      <w:pPr>
        <w:spacing w:after="0" w:line="319" w:lineRule="exact"/>
        <w:rPr>
          <w:sz w:val="20"/>
          <w:szCs w:val="20"/>
          <w:color w:val="auto"/>
        </w:rPr>
      </w:pPr>
    </w:p>
    <w:p>
      <w:pPr>
        <w:ind w:right="220" w:firstLine="399"/>
        <w:spacing w:after="0" w:line="276" w:lineRule="auto"/>
        <w:rPr>
          <w:sz w:val="20"/>
          <w:szCs w:val="20"/>
          <w:color w:val="auto"/>
        </w:rPr>
      </w:pPr>
      <w:r>
        <w:rPr>
          <w:rFonts w:ascii="Times New Roman" w:cs="Times New Roman" w:eastAsia="Times New Roman" w:hAnsi="Times New Roman"/>
          <w:sz w:val="18"/>
          <w:szCs w:val="18"/>
          <w:color w:val="auto"/>
        </w:rPr>
        <w:t>The gross and net unrealized gains and losses included in the fair value of the debt securities were not significant for the periods presented. All of the debt securities held as of December 31, 2022 have contractual maturities of less than one year.</w:t>
      </w:r>
    </w:p>
    <w:p>
      <w:pPr>
        <w:spacing w:after="0" w:line="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14" w:lineRule="exact"/>
        <w:rPr>
          <w:sz w:val="20"/>
          <w:szCs w:val="20"/>
          <w:color w:val="auto"/>
        </w:rPr>
      </w:pPr>
    </w:p>
    <w:p>
      <w:pPr>
        <w:ind w:right="140" w:firstLine="439"/>
        <w:spacing w:after="0" w:line="261" w:lineRule="auto"/>
        <w:rPr>
          <w:sz w:val="20"/>
          <w:szCs w:val="20"/>
          <w:color w:val="auto"/>
        </w:rPr>
      </w:pPr>
      <w:r>
        <w:rPr>
          <w:rFonts w:ascii="Times New Roman" w:cs="Times New Roman" w:eastAsia="Times New Roman" w:hAnsi="Times New Roman"/>
          <w:sz w:val="18"/>
          <w:szCs w:val="18"/>
          <w:color w:val="auto"/>
        </w:rPr>
        <w:t>The fair value of the Company’s investments in money market funds approximates their face value. Such instruments are classified as Level 1 and are included in Cash and cash equivalents. The fair value of the debt securities consisting of U.S. Treasury bills is based on their quoted market prices and are classified as Level 1.</w:t>
      </w:r>
    </w:p>
    <w:p>
      <w:pPr>
        <w:spacing w:after="0" w:line="70" w:lineRule="exact"/>
        <w:rPr>
          <w:sz w:val="20"/>
          <w:szCs w:val="20"/>
          <w:color w:val="auto"/>
        </w:rPr>
      </w:pPr>
    </w:p>
    <w:p>
      <w:pPr>
        <w:ind w:right="80" w:firstLine="399"/>
        <w:spacing w:after="0" w:line="256" w:lineRule="auto"/>
        <w:rPr>
          <w:sz w:val="20"/>
          <w:szCs w:val="20"/>
          <w:color w:val="auto"/>
        </w:rPr>
      </w:pPr>
      <w:r>
        <w:rPr>
          <w:rFonts w:ascii="Times New Roman" w:cs="Times New Roman" w:eastAsia="Times New Roman" w:hAnsi="Times New Roman"/>
          <w:sz w:val="18"/>
          <w:szCs w:val="18"/>
          <w:color w:val="auto"/>
        </w:rPr>
        <w:t>As of December 31, 2022, the Company’s other financial instruments include cash, accounts receivable, restricted cash, and accounts payable whose carrying values approximated their fair values. The aggregate fair value of the Company’s senior notes is $1.65 billion and $1.88 billion as of December 31, 2022 and December 31, 2021, respectively. The fair values of these debt instruments are based on available market information from public data sources and are classified as Level 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Selected Balance Sheet Items</w:t>
      </w:r>
    </w:p>
    <w:p>
      <w:pPr>
        <w:spacing w:after="0" w:line="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Other Current Assets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current assets consist of the following: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8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Prepaid registry fees</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Taxes receivable</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88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c>
          <w:tcPr>
            <w:tcW w:w="560" w:type="dxa"/>
            <w:vAlign w:val="bottom"/>
            <w:tcBorders>
              <w:bottom w:val="single" w:sz="8" w:color="auto"/>
            </w:tcBorders>
            <w:gridSpan w:val="2"/>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8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following table presents the detail of property and equipment, net:</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8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work in progress</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(474.8)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0"/>
                <w:szCs w:val="20"/>
                <w:color w:val="auto"/>
              </w:rPr>
            </w:pPr>
          </w:p>
        </w:tc>
        <w:tc>
          <w:tcPr>
            <w:tcW w:w="8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Substantially all of the Company’s property and equipment were held in the U.S. for both periods presented.</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detail of goodwill:</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Pr>
          <w:p>
            <w:pPr>
              <w:spacing w:after="0"/>
              <w:rPr>
                <w:sz w:val="16"/>
                <w:szCs w:val="16"/>
                <w:color w:val="auto"/>
              </w:rPr>
            </w:pPr>
          </w:p>
        </w:tc>
      </w:tr>
      <w:tr>
        <w:trPr>
          <w:trHeight w:val="25"/>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8"/>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6"/>
                <w:szCs w:val="16"/>
                <w:color w:val="auto"/>
              </w:rPr>
            </w:pPr>
          </w:p>
        </w:tc>
      </w:tr>
      <w:tr>
        <w:trPr>
          <w:trHeight w:val="25"/>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gross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1,537.8</w:t>
            </w:r>
          </w:p>
        </w:tc>
      </w:tr>
      <w:tr>
        <w:trPr>
          <w:trHeight w:val="22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goodwill impairment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(1,485.3)</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(1,485.3)</w:t>
            </w:r>
          </w:p>
        </w:tc>
      </w:tr>
      <w:tr>
        <w:trPr>
          <w:trHeight w:val="245"/>
        </w:trPr>
        <w:tc>
          <w:tcPr>
            <w:tcW w:w="8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goodwill</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was no impairment of goodwill or other long-lived assets recognized in any of the periods presented.</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Deposits to Acquire Intangible Assets</w:t>
      </w:r>
    </w:p>
    <w:p>
      <w:pPr>
        <w:spacing w:after="0" w:line="114" w:lineRule="exact"/>
        <w:rPr>
          <w:sz w:val="20"/>
          <w:szCs w:val="20"/>
          <w:color w:val="auto"/>
        </w:rPr>
      </w:pPr>
    </w:p>
    <w:p>
      <w:pPr>
        <w:jc w:val="both"/>
        <w:ind w:right="80" w:firstLine="479"/>
        <w:spacing w:after="0" w:line="261" w:lineRule="auto"/>
        <w:rPr>
          <w:sz w:val="20"/>
          <w:szCs w:val="20"/>
          <w:color w:val="auto"/>
        </w:rPr>
      </w:pPr>
      <w:r>
        <w:rPr>
          <w:rFonts w:ascii="Times New Roman" w:cs="Times New Roman" w:eastAsia="Times New Roman" w:hAnsi="Times New Roman"/>
          <w:sz w:val="18"/>
          <w:szCs w:val="18"/>
          <w:color w:val="auto"/>
        </w:rPr>
        <w:t xml:space="preserve">The Company’s Deposit to acquire intangible assets represents the $145.0 million paid for the future assignment to the Company of contractual rights to the </w:t>
      </w:r>
      <w:r>
        <w:rPr>
          <w:rFonts w:ascii="Times New Roman" w:cs="Times New Roman" w:eastAsia="Times New Roman" w:hAnsi="Times New Roman"/>
          <w:sz w:val="18"/>
          <w:szCs w:val="18"/>
          <w:i w:val="1"/>
          <w:iCs w:val="1"/>
          <w:color w:val="auto"/>
        </w:rPr>
        <w:t>.web</w:t>
      </w:r>
      <w:r>
        <w:rPr>
          <w:rFonts w:ascii="Times New Roman" w:cs="Times New Roman" w:eastAsia="Times New Roman" w:hAnsi="Times New Roman"/>
          <w:sz w:val="18"/>
          <w:szCs w:val="18"/>
          <w:color w:val="auto"/>
        </w:rPr>
        <w:t xml:space="preserve"> gTLD, pending resolution of objections by other applicants, and approval from ICANN. Upon assignment of the contractual rights, the Company will record the total investment as an indefinite-lived intangible asset.</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Other Long-Term Assets</w:t>
      </w:r>
    </w:p>
    <w:p>
      <w:pPr>
        <w:spacing w:after="0" w:line="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long-term assets consist of the following:</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Pr>
          <w:p>
            <w:pPr>
              <w:spacing w:after="0"/>
              <w:rPr>
                <w:sz w:val="16"/>
                <w:szCs w:val="16"/>
                <w:color w:val="auto"/>
              </w:rPr>
            </w:pPr>
          </w:p>
        </w:tc>
      </w:tr>
      <w:tr>
        <w:trPr>
          <w:trHeight w:val="25"/>
        </w:trPr>
        <w:tc>
          <w:tcPr>
            <w:tcW w:w="8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82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3"/>
        </w:trPr>
        <w:tc>
          <w:tcPr>
            <w:tcW w:w="8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6"/>
                <w:szCs w:val="16"/>
                <w:color w:val="auto"/>
              </w:rPr>
            </w:pP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prepaid registry fees</w:t>
            </w:r>
          </w:p>
        </w:tc>
        <w:tc>
          <w:tcPr>
            <w:tcW w:w="88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prepaid expenses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long-term assets</w:t>
            </w:r>
          </w:p>
        </w:tc>
        <w:tc>
          <w:tcPr>
            <w:tcW w:w="88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0"/>
        </w:trPr>
        <w:tc>
          <w:tcPr>
            <w:tcW w:w="8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firstLine="399"/>
        <w:spacing w:after="0" w:line="262" w:lineRule="auto"/>
        <w:rPr>
          <w:sz w:val="20"/>
          <w:szCs w:val="20"/>
          <w:color w:val="auto"/>
        </w:rPr>
      </w:pPr>
      <w:r>
        <w:rPr>
          <w:rFonts w:ascii="Times New Roman" w:cs="Times New Roman" w:eastAsia="Times New Roman" w:hAnsi="Times New Roman"/>
          <w:sz w:val="18"/>
          <w:szCs w:val="18"/>
          <w:color w:val="auto"/>
        </w:rPr>
        <w:t>The prepaid registry fees in the tables above relate to the fees the Company pays to ICANN for each annual term of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domain name registrations and renewals which are deferred and amortized over the domain name registration term. The amount of prepaid registry fees as of December 31, 2022 reflects amortization of $39.5 million during 2022 which was recorded in Cost of Revenues.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200" w:lineRule="exact"/>
        <w:rPr>
          <w:sz w:val="20"/>
          <w:szCs w:val="20"/>
          <w:color w:val="auto"/>
        </w:rPr>
      </w:pPr>
    </w:p>
    <w:p>
      <w:pPr>
        <w:spacing w:after="0" w:line="2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Accounts Payable and Accrued Liabilities</w:t>
      </w:r>
    </w:p>
    <w:p>
      <w:pPr>
        <w:spacing w:after="0" w:line="1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Accounts payable and accrued liabilities consist of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260" w:type="dxa"/>
            <w:vAlign w:val="bottom"/>
          </w:tcPr>
          <w:p>
            <w:pPr>
              <w:spacing w:after="0"/>
              <w:rPr>
                <w:sz w:val="16"/>
                <w:szCs w:val="16"/>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0" w:type="dxa"/>
            <w:vAlign w:val="bottom"/>
          </w:tcPr>
          <w:p>
            <w:pPr>
              <w:spacing w:after="0"/>
              <w:rPr>
                <w:sz w:val="1"/>
                <w:szCs w:val="1"/>
                <w:color w:val="auto"/>
              </w:rPr>
            </w:pPr>
          </w:p>
        </w:tc>
      </w:tr>
      <w:tr>
        <w:trPr>
          <w:trHeight w:val="193"/>
        </w:trPr>
        <w:tc>
          <w:tcPr>
            <w:tcW w:w="8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20" w:type="dxa"/>
            <w:vAlign w:val="bottom"/>
            <w:gridSpan w:val="5"/>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payable</w:t>
            </w: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registry fees</w:t>
            </w: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incentives payable</w:t>
            </w: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45"/>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900" w:type="dxa"/>
            <w:vAlign w:val="bottom"/>
            <w:tcBorders>
              <w:bottom w:val="single" w:sz="8" w:color="auto"/>
            </w:tcBorders>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gridSpan w:val="2"/>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400"/>
              <w:spacing w:after="0"/>
              <w:rPr>
                <w:sz w:val="20"/>
                <w:szCs w:val="20"/>
                <w:color w:val="auto"/>
              </w:rPr>
            </w:pPr>
            <w:r>
              <w:rPr>
                <w:rFonts w:ascii="Times New Roman" w:cs="Times New Roman" w:eastAsia="Times New Roman" w:hAnsi="Times New Roman"/>
                <w:sz w:val="18"/>
                <w:szCs w:val="18"/>
                <w:i w:val="1"/>
                <w:iCs w:val="1"/>
                <w:color w:val="auto"/>
              </w:rPr>
              <w:t>Long-term Tax and Other Liabilities</w:t>
            </w: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82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Long-term tax and other liabilities consist of the following:</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2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3"/>
        </w:trPr>
        <w:tc>
          <w:tcPr>
            <w:tcW w:w="8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20" w:type="dxa"/>
            <w:vAlign w:val="bottom"/>
            <w:gridSpan w:val="5"/>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tax liabilities</w:t>
            </w:r>
          </w:p>
        </w:tc>
        <w:tc>
          <w:tcPr>
            <w:tcW w:w="9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2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5"/>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tax and other liabilities</w:t>
            </w: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right="220" w:firstLine="399"/>
        <w:spacing w:after="0" w:line="276" w:lineRule="auto"/>
        <w:rPr>
          <w:sz w:val="20"/>
          <w:szCs w:val="20"/>
          <w:color w:val="auto"/>
        </w:rPr>
      </w:pPr>
      <w:r>
        <w:rPr>
          <w:rFonts w:ascii="Times New Roman" w:cs="Times New Roman" w:eastAsia="Times New Roman" w:hAnsi="Times New Roman"/>
          <w:sz w:val="18"/>
          <w:szCs w:val="18"/>
          <w:color w:val="auto"/>
        </w:rPr>
        <w:t>Long-term tax liabilities include accruals for unrecognized tax benefits and the long-term portion of the U.S. income taxes payable on the Company’s accumulated foreign earnings (“Transition Tax”) resulting from the 2017 Tax Cuts and Jobs Act.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Debt</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information related to our Senior notes: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00" w:type="dxa"/>
            <w:vAlign w:val="bottom"/>
            <w:shd w:val="clear" w:color="auto" w:fill="CCEEFF"/>
          </w:tcPr>
          <w:p>
            <w:pPr>
              <w:spacing w:after="0"/>
              <w:rPr>
                <w:sz w:val="17"/>
                <w:szCs w:val="17"/>
                <w:color w:val="auto"/>
              </w:rPr>
            </w:pPr>
          </w:p>
        </w:tc>
        <w:tc>
          <w:tcPr>
            <w:tcW w:w="1980" w:type="dxa"/>
            <w:vAlign w:val="bottom"/>
            <w:tcBorders>
              <w:bottom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134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520" w:type="dxa"/>
            <w:vAlign w:val="bottom"/>
            <w:tcBorders>
              <w:bottom w:val="single" w:sz="8" w:color="auto"/>
            </w:tcBorders>
            <w:gridSpan w:val="2"/>
            <w:shd w:val="clear" w:color="auto" w:fill="CCEEFF"/>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760" w:type="dxa"/>
            <w:vAlign w:val="bottom"/>
            <w:tcBorders>
              <w:bottom w:val="single" w:sz="8" w:color="auto"/>
            </w:tcBorders>
            <w:gridSpan w:val="3"/>
            <w:shd w:val="clear" w:color="auto" w:fill="CCEEFF"/>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80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4"/>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(in millions except interest rates)</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19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March 27, 2015</w:t>
            </w:r>
          </w:p>
        </w:tc>
        <w:tc>
          <w:tcPr>
            <w:tcW w:w="13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April 1, 2025</w:t>
            </w:r>
          </w:p>
        </w:tc>
        <w:tc>
          <w:tcPr>
            <w:tcW w:w="152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5.25 %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2027</w:t>
            </w:r>
          </w:p>
        </w:tc>
        <w:tc>
          <w:tcPr>
            <w:tcW w:w="19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July 5, 2017</w:t>
            </w: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July 15, 2027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2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2031</w:t>
            </w:r>
          </w:p>
        </w:tc>
        <w:tc>
          <w:tcPr>
            <w:tcW w:w="19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June 8, 2021</w:t>
            </w:r>
          </w:p>
        </w:tc>
        <w:tc>
          <w:tcPr>
            <w:tcW w:w="13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June 15, 2031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2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amount of senior notes</w:t>
            </w:r>
          </w:p>
        </w:tc>
        <w:tc>
          <w:tcPr>
            <w:tcW w:w="1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0" w:type="dxa"/>
            <w:vAlign w:val="bottom"/>
          </w:tcPr>
          <w:p>
            <w:pPr>
              <w:spacing w:after="0"/>
              <w:rPr>
                <w:sz w:val="1"/>
                <w:szCs w:val="1"/>
                <w:color w:val="auto"/>
              </w:rPr>
            </w:pPr>
          </w:p>
        </w:tc>
      </w:tr>
      <w:tr>
        <w:trPr>
          <w:trHeight w:val="22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issuance costs</w:t>
            </w:r>
          </w:p>
        </w:tc>
        <w:tc>
          <w:tcPr>
            <w:tcW w:w="19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0"/>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Senior notes</w:t>
            </w:r>
          </w:p>
        </w:tc>
        <w:tc>
          <w:tcPr>
            <w:tcW w:w="1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2"/>
        </w:trPr>
        <w:tc>
          <w:tcPr>
            <w:tcW w:w="380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80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200" w:lineRule="exact"/>
        <w:rPr>
          <w:sz w:val="20"/>
          <w:szCs w:val="20"/>
          <w:color w:val="auto"/>
        </w:rPr>
      </w:pPr>
    </w:p>
    <w:p>
      <w:pPr>
        <w:spacing w:after="0" w:line="319" w:lineRule="exact"/>
        <w:rPr>
          <w:sz w:val="20"/>
          <w:szCs w:val="20"/>
          <w:color w:val="auto"/>
        </w:rPr>
      </w:pPr>
    </w:p>
    <w:p>
      <w:pPr>
        <w:ind w:right="60" w:firstLine="399"/>
        <w:spacing w:after="0" w:line="261" w:lineRule="auto"/>
        <w:rPr>
          <w:sz w:val="20"/>
          <w:szCs w:val="20"/>
          <w:color w:val="auto"/>
        </w:rPr>
      </w:pPr>
      <w:r>
        <w:rPr>
          <w:rFonts w:ascii="Times New Roman" w:cs="Times New Roman" w:eastAsia="Times New Roman" w:hAnsi="Times New Roman"/>
          <w:sz w:val="18"/>
          <w:szCs w:val="18"/>
          <w:color w:val="auto"/>
        </w:rPr>
        <w:t>The 2031 Notes were issued at 99.712% of par value. The 2025 and 2027 notes were issued at par and all outstanding senior notes are senior unsecured obligations of the Company. Interest is payable on each of the senior notes semi-annually. Each of the senior notes issuances is redeemable, in whole or in part, at the Company’s option at times and redemption prices specified in the indentures.</w:t>
      </w:r>
    </w:p>
    <w:p>
      <w:pPr>
        <w:spacing w:after="0" w:line="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2019 Credit Facility</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December 12, 2019, the Company entered into a credit agreement for a $200.0 million committed unsecured revolving credit facility (the “2019</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 The 2019 Credit Facility includes a financial covenant requiring that the Company’s leverage ratio not exceed 4.0 to 1.0. As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2022, there were no borrowings outstanding under the 2019 Credit Facility and the Company was in compliance with the financial covenants.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2019 Credit Facility was amended in December 2021 to address the LIBOR transition. The 2019 Credit Facility expires on December 12, 2024 at which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any outstanding borrowings are due. Verisign may from time to time request lenders to agree on a discretionary basis to increase the commitment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by up to an aggregate of $150.0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Stockholders’ Deficit</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114" w:lineRule="exact"/>
        <w:rPr>
          <w:sz w:val="20"/>
          <w:szCs w:val="20"/>
          <w:color w:val="auto"/>
        </w:rPr>
      </w:pPr>
    </w:p>
    <w:p>
      <w:pPr>
        <w:ind w:right="640" w:firstLine="399"/>
        <w:spacing w:after="0" w:line="276" w:lineRule="auto"/>
        <w:rPr>
          <w:sz w:val="20"/>
          <w:szCs w:val="20"/>
          <w:color w:val="auto"/>
        </w:rPr>
      </w:pPr>
      <w:r>
        <w:rPr>
          <w:rFonts w:ascii="Times New Roman" w:cs="Times New Roman" w:eastAsia="Times New Roman" w:hAnsi="Times New Roman"/>
          <w:sz w:val="18"/>
          <w:szCs w:val="18"/>
          <w:color w:val="auto"/>
        </w:rPr>
        <w:t>Treasury stock is accounted for under the cost method. Treasury stock includes shares repurchased under stock repurchase programs and shares withheld in lieu of the tax withholding due upon vesting of RSUs.</w:t>
      </w:r>
    </w:p>
    <w:p>
      <w:pPr>
        <w:spacing w:after="0" w:line="56" w:lineRule="exact"/>
        <w:rPr>
          <w:sz w:val="20"/>
          <w:szCs w:val="20"/>
          <w:color w:val="auto"/>
        </w:rPr>
      </w:pPr>
    </w:p>
    <w:p>
      <w:pPr>
        <w:ind w:firstLine="399"/>
        <w:spacing w:after="0" w:line="251" w:lineRule="auto"/>
        <w:rPr>
          <w:sz w:val="20"/>
          <w:szCs w:val="20"/>
          <w:color w:val="auto"/>
        </w:rPr>
      </w:pPr>
      <w:r>
        <w:rPr>
          <w:rFonts w:ascii="Times New Roman" w:cs="Times New Roman" w:eastAsia="Times New Roman" w:hAnsi="Times New Roman"/>
          <w:sz w:val="18"/>
          <w:szCs w:val="18"/>
          <w:color w:val="auto"/>
        </w:rPr>
        <w:t>Effective February 10, 2022, the Company’s Board of Directors (“Board”) authorized the repurchase of its common stock in the amount of approximately $705.4 million, in addition to the $294.6 million that remained available for repurchases under the share repurchase program. Effective October 27, 2022, our Board of Directors authorized the repurchase of our common stock in the amount of $803.0 million, in addition to the $197.0 million that remained available for repurchases under the share repurchase program, for a total repurchase authorization of up to $1.00 billion under the program. The program has no expiration date. Purchases made under the program could be effected through open market transactions, block purchases, accelerated share repurchase agreements or other negotiated transactions. As of December 31, 2022 there was approximately $858.8 million remaining available for repurchases under the program.</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summary of the Company’s common stock repurchases for 2022, 2021 and 2020 are as follows: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840" w:type="dxa"/>
            <w:vAlign w:val="bottom"/>
          </w:tcPr>
          <w:p>
            <w:pPr>
              <w:jc w:val="right"/>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3"/>
                <w:szCs w:val="13"/>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3"/>
                <w:szCs w:val="13"/>
                <w:color w:val="auto"/>
              </w:rPr>
            </w:pPr>
          </w:p>
        </w:tc>
        <w:tc>
          <w:tcPr>
            <w:tcW w:w="1080" w:type="dxa"/>
            <w:vAlign w:val="bottom"/>
            <w:gridSpan w:val="2"/>
          </w:tcPr>
          <w:p>
            <w:pPr>
              <w:jc w:val="center"/>
              <w:ind w:right="411"/>
              <w:spacing w:after="0" w:line="15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3"/>
                <w:szCs w:val="13"/>
                <w:color w:val="auto"/>
              </w:rPr>
            </w:pPr>
          </w:p>
        </w:tc>
        <w:tc>
          <w:tcPr>
            <w:tcW w:w="740" w:type="dxa"/>
            <w:vAlign w:val="bottom"/>
          </w:tcPr>
          <w:p>
            <w:pPr>
              <w:jc w:val="right"/>
              <w:ind w:right="118"/>
              <w:spacing w:after="0" w:line="15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2"/>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9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7"/>
        </w:trPr>
        <w:tc>
          <w:tcPr>
            <w:tcW w:w="4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60" w:type="dxa"/>
            <w:vAlign w:val="bottom"/>
            <w:gridSpan w:val="7"/>
          </w:tcPr>
          <w:p>
            <w:pPr>
              <w:jc w:val="center"/>
              <w:ind w:left="400"/>
              <w:spacing w:after="0"/>
              <w:rPr>
                <w:sz w:val="20"/>
                <w:szCs w:val="20"/>
                <w:color w:val="auto"/>
              </w:rPr>
            </w:pPr>
            <w:r>
              <w:rPr>
                <w:rFonts w:ascii="Times New Roman" w:cs="Times New Roman" w:eastAsia="Times New Roman" w:hAnsi="Times New Roman"/>
                <w:sz w:val="14"/>
                <w:szCs w:val="14"/>
                <w:b w:val="1"/>
                <w:bCs w:val="1"/>
                <w:color w:val="auto"/>
              </w:rPr>
              <w:t>(In millions, except average price amounts)</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repurchases under the repurchase plans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187.07</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215.16</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200.06</w:t>
            </w:r>
          </w:p>
        </w:tc>
        <w:tc>
          <w:tcPr>
            <w:tcW w:w="0" w:type="dxa"/>
            <w:vAlign w:val="bottom"/>
          </w:tcPr>
          <w:p>
            <w:pPr>
              <w:spacing w:after="0"/>
              <w:rPr>
                <w:sz w:val="1"/>
                <w:szCs w:val="1"/>
                <w:color w:val="auto"/>
              </w:rPr>
            </w:pPr>
          </w:p>
        </w:tc>
      </w:tr>
      <w:tr>
        <w:trPr>
          <w:trHeight w:val="226"/>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repurchases for tax withholdings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tcPr>
          <w:p>
            <w:pPr>
              <w:jc w:val="right"/>
              <w:ind w:right="100"/>
              <w:spacing w:after="0"/>
              <w:rPr>
                <w:sz w:val="20"/>
                <w:szCs w:val="20"/>
                <w:color w:val="auto"/>
              </w:rPr>
            </w:pPr>
            <w:r>
              <w:rPr>
                <w:rFonts w:ascii="Times New Roman" w:cs="Times New Roman" w:eastAsia="Times New Roman" w:hAnsi="Times New Roman"/>
                <w:sz w:val="18"/>
                <w:szCs w:val="18"/>
                <w:color w:val="auto"/>
              </w:rPr>
              <w:t>202.21</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tcPr>
          <w:p>
            <w:pPr>
              <w:jc w:val="right"/>
              <w:ind w:right="98"/>
              <w:spacing w:after="0"/>
              <w:rPr>
                <w:sz w:val="20"/>
                <w:szCs w:val="20"/>
                <w:color w:val="auto"/>
              </w:rPr>
            </w:pPr>
            <w:r>
              <w:rPr>
                <w:rFonts w:ascii="Times New Roman" w:cs="Times New Roman" w:eastAsia="Times New Roman" w:hAnsi="Times New Roman"/>
                <w:sz w:val="18"/>
                <w:szCs w:val="18"/>
                <w:color w:val="auto"/>
              </w:rPr>
              <w:t>209.40</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208.92</w:t>
            </w:r>
          </w:p>
        </w:tc>
        <w:tc>
          <w:tcPr>
            <w:tcW w:w="0" w:type="dxa"/>
            <w:vAlign w:val="bottom"/>
          </w:tcPr>
          <w:p>
            <w:pPr>
              <w:spacing w:after="0"/>
              <w:rPr>
                <w:sz w:val="1"/>
                <w:szCs w:val="1"/>
                <w:color w:val="auto"/>
              </w:rPr>
            </w:pPr>
          </w:p>
        </w:tc>
      </w:tr>
      <w:tr>
        <w:trPr>
          <w:trHeight w:val="245"/>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repurchases</w:t>
            </w: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187.28</w:t>
            </w: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214.97</w:t>
            </w: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200.48</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720" w:type="dxa"/>
            <w:vAlign w:val="bottom"/>
          </w:tcPr>
          <w:p>
            <w:pPr>
              <w:ind w:left="20"/>
              <w:spacing w:after="0" w:line="200" w:lineRule="exact"/>
              <w:rPr>
                <w:sz w:val="20"/>
                <w:szCs w:val="20"/>
                <w:color w:val="auto"/>
              </w:rPr>
            </w:pPr>
            <w:r>
              <w:rPr>
                <w:rFonts w:ascii="Times New Roman" w:cs="Times New Roman" w:eastAsia="Times New Roman" w:hAnsi="Times New Roman"/>
                <w:sz w:val="18"/>
                <w:szCs w:val="18"/>
                <w:color w:val="auto"/>
              </w:rPr>
              <w:t>Total costs</w:t>
            </w:r>
          </w:p>
        </w:tc>
        <w:tc>
          <w:tcPr>
            <w:tcW w:w="220" w:type="dxa"/>
            <w:vAlign w:val="bottom"/>
            <w:tcBorders>
              <w:top w:val="single" w:sz="8" w:color="auto"/>
              <w:bottom w:val="single" w:sz="8" w:color="auto"/>
            </w:tcBorders>
          </w:tcPr>
          <w:p>
            <w:pPr>
              <w:jc w:val="right"/>
              <w:ind w:right="3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1,048.1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722.6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777.5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right="100" w:firstLine="399"/>
        <w:spacing w:after="0" w:line="276" w:lineRule="auto"/>
        <w:rPr>
          <w:sz w:val="20"/>
          <w:szCs w:val="20"/>
          <w:color w:val="auto"/>
        </w:rPr>
      </w:pPr>
      <w:r>
        <w:rPr>
          <w:rFonts w:ascii="Times New Roman" w:cs="Times New Roman" w:eastAsia="Times New Roman" w:hAnsi="Times New Roman"/>
          <w:sz w:val="18"/>
          <w:szCs w:val="18"/>
          <w:color w:val="auto"/>
        </w:rPr>
        <w:t>Since inception, the Company has repurchased 249.3 million shares of its common stock for an aggregate cost of $12.75 billion, which is recorded as a reduction of Additional paid-in capital.</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114" w:lineRule="exact"/>
        <w:rPr>
          <w:sz w:val="20"/>
          <w:szCs w:val="20"/>
          <w:color w:val="auto"/>
        </w:rPr>
      </w:pPr>
    </w:p>
    <w:p>
      <w:pPr>
        <w:ind w:right="140" w:firstLine="439"/>
        <w:spacing w:after="0" w:line="276" w:lineRule="auto"/>
        <w:rPr>
          <w:sz w:val="20"/>
          <w:szCs w:val="20"/>
          <w:color w:val="auto"/>
        </w:rPr>
      </w:pPr>
      <w:r>
        <w:rPr>
          <w:rFonts w:ascii="Times New Roman" w:cs="Times New Roman" w:eastAsia="Times New Roman" w:hAnsi="Times New Roman"/>
          <w:sz w:val="18"/>
          <w:szCs w:val="18"/>
          <w:color w:val="auto"/>
        </w:rPr>
        <w:t>The Accumulated other comprehensive loss balances as of December 31, 2022 and 2021 primarily consists of foreign currency translation adjustment losses. There were no significant changes to accumulated other comprehensive loss balances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Calculation of Earnings per Share</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computation of weighted-average shares used in the calculation of basic and diluted earnings per share:</w:t>
      </w:r>
    </w:p>
    <w:p>
      <w:pPr>
        <w:spacing w:after="0" w:line="133"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52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3"/>
        </w:trPr>
        <w:tc>
          <w:tcPr>
            <w:tcW w:w="6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00" w:type="dxa"/>
            <w:vAlign w:val="bottom"/>
          </w:tcPr>
          <w:p>
            <w:pPr>
              <w:spacing w:after="0"/>
              <w:rPr>
                <w:sz w:val="16"/>
                <w:szCs w:val="16"/>
                <w:color w:val="auto"/>
              </w:rPr>
            </w:pPr>
          </w:p>
        </w:tc>
      </w:tr>
      <w:tr>
        <w:trPr>
          <w:trHeight w:val="233"/>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r>
      <w:tr>
        <w:trPr>
          <w:trHeight w:val="226"/>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potential shares of common stock outstanding:</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6"/>
        </w:trPr>
        <w:tc>
          <w:tcPr>
            <w:tcW w:w="7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Unvested RSUs and ESPP</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diluted earnings per share</w:t>
            </w:r>
          </w:p>
        </w:tc>
        <w:tc>
          <w:tcPr>
            <w:tcW w:w="9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r>
      <w:tr>
        <w:trPr>
          <w:trHeight w:val="20"/>
        </w:trPr>
        <w:tc>
          <w:tcPr>
            <w:tcW w:w="6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right="420" w:firstLine="399"/>
        <w:spacing w:after="0" w:line="306" w:lineRule="auto"/>
        <w:rPr>
          <w:sz w:val="20"/>
          <w:szCs w:val="20"/>
          <w:color w:val="auto"/>
        </w:rPr>
      </w:pPr>
      <w:r>
        <w:rPr>
          <w:rFonts w:ascii="Times New Roman" w:cs="Times New Roman" w:eastAsia="Times New Roman" w:hAnsi="Times New Roman"/>
          <w:sz w:val="17"/>
          <w:szCs w:val="17"/>
          <w:color w:val="auto"/>
        </w:rPr>
        <w:t>The calculation of diluted weighted average shares outstanding excludes performance-based RSUs granted by the Company for which the relevant performance criteria have not been achieved. The number of potential shares excluded from the calculation was not significant in any period presented.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Revenues</w:t>
      </w:r>
    </w:p>
    <w:p>
      <w:pPr>
        <w:spacing w:after="0" w:line="88" w:lineRule="exact"/>
        <w:rPr>
          <w:sz w:val="20"/>
          <w:szCs w:val="20"/>
          <w:color w:val="auto"/>
        </w:rPr>
      </w:pPr>
    </w:p>
    <w:p>
      <w:pPr>
        <w:ind w:right="300" w:firstLine="439"/>
        <w:spacing w:after="0" w:line="261" w:lineRule="auto"/>
        <w:rPr>
          <w:sz w:val="20"/>
          <w:szCs w:val="20"/>
          <w:color w:val="auto"/>
        </w:rPr>
      </w:pPr>
      <w:r>
        <w:rPr>
          <w:rFonts w:ascii="Times New Roman" w:cs="Times New Roman" w:eastAsia="Times New Roman" w:hAnsi="Times New Roman"/>
          <w:sz w:val="18"/>
          <w:szCs w:val="18"/>
          <w:color w:val="auto"/>
        </w:rPr>
        <w:t>The Company generates revenues in the U.S.; Europe, the Middle East and Africa (“EMEA”); China; and certain other countries, including, but not limited to Canada, Japan and Singapore. The following table presents our revenues disaggregated by geography, based on the billing addresses of our customers: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6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3"/>
        </w:trPr>
        <w:tc>
          <w:tcPr>
            <w:tcW w:w="6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3"/>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34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w:t>
            </w:r>
          </w:p>
        </w:tc>
      </w:tr>
      <w:tr>
        <w:trPr>
          <w:trHeight w:val="22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r>
      <w:tr>
        <w:trPr>
          <w:trHeight w:val="22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26"/>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w:t>
            </w:r>
          </w:p>
        </w:tc>
      </w:tr>
      <w:tr>
        <w:trPr>
          <w:trHeight w:val="245"/>
        </w:trPr>
        <w:tc>
          <w:tcPr>
            <w:tcW w:w="6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ind w:right="40" w:firstLine="439"/>
        <w:spacing w:after="0" w:line="256" w:lineRule="auto"/>
        <w:rPr>
          <w:sz w:val="20"/>
          <w:szCs w:val="20"/>
          <w:color w:val="auto"/>
        </w:rPr>
      </w:pPr>
      <w:r>
        <w:rPr>
          <w:rFonts w:ascii="Times New Roman" w:cs="Times New Roman" w:eastAsia="Times New Roman" w:hAnsi="Times New Roman"/>
          <w:sz w:val="18"/>
          <w:szCs w:val="18"/>
          <w:color w:val="auto"/>
        </w:rPr>
        <w:t>Revenues in the table above are attributed to the country of domicile and the respective regions in which registrars are located; however, this may differ from the regions where the registrars operate or where registrants are located. Revenues for each region may be impacted by registrars reincorporating, relocating, or from acquisitions or changes in affiliations of resellers. Revenues for each region may also be impacted by registrars domiciled in one region, registering domain names in another region.</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Major Customers</w:t>
      </w:r>
    </w:p>
    <w:p>
      <w:pPr>
        <w:spacing w:after="0" w:line="114" w:lineRule="exact"/>
        <w:rPr>
          <w:sz w:val="20"/>
          <w:szCs w:val="20"/>
          <w:color w:val="auto"/>
        </w:rPr>
      </w:pPr>
    </w:p>
    <w:p>
      <w:pPr>
        <w:ind w:firstLine="439"/>
        <w:spacing w:after="0" w:line="261" w:lineRule="auto"/>
        <w:rPr>
          <w:sz w:val="20"/>
          <w:szCs w:val="20"/>
          <w:color w:val="auto"/>
        </w:rPr>
      </w:pPr>
      <w:r>
        <w:rPr>
          <w:rFonts w:ascii="Times New Roman" w:cs="Times New Roman" w:eastAsia="Times New Roman" w:hAnsi="Times New Roman"/>
          <w:sz w:val="18"/>
          <w:szCs w:val="18"/>
          <w:color w:val="auto"/>
        </w:rPr>
        <w:t>Our largest customer accounted for approximately 32%, 33%, and 34% of revenues in 2022, 2021, and 2020, respectively. The Company does not believe that the loss of this customer would have a material adverse effect on the Company’s business because, in that event, end-users of this customer would transfer to the Company’s other existing customers.</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Deferred Revenues</w:t>
      </w:r>
    </w:p>
    <w:p>
      <w:pPr>
        <w:spacing w:after="0" w:line="114" w:lineRule="exact"/>
        <w:rPr>
          <w:sz w:val="20"/>
          <w:szCs w:val="20"/>
          <w:color w:val="auto"/>
        </w:rPr>
      </w:pPr>
    </w:p>
    <w:p>
      <w:pPr>
        <w:ind w:right="60" w:firstLine="399"/>
        <w:spacing w:after="0" w:line="250" w:lineRule="auto"/>
        <w:rPr>
          <w:sz w:val="20"/>
          <w:szCs w:val="20"/>
          <w:color w:val="auto"/>
        </w:rPr>
      </w:pPr>
      <w:r>
        <w:rPr>
          <w:rFonts w:ascii="Times New Roman" w:cs="Times New Roman" w:eastAsia="Times New Roman" w:hAnsi="Times New Roman"/>
          <w:sz w:val="18"/>
          <w:szCs w:val="18"/>
          <w:color w:val="auto"/>
        </w:rPr>
        <w:t>As payment for domain name registrations and renewals are due in advance of our performance, we record these amounts as deferred revenues. The increase in the deferred revenues balance in 2022 is primarily driven by amounts billed in 2022 for domain name registrations and renewals to be recognized as revenues in future periods, offset by refunds for domain name renewals deleted during the 45-day grace period, and $818.4 million of revenues recognized that were included in the deferred revenues balance at December 31, 2021. The balance of deferred revenues as of December 31, 2022 represents our aggregate remaining performance obligations. Amounts included in current deferred revenues are all expected to be recognized in revenues within 12 months, except for a portion of deferred revenues that relates to domain name renewals that are deleted in the 45-day grace period following the transaction. The long-term deferred revenues amounts will be recognized in revenues over several years and in some cases up to ten years. The Company transitioned the operation of the .</w:t>
      </w:r>
      <w:r>
        <w:rPr>
          <w:rFonts w:ascii="Times New Roman" w:cs="Times New Roman" w:eastAsia="Times New Roman" w:hAnsi="Times New Roman"/>
          <w:sz w:val="18"/>
          <w:szCs w:val="18"/>
          <w:i w:val="1"/>
          <w:iCs w:val="1"/>
          <w:color w:val="auto"/>
        </w:rPr>
        <w:t>tv</w:t>
      </w:r>
      <w:r>
        <w:rPr>
          <w:rFonts w:ascii="Times New Roman" w:cs="Times New Roman" w:eastAsia="Times New Roman" w:hAnsi="Times New Roman"/>
          <w:sz w:val="18"/>
          <w:szCs w:val="18"/>
          <w:color w:val="auto"/>
        </w:rPr>
        <w:t xml:space="preserve"> registry to a new operator in November 2022. Upon completion of the transition, the Company had no remaining performance obligations related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w:t>
      </w:r>
      <w:r>
        <w:rPr>
          <w:rFonts w:ascii="Times New Roman" w:cs="Times New Roman" w:eastAsia="Times New Roman" w:hAnsi="Times New Roman"/>
          <w:sz w:val="18"/>
          <w:szCs w:val="18"/>
          <w:i w:val="1"/>
          <w:iCs w:val="1"/>
          <w:color w:val="auto"/>
        </w:rPr>
        <w:t>tv</w:t>
      </w:r>
      <w:r>
        <w:rPr>
          <w:rFonts w:ascii="Times New Roman" w:cs="Times New Roman" w:eastAsia="Times New Roman" w:hAnsi="Times New Roman"/>
          <w:sz w:val="18"/>
          <w:szCs w:val="18"/>
          <w:color w:val="auto"/>
        </w:rPr>
        <w:t xml:space="preserve"> ccTLD. As a result, the Company recognized the remaining $8.4 million of deferred revenues in the fourth quarter of 2022.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Employee Benefits and Stock-based Compensation</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114" w:lineRule="exact"/>
        <w:rPr>
          <w:sz w:val="20"/>
          <w:szCs w:val="20"/>
          <w:color w:val="auto"/>
        </w:rPr>
      </w:pPr>
    </w:p>
    <w:p>
      <w:pPr>
        <w:ind w:firstLine="439"/>
        <w:spacing w:after="0" w:line="256" w:lineRule="auto"/>
        <w:rPr>
          <w:sz w:val="20"/>
          <w:szCs w:val="20"/>
          <w:color w:val="auto"/>
        </w:rPr>
      </w:pPr>
      <w:r>
        <w:rPr>
          <w:rFonts w:ascii="Times New Roman" w:cs="Times New Roman" w:eastAsia="Times New Roman" w:hAnsi="Times New Roman"/>
          <w:sz w:val="18"/>
          <w:szCs w:val="18"/>
          <w:color w:val="auto"/>
        </w:rPr>
        <w:t>The Company maintains a defined contribution 401(k) plan (the “401(k) Plan”) for substantially all of its U.S. employees. Under the 401(k) Plan, eligible employees may contribute up to 50% of their pre-tax salary, subject to the Internal Revenue Service (“IRS”) annual contribution limits. The Company matches 50% of up to the first 8% of the employee’s annual salary contributed to the plan. The Company contributed $5.5 million in 2022, $5.2 million in 2021, and $5.0 million in 2020 under the 401(k) Plan. The Company can terminate matching contributions at its discretion at any time.</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Equity Incentive Plan</w:t>
      </w:r>
    </w:p>
    <w:p>
      <w:pPr>
        <w:spacing w:after="0" w:line="114" w:lineRule="exact"/>
        <w:rPr>
          <w:sz w:val="20"/>
          <w:szCs w:val="20"/>
          <w:color w:val="auto"/>
        </w:rPr>
      </w:pPr>
    </w:p>
    <w:p>
      <w:pPr>
        <w:ind w:right="140" w:firstLine="439"/>
        <w:spacing w:after="0" w:line="250" w:lineRule="auto"/>
        <w:rPr>
          <w:sz w:val="20"/>
          <w:szCs w:val="20"/>
          <w:color w:val="auto"/>
        </w:rPr>
      </w:pPr>
      <w:r>
        <w:rPr>
          <w:rFonts w:ascii="Times New Roman" w:cs="Times New Roman" w:eastAsia="Times New Roman" w:hAnsi="Times New Roman"/>
          <w:sz w:val="18"/>
          <w:szCs w:val="18"/>
          <w:color w:val="auto"/>
        </w:rPr>
        <w:t>The majority of Verisign’s stock-based compensation relates to RSUs granted under the 2006 Equity Incentive Plan (the “2006 Plan”). As of December 31, 2022, a total of 7.8 million shares of common stock remain reserved for issuance upon the vesting of RSUs and for the future grant of equity awards. The 2006 Plan authorizes the award of incentive stock options to employees and non-qualified stock options, restricted stock awards, RSUs, stock bonus awards, stock appreciation rights and performance shares to eligible employees, officers, directors, consultants, independent contractors and advisers. The 2006 Plan is administered by the Compensation Committee which may delegate to a committee of one or more members of the Board or Verisign’s officers the ability to grant certain awards and take certain other actions with respect to participants who are not executive officers or non-employee directors. RSUs are awards covering a specified number of shares of Verisign common stock that may be settled by issuance of those shares (which may be restricted shares). RSUs generally vest over four years. Certain RSUs with performance and market conditions (“PSUs”), granted to the Company’s executives, generally vest over a three year term. Additionally, the Company has granted fully vested RSUs to members of its Board in each of the last three years. The Compensation Committee may authorize grants with a different vesting schedule in the future.</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2007 Employee Stock Purchase Plan</w:t>
      </w:r>
    </w:p>
    <w:p>
      <w:pPr>
        <w:spacing w:after="0" w:line="114" w:lineRule="exact"/>
        <w:rPr>
          <w:sz w:val="20"/>
          <w:szCs w:val="20"/>
          <w:color w:val="auto"/>
        </w:rPr>
      </w:pPr>
    </w:p>
    <w:p>
      <w:pPr>
        <w:ind w:firstLine="439"/>
        <w:spacing w:after="0" w:line="252" w:lineRule="auto"/>
        <w:rPr>
          <w:sz w:val="20"/>
          <w:szCs w:val="20"/>
          <w:color w:val="auto"/>
        </w:rPr>
      </w:pPr>
      <w:r>
        <w:rPr>
          <w:rFonts w:ascii="Times New Roman" w:cs="Times New Roman" w:eastAsia="Times New Roman" w:hAnsi="Times New Roman"/>
          <w:sz w:val="18"/>
          <w:szCs w:val="18"/>
          <w:color w:val="auto"/>
        </w:rPr>
        <w:t>Eligible employees of the Company may purchase common stock under the 2007 Employee Stock Purchase Plan through payroll deductions by electing to have between 2% and 25% of their compensation withheld to cover the purchase price. Each participant is granted an option to purchase common stock. This option is automatically exercised on the last day of each six-month purchase period during the offering period. The purchase price for the common stock under the ESPP is 85% of the lesser of the fair market value of the common stock on the first day of the applicable offering period or the last day of the applicable purchase period. Offering periods begin on the first business day of February and August of each year. As of December 31, 2022, 2.9 million shares of the Company’s common stock remain reserved for future issuance under this plan.</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Stock-based compensation is classified in the Consolidated Statements of Comprehensive Income in the same expense line items as cash compensation.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classification of stock-based compensation: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80" w:type="dxa"/>
            <w:vAlign w:val="bottom"/>
          </w:tcPr>
          <w:p>
            <w:pPr>
              <w:spacing w:after="0"/>
              <w:rPr>
                <w:sz w:val="2"/>
                <w:szCs w:val="2"/>
                <w:color w:val="auto"/>
              </w:rPr>
            </w:pPr>
          </w:p>
        </w:tc>
        <w:tc>
          <w:tcPr>
            <w:tcW w:w="27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7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4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Capitalization (included in Property and equipment, net)</w:t>
            </w:r>
          </w:p>
        </w:tc>
        <w:tc>
          <w:tcPr>
            <w:tcW w:w="17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740" w:type="dxa"/>
            <w:vAlign w:val="bottom"/>
          </w:tcPr>
          <w:p>
            <w:pPr>
              <w:spacing w:after="0"/>
              <w:rPr>
                <w:sz w:val="19"/>
                <w:szCs w:val="19"/>
                <w:color w:val="auto"/>
              </w:rPr>
            </w:pPr>
          </w:p>
        </w:tc>
        <w:tc>
          <w:tcPr>
            <w:tcW w:w="100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740" w:type="dxa"/>
            <w:vAlign w:val="bottom"/>
            <w:vMerge w:val="restart"/>
          </w:tcPr>
          <w:p>
            <w:pPr>
              <w:jc w:val="right"/>
              <w:ind w:right="711"/>
              <w:spacing w:after="0"/>
              <w:rPr>
                <w:sz w:val="20"/>
                <w:szCs w:val="20"/>
                <w:color w:val="auto"/>
              </w:rPr>
            </w:pPr>
            <w:r>
              <w:rPr>
                <w:rFonts w:ascii="Times New Roman" w:cs="Times New Roman" w:eastAsia="Times New Roman" w:hAnsi="Times New Roman"/>
                <w:sz w:val="18"/>
                <w:szCs w:val="18"/>
                <w:color w:val="auto"/>
              </w:rPr>
              <w:t>47</w:t>
            </w: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3"/>
        </w:trPr>
        <w:tc>
          <w:tcPr>
            <w:tcW w:w="478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7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200" w:lineRule="exact"/>
        <w:rPr>
          <w:sz w:val="20"/>
          <w:szCs w:val="20"/>
          <w:color w:val="auto"/>
        </w:rPr>
      </w:pPr>
    </w:p>
    <w:p>
      <w:pPr>
        <w:spacing w:after="0" w:line="2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nature of the Company’s total stock-based compensation: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
        </w:trPr>
        <w:tc>
          <w:tcPr>
            <w:tcW w:w="65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520" w:type="dxa"/>
            <w:vAlign w:val="bottom"/>
          </w:tcPr>
          <w:p>
            <w:pPr>
              <w:spacing w:after="0"/>
              <w:rPr>
                <w:sz w:val="16"/>
                <w:szCs w:val="16"/>
                <w:color w:val="auto"/>
              </w:rPr>
            </w:pPr>
          </w:p>
        </w:tc>
        <w:tc>
          <w:tcPr>
            <w:tcW w:w="10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3"/>
        </w:trPr>
        <w:tc>
          <w:tcPr>
            <w:tcW w:w="6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0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34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2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0"/>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00" w:type="dxa"/>
            <w:vAlign w:val="bottom"/>
            <w:tcBorders>
              <w:bottom w:val="single" w:sz="8" w:color="auto"/>
            </w:tcBorders>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0"/>
        </w:trPr>
        <w:tc>
          <w:tcPr>
            <w:tcW w:w="6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140" w:firstLine="399"/>
        <w:spacing w:after="0" w:line="276" w:lineRule="auto"/>
        <w:rPr>
          <w:sz w:val="20"/>
          <w:szCs w:val="20"/>
          <w:color w:val="auto"/>
        </w:rPr>
      </w:pPr>
      <w:r>
        <w:rPr>
          <w:rFonts w:ascii="Times New Roman" w:cs="Times New Roman" w:eastAsia="Times New Roman" w:hAnsi="Times New Roman"/>
          <w:sz w:val="18"/>
          <w:szCs w:val="18"/>
          <w:color w:val="auto"/>
        </w:rPr>
        <w:t>The income tax benefit that was included within Income tax (expense) benefit related to these stock-based compensation expenses for 2022, 2021, and 2020 was $13.8 million, $12.4 million, and $11.0 million, respectively.</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RSUs Information</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unvested RSUs activity for the year ended December 31, 2022:</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6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3"/>
                <w:szCs w:val="13"/>
                <w:color w:val="auto"/>
              </w:rPr>
            </w:pPr>
          </w:p>
        </w:tc>
        <w:tc>
          <w:tcPr>
            <w:tcW w:w="14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2"/>
        </w:trPr>
        <w:tc>
          <w:tcPr>
            <w:tcW w:w="796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9"/>
              </w:rPr>
              <w:t>Grant-Date Fair Value</w:t>
            </w:r>
          </w:p>
        </w:tc>
        <w:tc>
          <w:tcPr>
            <w:tcW w:w="0" w:type="dxa"/>
            <w:vAlign w:val="bottom"/>
          </w:tcPr>
          <w:p>
            <w:pPr>
              <w:spacing w:after="0"/>
              <w:rPr>
                <w:sz w:val="1"/>
                <w:szCs w:val="1"/>
                <w:color w:val="auto"/>
              </w:rPr>
            </w:pPr>
          </w:p>
        </w:tc>
      </w:tr>
      <w:tr>
        <w:trPr>
          <w:trHeight w:val="192"/>
        </w:trPr>
        <w:tc>
          <w:tcPr>
            <w:tcW w:w="7960" w:type="dxa"/>
            <w:vAlign w:val="bottom"/>
          </w:tcPr>
          <w:p>
            <w:pPr>
              <w:spacing w:after="0"/>
              <w:rPr>
                <w:sz w:val="16"/>
                <w:szCs w:val="16"/>
                <w:color w:val="auto"/>
              </w:rPr>
            </w:pPr>
          </w:p>
        </w:tc>
        <w:tc>
          <w:tcPr>
            <w:tcW w:w="3280" w:type="dxa"/>
            <w:vAlign w:val="bottom"/>
            <w:gridSpan w:val="3"/>
          </w:tcPr>
          <w:p>
            <w:pPr>
              <w:jc w:val="right"/>
              <w:ind w:right="957"/>
              <w:spacing w:after="0"/>
              <w:rPr>
                <w:sz w:val="20"/>
                <w:szCs w:val="20"/>
                <w:color w:val="auto"/>
              </w:rPr>
            </w:pPr>
            <w:r>
              <w:rPr>
                <w:rFonts w:ascii="Times New Roman" w:cs="Times New Roman" w:eastAsia="Times New Roman" w:hAnsi="Times New Roman"/>
                <w:sz w:val="14"/>
                <w:szCs w:val="14"/>
                <w:b w:val="1"/>
                <w:bCs w:val="1"/>
                <w:color w:val="auto"/>
              </w:rPr>
              <w:t>(Shares in millions)</w:t>
            </w:r>
          </w:p>
        </w:tc>
        <w:tc>
          <w:tcPr>
            <w:tcW w:w="0" w:type="dxa"/>
            <w:vAlign w:val="bottom"/>
          </w:tcPr>
          <w:p>
            <w:pPr>
              <w:spacing w:after="0"/>
              <w:rPr>
                <w:sz w:val="1"/>
                <w:szCs w:val="1"/>
                <w:color w:val="auto"/>
              </w:rPr>
            </w:pPr>
          </w:p>
        </w:tc>
      </w:tr>
      <w:tr>
        <w:trPr>
          <w:trHeight w:val="23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600" w:type="dxa"/>
            <w:vAlign w:val="bottom"/>
            <w:shd w:val="clear" w:color="auto" w:fill="CCEEFF"/>
          </w:tcPr>
          <w:p>
            <w:pPr>
              <w:jc w:val="center"/>
              <w:ind w:left="1137"/>
              <w:spacing w:after="0"/>
              <w:rPr>
                <w:sz w:val="20"/>
                <w:szCs w:val="20"/>
                <w:color w:val="auto"/>
              </w:rPr>
            </w:pPr>
            <w:r>
              <w:rPr>
                <w:rFonts w:ascii="Times New Roman" w:cs="Times New Roman" w:eastAsia="Times New Roman" w:hAnsi="Times New Roman"/>
                <w:sz w:val="18"/>
                <w:szCs w:val="18"/>
                <w:color w:val="auto"/>
                <w:w w:val="97"/>
              </w:rPr>
              <w:t>0.6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192.88</w:t>
            </w:r>
          </w:p>
        </w:tc>
        <w:tc>
          <w:tcPr>
            <w:tcW w:w="0" w:type="dxa"/>
            <w:vAlign w:val="bottom"/>
          </w:tcPr>
          <w:p>
            <w:pPr>
              <w:spacing w:after="0"/>
              <w:rPr>
                <w:sz w:val="1"/>
                <w:szCs w:val="1"/>
                <w:color w:val="auto"/>
              </w:rPr>
            </w:pPr>
          </w:p>
        </w:tc>
      </w:tr>
      <w:tr>
        <w:trPr>
          <w:trHeight w:val="22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center"/>
              <w:ind w:left="1137"/>
              <w:spacing w:after="0"/>
              <w:rPr>
                <w:sz w:val="20"/>
                <w:szCs w:val="20"/>
                <w:color w:val="auto"/>
              </w:rPr>
            </w:pPr>
            <w:r>
              <w:rPr>
                <w:rFonts w:ascii="Times New Roman" w:cs="Times New Roman" w:eastAsia="Times New Roman" w:hAnsi="Times New Roman"/>
                <w:sz w:val="18"/>
                <w:szCs w:val="18"/>
                <w:color w:val="auto"/>
                <w:w w:val="97"/>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210.94</w:t>
            </w: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settled</w:t>
            </w:r>
          </w:p>
        </w:tc>
        <w:tc>
          <w:tcPr>
            <w:tcW w:w="1600" w:type="dxa"/>
            <w:vAlign w:val="bottom"/>
            <w:tcBorders>
              <w:bottom w:val="single" w:sz="8" w:color="auto"/>
            </w:tcBorders>
            <w:shd w:val="clear" w:color="auto" w:fill="CCEEFF"/>
          </w:tcPr>
          <w:p>
            <w:pPr>
              <w:jc w:val="center"/>
              <w:ind w:left="1097"/>
              <w:spacing w:after="0"/>
              <w:rPr>
                <w:sz w:val="20"/>
                <w:szCs w:val="20"/>
                <w:color w:val="auto"/>
              </w:rPr>
            </w:pPr>
            <w:r>
              <w:rPr>
                <w:rFonts w:ascii="Times New Roman" w:cs="Times New Roman" w:eastAsia="Times New Roman" w:hAnsi="Times New Roman"/>
                <w:sz w:val="18"/>
                <w:szCs w:val="18"/>
                <w:color w:val="auto"/>
                <w:w w:val="98"/>
              </w:rPr>
              <w:t>(0.3)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184.74</w:t>
            </w:r>
          </w:p>
        </w:tc>
        <w:tc>
          <w:tcPr>
            <w:tcW w:w="0" w:type="dxa"/>
            <w:vAlign w:val="bottom"/>
          </w:tcPr>
          <w:p>
            <w:pPr>
              <w:spacing w:after="0"/>
              <w:rPr>
                <w:sz w:val="1"/>
                <w:szCs w:val="1"/>
                <w:color w:val="auto"/>
              </w:rPr>
            </w:pPr>
          </w:p>
        </w:tc>
      </w:tr>
      <w:tr>
        <w:trPr>
          <w:trHeight w:val="220"/>
        </w:trPr>
        <w:tc>
          <w:tcPr>
            <w:tcW w:w="7960" w:type="dxa"/>
            <w:vAlign w:val="bottom"/>
          </w:tcPr>
          <w:p>
            <w:pPr>
              <w:spacing w:after="0"/>
              <w:rPr>
                <w:sz w:val="19"/>
                <w:szCs w:val="19"/>
                <w:color w:val="auto"/>
              </w:rPr>
            </w:pPr>
          </w:p>
        </w:tc>
        <w:tc>
          <w:tcPr>
            <w:tcW w:w="1600" w:type="dxa"/>
            <w:vAlign w:val="bottom"/>
            <w:tcBorders>
              <w:bottom w:val="single" w:sz="8" w:color="auto"/>
            </w:tcBorders>
          </w:tcPr>
          <w:p>
            <w:pPr>
              <w:jc w:val="center"/>
              <w:ind w:left="1137"/>
              <w:spacing w:after="0"/>
              <w:rPr>
                <w:sz w:val="20"/>
                <w:szCs w:val="20"/>
                <w:color w:val="auto"/>
              </w:rPr>
            </w:pPr>
            <w:r>
              <w:rPr>
                <w:rFonts w:ascii="Times New Roman" w:cs="Times New Roman" w:eastAsia="Times New Roman" w:hAnsi="Times New Roman"/>
                <w:sz w:val="18"/>
                <w:szCs w:val="18"/>
                <w:color w:val="auto"/>
                <w:w w:val="97"/>
              </w:rPr>
              <w:t>0.6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206.32</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280" w:firstLine="479"/>
        <w:spacing w:after="0" w:line="261" w:lineRule="auto"/>
        <w:rPr>
          <w:sz w:val="20"/>
          <w:szCs w:val="20"/>
          <w:color w:val="auto"/>
        </w:rPr>
      </w:pPr>
      <w:r>
        <w:rPr>
          <w:rFonts w:ascii="Times New Roman" w:cs="Times New Roman" w:eastAsia="Times New Roman" w:hAnsi="Times New Roman"/>
          <w:sz w:val="18"/>
          <w:szCs w:val="18"/>
          <w:color w:val="auto"/>
        </w:rPr>
        <w:t>The RSUs in the table above include PSUs. The unvested RSUs as of December 31, 2022 include 0.2 million PSUs. The number of shares received upon vesting of these PSUs may range from less than 0.1 million to 0.4 million depending on the level of performance achieved and whether any market conditions are satisfied.</w:t>
      </w:r>
    </w:p>
    <w:p>
      <w:pPr>
        <w:spacing w:after="0" w:line="70" w:lineRule="exact"/>
        <w:rPr>
          <w:sz w:val="20"/>
          <w:szCs w:val="20"/>
          <w:color w:val="auto"/>
        </w:rPr>
      </w:pPr>
    </w:p>
    <w:p>
      <w:pPr>
        <w:ind w:right="20" w:firstLine="439"/>
        <w:spacing w:after="0" w:line="254" w:lineRule="auto"/>
        <w:rPr>
          <w:sz w:val="20"/>
          <w:szCs w:val="20"/>
          <w:color w:val="auto"/>
        </w:rPr>
      </w:pPr>
      <w:r>
        <w:rPr>
          <w:rFonts w:ascii="Times New Roman" w:cs="Times New Roman" w:eastAsia="Times New Roman" w:hAnsi="Times New Roman"/>
          <w:sz w:val="18"/>
          <w:szCs w:val="18"/>
          <w:color w:val="auto"/>
        </w:rPr>
        <w:t>The closing price of Verisign’s stock was $205.44 on December 31, 2022. As of December 31, 2022, the aggregate market value of unvested RSUs was $129.0 million. The fair values of RSUs that vested during 2022, 2021, and 2020 were $51.4 million, $70.3 million, and $115.0 million, respectively. The weighted-average grant-date fair value of RSUs granted during the years ended December 31, 2021 and 2020, was $200.64 and $205.61, respectively. As of December 31, 2022, total unrecognized compensation cost related to unvested RSUs was $91.4 million which is expected to be recognized over a weighted-average period of 2.4 years.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Non-operating Income (Loss), Net</w:t>
      </w:r>
    </w:p>
    <w:p>
      <w:pPr>
        <w:spacing w:after="0" w:line="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components of Non-operating income (loss), net:</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
        </w:trPr>
        <w:tc>
          <w:tcPr>
            <w:tcW w:w="65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6520" w:type="dxa"/>
            <w:vAlign w:val="bottom"/>
          </w:tcPr>
          <w:p>
            <w:pPr>
              <w:spacing w:after="0"/>
              <w:rPr>
                <w:sz w:val="16"/>
                <w:szCs w:val="16"/>
                <w:color w:val="auto"/>
              </w:rPr>
            </w:pPr>
          </w:p>
        </w:tc>
        <w:tc>
          <w:tcPr>
            <w:tcW w:w="10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3"/>
        </w:trPr>
        <w:tc>
          <w:tcPr>
            <w:tcW w:w="6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4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Transition services income</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non-operating income (loss), net</w:t>
            </w:r>
          </w:p>
        </w:tc>
        <w:tc>
          <w:tcPr>
            <w:tcW w:w="1000" w:type="dxa"/>
            <w:vAlign w:val="bottom"/>
            <w:tcBorders>
              <w:bottom w:val="single" w:sz="8" w:color="auto"/>
            </w:tcBorders>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0"/>
        </w:trPr>
        <w:tc>
          <w:tcPr>
            <w:tcW w:w="6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right="120" w:firstLine="399"/>
        <w:spacing w:after="0" w:line="256" w:lineRule="auto"/>
        <w:rPr>
          <w:sz w:val="20"/>
          <w:szCs w:val="20"/>
          <w:color w:val="auto"/>
        </w:rPr>
      </w:pPr>
      <w:r>
        <w:rPr>
          <w:rFonts w:ascii="Times New Roman" w:cs="Times New Roman" w:eastAsia="Times New Roman" w:hAnsi="Times New Roman"/>
          <w:sz w:val="18"/>
          <w:szCs w:val="18"/>
          <w:color w:val="auto"/>
        </w:rPr>
        <w:t>Interest income is earned principally from the Company’s surplus cash balances and marketable securities. The increase in interest income in 2022 reflects higher interest rates on our investments in debt securities. The redemption of the 2023 senior notes in 2021 resulted in a loss on debt extinguishment of $2.1 million related to the unamortized debt issuance costs on the notes. Gain on sale of business and transition services income in 2020 relates to the sale of the Company’s security services customer contracts. Other, net in 2022 includes primarily foreign currency related losses.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Income before income taxes is categorized geographically as follows: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3"/>
        </w:trPr>
        <w:tc>
          <w:tcPr>
            <w:tcW w:w="6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34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0" w:type="dxa"/>
            <w:vAlign w:val="bottom"/>
          </w:tcPr>
          <w:p>
            <w:pPr>
              <w:spacing w:after="0"/>
              <w:rPr>
                <w:sz w:val="1"/>
                <w:szCs w:val="1"/>
                <w:color w:val="auto"/>
              </w:rPr>
            </w:pPr>
          </w:p>
        </w:tc>
      </w:tr>
      <w:tr>
        <w:trPr>
          <w:trHeight w:val="226"/>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0" w:type="dxa"/>
            <w:vAlign w:val="bottom"/>
          </w:tcPr>
          <w:p>
            <w:pPr>
              <w:spacing w:after="0"/>
              <w:rPr>
                <w:sz w:val="1"/>
                <w:szCs w:val="1"/>
                <w:color w:val="auto"/>
              </w:rPr>
            </w:pPr>
          </w:p>
        </w:tc>
      </w:tr>
      <w:tr>
        <w:trPr>
          <w:trHeight w:val="245"/>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6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3"/>
        </w:trPr>
        <w:tc>
          <w:tcPr>
            <w:tcW w:w="6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expense (benefit):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34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26"/>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6"/>
        </w:trPr>
        <w:tc>
          <w:tcPr>
            <w:tcW w:w="6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 including withholding tax</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0"/>
        </w:trPr>
        <w:tc>
          <w:tcPr>
            <w:tcW w:w="65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06"/>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expense (benefit):</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6"/>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6"/>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0"/>
        </w:trPr>
        <w:tc>
          <w:tcPr>
            <w:tcW w:w="65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45"/>
        </w:trPr>
        <w:tc>
          <w:tcPr>
            <w:tcW w:w="6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right="20" w:firstLine="399"/>
        <w:spacing w:after="0" w:line="276" w:lineRule="auto"/>
        <w:rPr>
          <w:sz w:val="20"/>
          <w:szCs w:val="20"/>
          <w:color w:val="auto"/>
        </w:rPr>
      </w:pPr>
      <w:r>
        <w:rPr>
          <w:rFonts w:ascii="Times New Roman" w:cs="Times New Roman" w:eastAsia="Times New Roman" w:hAnsi="Times New Roman"/>
          <w:sz w:val="18"/>
          <w:szCs w:val="18"/>
          <w:color w:val="auto"/>
        </w:rPr>
        <w:t>The difference between income tax expense (benefit) and the amount resulting from applying the federal statutory rate of 21% to Income before income taxes is attributable to the following:</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
        </w:trPr>
        <w:tc>
          <w:tcPr>
            <w:tcW w:w="65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65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3"/>
        </w:trPr>
        <w:tc>
          <w:tcPr>
            <w:tcW w:w="6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federal statutory rate</w:t>
            </w:r>
          </w:p>
        </w:tc>
        <w:tc>
          <w:tcPr>
            <w:tcW w:w="96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34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r>
      <w:tr>
        <w:trPr>
          <w:trHeight w:val="22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non-U.S. operations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2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Remeasurement of unrecognized tax benefits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r>
      <w:tr>
        <w:trPr>
          <w:trHeight w:val="22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Intercompany non-U.S. intellectual property transfer</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96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0"/>
        </w:trPr>
        <w:tc>
          <w:tcPr>
            <w:tcW w:w="6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140" w:firstLine="399"/>
        <w:spacing w:after="0" w:line="252" w:lineRule="auto"/>
        <w:rPr>
          <w:sz w:val="20"/>
          <w:szCs w:val="20"/>
          <w:color w:val="auto"/>
        </w:rPr>
      </w:pPr>
      <w:r>
        <w:rPr>
          <w:rFonts w:ascii="Times New Roman" w:cs="Times New Roman" w:eastAsia="Times New Roman" w:hAnsi="Times New Roman"/>
          <w:sz w:val="18"/>
          <w:szCs w:val="18"/>
          <w:color w:val="auto"/>
        </w:rPr>
        <w:t>During the fourth quarter of 2021, as part of a legal entity reorganization, the Company completed an internal transfer of certain of its non-U.S. intellectual property which had no book value. This transfer created amortizable tax basis for the receiving entity based on the $1.20 billion fair value of the intellectual property, which resulted in the recognition of a $165.5 million deferred tax asset and a corresponding income tax benefit. During 2020, the Company recognized an income tax benefit as a result of the remeasurement of certain previously unrecognized income tax benefits. The majority of these income tax benefits related to the worthless stock deduction taken in 2013. These remeasurements were based on written confirmations from the IRS, indicating no examination adjustments would be proposed related to the worthless stock deduction or certain</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200" w:lineRule="exact"/>
        <w:rPr>
          <w:sz w:val="20"/>
          <w:szCs w:val="20"/>
          <w:color w:val="auto"/>
        </w:rPr>
      </w:pPr>
    </w:p>
    <w:p>
      <w:pPr>
        <w:spacing w:after="0" w:line="319"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8"/>
          <w:szCs w:val="18"/>
          <w:color w:val="auto"/>
        </w:rPr>
        <w:t>other matters reviewed as part of the audit of the Company’s federal income tax returns for 2010 through 2014, and the lapse of statutes of limitations related to other unrecognized income tax benefits.</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Company’s deferred tax assets and liabilities are as follows: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6"/>
                <w:szCs w:val="16"/>
                <w:color w:val="auto"/>
              </w:rPr>
            </w:pPr>
          </w:p>
        </w:tc>
      </w:tr>
      <w:tr>
        <w:trPr>
          <w:trHeight w:val="25"/>
        </w:trPr>
        <w:tc>
          <w:tcPr>
            <w:tcW w:w="8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81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3"/>
        </w:trPr>
        <w:tc>
          <w:tcPr>
            <w:tcW w:w="8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gridSpan w:val="3"/>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6"/>
                <w:szCs w:val="16"/>
                <w:color w:val="auto"/>
              </w:rPr>
            </w:pPr>
          </w:p>
        </w:tc>
      </w:tr>
      <w:tr>
        <w:trPr>
          <w:trHeight w:val="23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6"/>
        </w:trPr>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Intellectual property</w:t>
            </w:r>
          </w:p>
        </w:tc>
        <w:tc>
          <w:tcPr>
            <w:tcW w:w="920" w:type="dxa"/>
            <w:vAlign w:val="bottom"/>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Pr>
          <w:p>
            <w:pPr>
              <w:spacing w:after="0"/>
              <w:rPr>
                <w:sz w:val="19"/>
                <w:szCs w:val="19"/>
                <w:color w:val="auto"/>
              </w:rPr>
            </w:pPr>
          </w:p>
        </w:tc>
        <w:tc>
          <w:tcPr>
            <w:tcW w:w="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26"/>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revenues, accruals and reserves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26"/>
        </w:trPr>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6"/>
        </w:trPr>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6"/>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0"/>
        </w:trPr>
        <w:tc>
          <w:tcPr>
            <w:tcW w:w="8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r>
      <w:tr>
        <w:trPr>
          <w:trHeight w:val="226"/>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0"/>
        </w:trPr>
        <w:tc>
          <w:tcPr>
            <w:tcW w:w="8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deferred tax assets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w:t>
            </w:r>
          </w:p>
        </w:tc>
      </w:tr>
      <w:tr>
        <w:trPr>
          <w:trHeight w:val="206"/>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6"/>
        </w:trPr>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6"/>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0"/>
        </w:trPr>
        <w:tc>
          <w:tcPr>
            <w:tcW w:w="8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45"/>
        </w:trPr>
        <w:tc>
          <w:tcPr>
            <w:tcW w:w="8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920" w:type="dxa"/>
            <w:vAlign w:val="bottom"/>
            <w:tcBorders>
              <w:bottom w:val="single" w:sz="8" w:color="auto"/>
            </w:tcBorders>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200" w:firstLine="399"/>
        <w:spacing w:after="0" w:line="261" w:lineRule="auto"/>
        <w:rPr>
          <w:sz w:val="20"/>
          <w:szCs w:val="20"/>
          <w:color w:val="auto"/>
        </w:rPr>
      </w:pPr>
      <w:r>
        <w:rPr>
          <w:rFonts w:ascii="Times New Roman" w:cs="Times New Roman" w:eastAsia="Times New Roman" w:hAnsi="Times New Roman"/>
          <w:sz w:val="18"/>
          <w:szCs w:val="18"/>
          <w:color w:val="auto"/>
        </w:rPr>
        <w:t>With the exception of deferred tax assets related to certain state and foreign net operating loss and foreign tax credit carryforwards, management believes it is more likely than not that the tax effects of the deferred tax liabilities together with future taxable income, will be sufficient to fully recover the remaining deferred tax assets.</w:t>
      </w:r>
    </w:p>
    <w:p>
      <w:pPr>
        <w:spacing w:after="0" w:line="70" w:lineRule="exact"/>
        <w:rPr>
          <w:sz w:val="20"/>
          <w:szCs w:val="20"/>
          <w:color w:val="auto"/>
        </w:rPr>
      </w:pPr>
    </w:p>
    <w:p>
      <w:pPr>
        <w:ind w:right="100" w:firstLine="399"/>
        <w:spacing w:after="0" w:line="261" w:lineRule="auto"/>
        <w:rPr>
          <w:sz w:val="20"/>
          <w:szCs w:val="20"/>
          <w:color w:val="auto"/>
        </w:rPr>
      </w:pPr>
      <w:r>
        <w:rPr>
          <w:rFonts w:ascii="Times New Roman" w:cs="Times New Roman" w:eastAsia="Times New Roman" w:hAnsi="Times New Roman"/>
          <w:sz w:val="18"/>
          <w:szCs w:val="18"/>
          <w:color w:val="auto"/>
        </w:rPr>
        <w:t>As part of the Tax Cuts and Jobs Act of 2017, domestic and foreign research and development expenses, including costs related to internally developed software, are required to be amortized for income tax purposes, over five and fifteen years, respectively, beginning with our 2022 tax year. As a result, the Company recognized a deferred tax asset of $12.0 million in 2022.</w:t>
      </w:r>
    </w:p>
    <w:p>
      <w:pPr>
        <w:spacing w:after="0" w:line="70" w:lineRule="exact"/>
        <w:rPr>
          <w:sz w:val="20"/>
          <w:szCs w:val="20"/>
          <w:color w:val="auto"/>
        </w:rPr>
      </w:pPr>
    </w:p>
    <w:p>
      <w:pPr>
        <w:ind w:right="60" w:firstLine="439"/>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Company’s deferred tax assets included $55.9 million of state net operating loss carryforwards, before applying tax rates for the respective jurisdictions. The tax credit carryforwards as of December 31, 2022 consisted primarily of foreign tax credit carryforwards. The state net operating loss carryforwards expire in various years from 2023 through 2034. The foreign tax credits will expire in 2028.</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the total amounts of gross unrecognized tax benefits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9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gridSpan w:val="3"/>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9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in tax positions for prior years</w:t>
            </w:r>
          </w:p>
        </w:tc>
        <w:tc>
          <w:tcPr>
            <w:tcW w:w="2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in tax positions for prior years</w:t>
            </w:r>
          </w:p>
        </w:tc>
        <w:tc>
          <w:tcPr>
            <w:tcW w:w="2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in tax positions for current year</w:t>
            </w:r>
          </w:p>
        </w:tc>
        <w:tc>
          <w:tcPr>
            <w:tcW w:w="2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in tax positions due to settlement with taxing authorities</w:t>
            </w:r>
          </w:p>
        </w:tc>
        <w:tc>
          <w:tcPr>
            <w:tcW w:w="2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Lapse in statute of limitations</w:t>
            </w:r>
          </w:p>
        </w:tc>
        <w:tc>
          <w:tcPr>
            <w:tcW w:w="29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0"/>
                <w:szCs w:val="20"/>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9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bottom w:val="single" w:sz="8" w:color="CCEEFF"/>
            </w:tcBorders>
            <w:vMerge w:val="restart"/>
          </w:tcPr>
          <w:p>
            <w:pPr>
              <w:jc w:val="right"/>
              <w:ind w:right="2331"/>
              <w:spacing w:after="0"/>
              <w:rPr>
                <w:sz w:val="20"/>
                <w:szCs w:val="20"/>
                <w:color w:val="auto"/>
              </w:rPr>
            </w:pPr>
            <w:r>
              <w:rPr>
                <w:rFonts w:ascii="Times New Roman" w:cs="Times New Roman" w:eastAsia="Times New Roman" w:hAnsi="Times New Roman"/>
                <w:sz w:val="18"/>
                <w:szCs w:val="18"/>
                <w:color w:val="auto"/>
              </w:rPr>
              <w:t>50</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6"/>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514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VERISIGN,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200" w:lineRule="exact"/>
        <w:rPr>
          <w:sz w:val="20"/>
          <w:szCs w:val="20"/>
          <w:color w:val="auto"/>
        </w:rPr>
      </w:pPr>
    </w:p>
    <w:p>
      <w:pPr>
        <w:spacing w:after="0" w:line="333" w:lineRule="exact"/>
        <w:rPr>
          <w:sz w:val="20"/>
          <w:szCs w:val="20"/>
          <w:color w:val="auto"/>
        </w:rPr>
      </w:pPr>
    </w:p>
    <w:p>
      <w:pPr>
        <w:jc w:val="both"/>
        <w:ind w:right="140" w:firstLine="439"/>
        <w:spacing w:after="0" w:line="306" w:lineRule="auto"/>
        <w:rPr>
          <w:sz w:val="20"/>
          <w:szCs w:val="20"/>
          <w:color w:val="auto"/>
        </w:rPr>
      </w:pPr>
      <w:r>
        <w:rPr>
          <w:rFonts w:ascii="Times New Roman" w:cs="Times New Roman" w:eastAsia="Times New Roman" w:hAnsi="Times New Roman"/>
          <w:sz w:val="17"/>
          <w:szCs w:val="17"/>
          <w:color w:val="auto"/>
        </w:rPr>
        <w:t>As of December 31, 2022, approximately $14.8 million of unrecognized tax benefits, including penalties and interest, could affect the Company’s tax provision and effective tax rate. The Company does not expect the balance of unrecognized tax benefits to change materially during the next twelve months.</w:t>
      </w:r>
    </w:p>
    <w:p>
      <w:pPr>
        <w:spacing w:after="0" w:line="34" w:lineRule="exact"/>
        <w:rPr>
          <w:sz w:val="20"/>
          <w:szCs w:val="20"/>
          <w:color w:val="auto"/>
        </w:rPr>
      </w:pPr>
    </w:p>
    <w:p>
      <w:pPr>
        <w:ind w:right="80" w:firstLine="399"/>
        <w:spacing w:after="0" w:line="276" w:lineRule="auto"/>
        <w:rPr>
          <w:sz w:val="20"/>
          <w:szCs w:val="20"/>
          <w:color w:val="auto"/>
        </w:rPr>
      </w:pPr>
      <w:r>
        <w:rPr>
          <w:rFonts w:ascii="Times New Roman" w:cs="Times New Roman" w:eastAsia="Times New Roman" w:hAnsi="Times New Roman"/>
          <w:sz w:val="18"/>
          <w:szCs w:val="18"/>
          <w:color w:val="auto"/>
        </w:rPr>
        <w:t>In accordance with its accounting policy, the Company recognizes accrued interest and penalties related to unrecognized tax benefits as a component of tax expense. These accruals were not material in any period presented.</w:t>
      </w:r>
    </w:p>
    <w:p>
      <w:pPr>
        <w:spacing w:after="0" w:line="56" w:lineRule="exact"/>
        <w:rPr>
          <w:sz w:val="20"/>
          <w:szCs w:val="20"/>
          <w:color w:val="auto"/>
        </w:rPr>
      </w:pPr>
    </w:p>
    <w:p>
      <w:pPr>
        <w:ind w:right="20" w:firstLine="399"/>
        <w:spacing w:after="0" w:line="252" w:lineRule="auto"/>
        <w:rPr>
          <w:sz w:val="20"/>
          <w:szCs w:val="20"/>
          <w:color w:val="auto"/>
        </w:rPr>
      </w:pPr>
      <w:r>
        <w:rPr>
          <w:rFonts w:ascii="Times New Roman" w:cs="Times New Roman" w:eastAsia="Times New Roman" w:hAnsi="Times New Roman"/>
          <w:sz w:val="18"/>
          <w:szCs w:val="18"/>
          <w:color w:val="auto"/>
        </w:rPr>
        <w:t>The Company’s major taxing jurisdictions are the U.S., the Commonwealth of Virginia, and Switzerland. The Company’s U.S. federal income tax returns are currently under examination by the IRS for 2010 through 2013. The Company’s U.S. federal tax returns for 2019, and the years thereafter, also remain subject to examination. The Company’s other material tax returns are not currently under examination by their respective taxing jurisdictions. Because the Company has previously used net operating loss carryforwards and other tax attributes to offset its taxable income in income tax returns for the U.S. and Virginia, such attributes can be adjusted by these taxing authorities until the statute of limitations closes on the year in which such attributes were utilized. The open years for examination in Switzerland are the 2012 tax year and forward.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14" w:lineRule="exact"/>
        <w:rPr>
          <w:sz w:val="20"/>
          <w:szCs w:val="20"/>
          <w:color w:val="auto"/>
        </w:rPr>
      </w:pPr>
    </w:p>
    <w:p>
      <w:pPr>
        <w:ind w:right="300" w:firstLine="439"/>
        <w:spacing w:after="0" w:line="276" w:lineRule="auto"/>
        <w:rPr>
          <w:sz w:val="20"/>
          <w:szCs w:val="20"/>
          <w:color w:val="auto"/>
        </w:rPr>
      </w:pPr>
      <w:r>
        <w:rPr>
          <w:rFonts w:ascii="Times New Roman" w:cs="Times New Roman" w:eastAsia="Times New Roman" w:hAnsi="Times New Roman"/>
          <w:sz w:val="18"/>
          <w:szCs w:val="18"/>
          <w:color w:val="auto"/>
        </w:rPr>
        <w:t>The following table represents the minimum payments required by Verisign under certain purchase obligations, certain U.S. income tax obligations, leases, and the interest payments and principal on the Senior Notes: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140" w:type="dxa"/>
            <w:vAlign w:val="bottom"/>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Transition Tax</w:t>
            </w:r>
          </w:p>
        </w:tc>
        <w:tc>
          <w:tcPr>
            <w:tcW w:w="12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6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Senior Notes</w:t>
            </w:r>
          </w:p>
        </w:tc>
        <w:tc>
          <w:tcPr>
            <w:tcW w:w="260" w:type="dxa"/>
            <w:vAlign w:val="bottom"/>
          </w:tcPr>
          <w:p>
            <w:pPr>
              <w:spacing w:after="0"/>
              <w:rPr>
                <w:sz w:val="13"/>
                <w:szCs w:val="13"/>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0" w:type="dxa"/>
            <w:vAlign w:val="bottom"/>
          </w:tcPr>
          <w:p>
            <w:pPr>
              <w:spacing w:after="0"/>
              <w:rPr>
                <w:sz w:val="1"/>
                <w:szCs w:val="1"/>
                <w:color w:val="auto"/>
              </w:rPr>
            </w:pPr>
          </w:p>
        </w:tc>
      </w:tr>
      <w:tr>
        <w:trPr>
          <w:trHeight w:val="22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2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0" w:type="dxa"/>
            <w:vAlign w:val="bottom"/>
          </w:tcPr>
          <w:p>
            <w:pPr>
              <w:spacing w:after="0"/>
              <w:rPr>
                <w:sz w:val="1"/>
                <w:szCs w:val="1"/>
                <w:color w:val="auto"/>
              </w:rPr>
            </w:pPr>
          </w:p>
        </w:tc>
      </w:tr>
      <w:tr>
        <w:trPr>
          <w:trHeight w:val="22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2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0" w:type="dxa"/>
            <w:vAlign w:val="bottom"/>
          </w:tcPr>
          <w:p>
            <w:pPr>
              <w:spacing w:after="0"/>
              <w:rPr>
                <w:sz w:val="1"/>
                <w:szCs w:val="1"/>
                <w:color w:val="auto"/>
              </w:rPr>
            </w:pPr>
          </w:p>
        </w:tc>
      </w:tr>
      <w:tr>
        <w:trPr>
          <w:trHeight w:val="22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820.9</w:t>
            </w:r>
          </w:p>
        </w:tc>
        <w:tc>
          <w:tcPr>
            <w:tcW w:w="0" w:type="dxa"/>
            <w:vAlign w:val="bottom"/>
          </w:tcPr>
          <w:p>
            <w:pPr>
              <w:spacing w:after="0"/>
              <w:rPr>
                <w:sz w:val="1"/>
                <w:szCs w:val="1"/>
                <w:color w:val="auto"/>
              </w:rPr>
            </w:pPr>
          </w:p>
        </w:tc>
      </w:tr>
      <w:tr>
        <w:trPr>
          <w:trHeight w:val="245"/>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2,291.6</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right="480" w:firstLine="439"/>
        <w:spacing w:after="0" w:line="276" w:lineRule="auto"/>
        <w:rPr>
          <w:sz w:val="20"/>
          <w:szCs w:val="20"/>
          <w:color w:val="auto"/>
        </w:rPr>
      </w:pPr>
      <w:r>
        <w:rPr>
          <w:rFonts w:ascii="Times New Roman" w:cs="Times New Roman" w:eastAsia="Times New Roman" w:hAnsi="Times New Roman"/>
          <w:sz w:val="18"/>
          <w:szCs w:val="18"/>
          <w:color w:val="auto"/>
        </w:rPr>
        <w:t>The amounts in the table above exclude $14.8 million of unrecognized tax benefits, as the Company is unable to reasonably estimate the ultimate amount or time of settlement of those liabilities.</w:t>
      </w:r>
    </w:p>
    <w:p>
      <w:pPr>
        <w:spacing w:after="0" w:line="56" w:lineRule="exact"/>
        <w:rPr>
          <w:sz w:val="20"/>
          <w:szCs w:val="20"/>
          <w:color w:val="auto"/>
        </w:rPr>
      </w:pPr>
    </w:p>
    <w:p>
      <w:pPr>
        <w:ind w:right="40" w:firstLine="439"/>
        <w:spacing w:after="0" w:line="256" w:lineRule="auto"/>
        <w:rPr>
          <w:sz w:val="20"/>
          <w:szCs w:val="20"/>
          <w:color w:val="auto"/>
        </w:rPr>
      </w:pPr>
      <w:r>
        <w:rPr>
          <w:rFonts w:ascii="Times New Roman" w:cs="Times New Roman" w:eastAsia="Times New Roman" w:hAnsi="Times New Roman"/>
          <w:sz w:val="18"/>
          <w:szCs w:val="18"/>
          <w:color w:val="auto"/>
        </w:rPr>
        <w:t>Verisign enters into certain purchase obligations with various vendors. The Company’s significant purchase obligations include firm commitments with telecommunication carriers, other service providers and the fixed portion of registry fees related to the operation of certain top-level domains. Registry fees for top-level domains that we operate where the amounts are variable or passed-through to registrars have been excluded from the table above. The Company does not have any significant purchase obligations beyond 2025.</w:t>
      </w:r>
    </w:p>
    <w:p>
      <w:pPr>
        <w:spacing w:after="0" w:line="75" w:lineRule="exact"/>
        <w:rPr>
          <w:sz w:val="20"/>
          <w:szCs w:val="20"/>
          <w:color w:val="auto"/>
        </w:rPr>
      </w:pPr>
    </w:p>
    <w:p>
      <w:pPr>
        <w:ind w:right="20" w:firstLine="439"/>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an agreement with Internet Corporation for Assigned Names and Numbers (“ICANN”) to be the sole registry operator for domain names in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through November 30, 2024. Under this agreement, the Company pays ICANN on a quarterly basis, $0.25 for each annual term of a domain name registered or renewed during such quarter. The Company incurred registry fees for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of $39.9 million in 2022, $40.6 million in 2021, and $36.3 million in 2020.</w:t>
      </w:r>
    </w:p>
    <w:p>
      <w:pPr>
        <w:spacing w:after="0" w:line="73" w:lineRule="exact"/>
        <w:rPr>
          <w:sz w:val="20"/>
          <w:szCs w:val="20"/>
          <w:color w:val="auto"/>
        </w:rPr>
      </w:pPr>
    </w:p>
    <w:p>
      <w:pPr>
        <w:ind w:right="200" w:firstLine="439"/>
        <w:spacing w:after="0" w:line="262" w:lineRule="auto"/>
        <w:rPr>
          <w:sz w:val="20"/>
          <w:szCs w:val="20"/>
          <w:color w:val="auto"/>
        </w:rPr>
      </w:pPr>
      <w:r>
        <w:rPr>
          <w:rFonts w:ascii="Times New Roman" w:cs="Times New Roman" w:eastAsia="Times New Roman" w:hAnsi="Times New Roman"/>
          <w:sz w:val="18"/>
          <w:szCs w:val="18"/>
          <w:color w:val="auto"/>
        </w:rPr>
        <w:t>In connection with the .</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xml:space="preserve"> Registry Agreement with ICANN, the Company is required to make annual payments of $4.0 million to ICANN through 2025 to support efforts to maintain the security and stability of the DNS. The payments for 2023 through 2025 are included in Purchase obligations in the table above.</w:t>
      </w:r>
    </w:p>
    <w:p>
      <w:pPr>
        <w:spacing w:after="0" w:line="70" w:lineRule="exact"/>
        <w:rPr>
          <w:sz w:val="20"/>
          <w:szCs w:val="20"/>
          <w:color w:val="auto"/>
        </w:rPr>
      </w:pPr>
    </w:p>
    <w:p>
      <w:pPr>
        <w:ind w:right="540" w:firstLine="439"/>
        <w:spacing w:after="0" w:line="276" w:lineRule="auto"/>
        <w:rPr>
          <w:sz w:val="20"/>
          <w:szCs w:val="20"/>
          <w:color w:val="auto"/>
        </w:rPr>
      </w:pPr>
      <w:r>
        <w:rPr>
          <w:rFonts w:ascii="Times New Roman" w:cs="Times New Roman" w:eastAsia="Times New Roman" w:hAnsi="Times New Roman"/>
          <w:sz w:val="18"/>
          <w:szCs w:val="18"/>
          <w:color w:val="auto"/>
        </w:rPr>
        <w:t>The Transition Tax amounts in the table above are the remaining installments of U.S. income taxes payable on our accumulated foreign earnings pursuant to the 2017 Tax Cuts and Jobs Act.</w:t>
      </w:r>
    </w:p>
    <w:p>
      <w:pPr>
        <w:spacing w:after="0" w:line="56" w:lineRule="exact"/>
        <w:rPr>
          <w:sz w:val="20"/>
          <w:szCs w:val="20"/>
          <w:color w:val="auto"/>
        </w:rPr>
      </w:pPr>
    </w:p>
    <w:p>
      <w:pPr>
        <w:ind w:right="400" w:firstLine="439"/>
        <w:spacing w:after="0" w:line="276" w:lineRule="auto"/>
        <w:rPr>
          <w:sz w:val="20"/>
          <w:szCs w:val="20"/>
          <w:color w:val="auto"/>
        </w:rPr>
      </w:pPr>
      <w:r>
        <w:rPr>
          <w:rFonts w:ascii="Times New Roman" w:cs="Times New Roman" w:eastAsia="Times New Roman" w:hAnsi="Times New Roman"/>
          <w:sz w:val="18"/>
          <w:szCs w:val="18"/>
          <w:color w:val="auto"/>
        </w:rPr>
        <w:t>Verisign leases a small portion of its office space and a portion of its data center facilities under operating leases, the longest of which extends into 2025. Rental expenses under operating leases were not material in any period presented.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8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54" w:lineRule="exact"/>
        <w:rPr>
          <w:sz w:val="20"/>
          <w:szCs w:val="20"/>
          <w:color w:val="auto"/>
        </w:rPr>
      </w:pPr>
    </w:p>
    <w:p>
      <w:pPr>
        <w:ind w:firstLine="439"/>
        <w:spacing w:after="0" w:line="252" w:lineRule="auto"/>
        <w:rPr>
          <w:sz w:val="20"/>
          <w:szCs w:val="20"/>
          <w:color w:val="auto"/>
        </w:rPr>
      </w:pPr>
      <w:r>
        <w:rPr>
          <w:rFonts w:ascii="Times New Roman" w:cs="Times New Roman" w:eastAsia="Times New Roman" w:hAnsi="Times New Roman"/>
          <w:sz w:val="18"/>
          <w:szCs w:val="18"/>
          <w:color w:val="auto"/>
        </w:rPr>
        <w:t>Based on our management’s evaluation, with the participation of our Chief Executive Officer (our principal executive officer) and our Chief Financial Officer (our principal financial officer), as of December 31, 2022, our principal executive officer and principal financial officer have concluded that our disclosure controls and procedures (as defined in Rules 13a-15(e) and 15d-15(e) under the Exchange Act) are effective to ensure that information required to be disclosed by us in reports that we file or submit under the Exchange Act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Management’s Report on Internal Control over Financial Reporting</w:t>
      </w:r>
    </w:p>
    <w:p>
      <w:pPr>
        <w:spacing w:after="0" w:line="154" w:lineRule="exact"/>
        <w:rPr>
          <w:sz w:val="20"/>
          <w:szCs w:val="20"/>
          <w:color w:val="auto"/>
        </w:rPr>
      </w:pPr>
    </w:p>
    <w:p>
      <w:pPr>
        <w:ind w:right="140" w:firstLine="439"/>
        <w:spacing w:after="0" w:line="254"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Rules 13a-15(f) and 15d-15(f) under the Exchange Act. Under the supervision and with the participation of our management, including our Chief Executive Officer and Chief Financial Officer, we conducted an evaluation of the effectiveness of our internal control over financial reporting as of December 31, 2022 using the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Framework) issued by the Committee of Sponsoring Organizations of the Treadway Commission (“COSO”).</w:t>
      </w:r>
    </w:p>
    <w:p>
      <w:pPr>
        <w:spacing w:after="0" w:line="116" w:lineRule="exact"/>
        <w:rPr>
          <w:sz w:val="20"/>
          <w:szCs w:val="20"/>
          <w:color w:val="auto"/>
        </w:rPr>
      </w:pPr>
    </w:p>
    <w:p>
      <w:pPr>
        <w:ind w:right="240" w:firstLine="439"/>
        <w:spacing w:after="0" w:line="261" w:lineRule="auto"/>
        <w:rPr>
          <w:sz w:val="20"/>
          <w:szCs w:val="20"/>
          <w:color w:val="auto"/>
        </w:rPr>
      </w:pPr>
      <w:r>
        <w:rPr>
          <w:rFonts w:ascii="Times New Roman" w:cs="Times New Roman" w:eastAsia="Times New Roman" w:hAnsi="Times New Roman"/>
          <w:sz w:val="18"/>
          <w:szCs w:val="18"/>
          <w:color w:val="auto"/>
        </w:rPr>
        <w:t>Based on our evaluation under the COSO framework, management has concluded that our internal control over financial reporting is effective to provide reasonable assurance regarding the reliability of financial reporting and the preparation of financial statements for external purposes in accordance with generally accepted accounting principles.</w:t>
      </w:r>
    </w:p>
    <w:p>
      <w:pPr>
        <w:spacing w:after="0" w:line="110" w:lineRule="exact"/>
        <w:rPr>
          <w:sz w:val="20"/>
          <w:szCs w:val="20"/>
          <w:color w:val="auto"/>
        </w:rPr>
      </w:pPr>
    </w:p>
    <w:p>
      <w:pPr>
        <w:ind w:right="260" w:firstLine="439"/>
        <w:spacing w:after="0" w:line="276" w:lineRule="auto"/>
        <w:rPr>
          <w:sz w:val="20"/>
          <w:szCs w:val="20"/>
          <w:color w:val="auto"/>
        </w:rPr>
      </w:pPr>
      <w:r>
        <w:rPr>
          <w:rFonts w:ascii="Times New Roman" w:cs="Times New Roman" w:eastAsia="Times New Roman" w:hAnsi="Times New Roman"/>
          <w:sz w:val="18"/>
          <w:szCs w:val="18"/>
          <w:color w:val="auto"/>
        </w:rPr>
        <w:t>KPMG LLP, an independent registered public accounting firm, has issued a report concerning the effectiveness of our internal control over financial reporting as of December 31, 2022. See “Report of Independent Registered Public Accounting Firm” in Item 8 of this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Changes in Internal Control over Financial Reporting</w:t>
      </w:r>
    </w:p>
    <w:p>
      <w:pPr>
        <w:spacing w:after="0" w:line="154" w:lineRule="exact"/>
        <w:rPr>
          <w:sz w:val="20"/>
          <w:szCs w:val="20"/>
          <w:color w:val="auto"/>
        </w:rPr>
      </w:pPr>
    </w:p>
    <w:p>
      <w:pPr>
        <w:ind w:right="40" w:firstLine="439"/>
        <w:spacing w:after="0" w:line="261"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such term is defined in Rules 13a-15(f) and 15d-15(f) under the Exchange Act) during the three months ended December 31, 2022 that has materially affected, or is reasonably likely to materially affect, the Company’s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Inherent Limitations of Disclosure Controls and Internal Control over Financial Reporting</w:t>
      </w:r>
    </w:p>
    <w:p>
      <w:pPr>
        <w:spacing w:after="0" w:line="154" w:lineRule="exact"/>
        <w:rPr>
          <w:sz w:val="20"/>
          <w:szCs w:val="20"/>
          <w:color w:val="auto"/>
        </w:rPr>
      </w:pPr>
    </w:p>
    <w:p>
      <w:pPr>
        <w:ind w:right="100" w:firstLine="439"/>
        <w:spacing w:after="0" w:line="254" w:lineRule="auto"/>
        <w:rPr>
          <w:sz w:val="20"/>
          <w:szCs w:val="20"/>
          <w:color w:val="auto"/>
        </w:rPr>
      </w:pPr>
      <w:r>
        <w:rPr>
          <w:rFonts w:ascii="Times New Roman" w:cs="Times New Roman" w:eastAsia="Times New Roman" w:hAnsi="Times New Roman"/>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20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6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41" w:lineRule="exact"/>
        <w:rPr>
          <w:sz w:val="20"/>
          <w:szCs w:val="20"/>
          <w:color w:val="auto"/>
        </w:rPr>
      </w:pPr>
    </w:p>
    <w:p>
      <w:pPr>
        <w:ind w:right="20" w:firstLine="439"/>
        <w:spacing w:after="0" w:line="233" w:lineRule="auto"/>
        <w:rPr>
          <w:sz w:val="20"/>
          <w:szCs w:val="20"/>
          <w:color w:val="auto"/>
        </w:rPr>
      </w:pPr>
      <w:r>
        <w:rPr>
          <w:rFonts w:ascii="Times New Roman" w:cs="Times New Roman" w:eastAsia="Times New Roman" w:hAnsi="Times New Roman"/>
          <w:sz w:val="18"/>
          <w:szCs w:val="18"/>
          <w:color w:val="auto"/>
        </w:rPr>
        <w:t>The information required by this item regarding our directors and nominees, Audit Committee, Corporate Governance and Nominating Committee, and Compensation Committee will be included under the captions “Proposal No. 1—Election of Directors,” “Security Ownership of Certain Beneficial Owners” and “Corporate Governance” in our Proxy Statement related to the 2023 Annual Meeting of Stockholders and is incorporated herein by reference (our “2023 Proxy Statement”).</w:t>
      </w:r>
    </w:p>
    <w:p>
      <w:pPr>
        <w:spacing w:after="0" w:line="181" w:lineRule="exact"/>
        <w:rPr>
          <w:sz w:val="20"/>
          <w:szCs w:val="20"/>
          <w:color w:val="auto"/>
        </w:rPr>
      </w:pPr>
    </w:p>
    <w:p>
      <w:pPr>
        <w:ind w:firstLine="439"/>
        <w:spacing w:after="0" w:line="276" w:lineRule="auto"/>
        <w:rPr>
          <w:sz w:val="20"/>
          <w:szCs w:val="20"/>
          <w:color w:val="auto"/>
        </w:rPr>
      </w:pPr>
      <w:r>
        <w:rPr>
          <w:rFonts w:ascii="Times New Roman" w:cs="Times New Roman" w:eastAsia="Times New Roman" w:hAnsi="Times New Roman"/>
          <w:sz w:val="18"/>
          <w:szCs w:val="18"/>
          <w:color w:val="auto"/>
        </w:rPr>
        <w:t>Pursuant to General Instruction G(3) of Form 10-K, the information required by this item relating to our executive officers is included under the caption “Information About Our Executive Officers” in Part I of this Form 10-K.</w:t>
      </w:r>
    </w:p>
    <w:p>
      <w:pPr>
        <w:spacing w:after="0" w:line="163" w:lineRule="exact"/>
        <w:rPr>
          <w:sz w:val="20"/>
          <w:szCs w:val="20"/>
          <w:color w:val="auto"/>
        </w:rPr>
      </w:pPr>
    </w:p>
    <w:p>
      <w:pPr>
        <w:ind w:right="140" w:firstLine="439"/>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written Code of Conduct, which is posted on our Investor Relations website under “Ethics and Business Conduct” at </w:t>
      </w:r>
      <w:r>
        <w:rPr>
          <w:rFonts w:ascii="Times New Roman" w:cs="Times New Roman" w:eastAsia="Times New Roman" w:hAnsi="Times New Roman"/>
          <w:sz w:val="18"/>
          <w:szCs w:val="18"/>
          <w:u w:val="single" w:color="auto"/>
          <w:color w:val="auto"/>
        </w:rPr>
        <w:t>https://investor.verisign.com/corporate-governance</w:t>
      </w:r>
      <w:r>
        <w:rPr>
          <w:rFonts w:ascii="Times New Roman" w:cs="Times New Roman" w:eastAsia="Times New Roman" w:hAnsi="Times New Roman"/>
          <w:sz w:val="18"/>
          <w:szCs w:val="18"/>
          <w:color w:val="auto"/>
        </w:rPr>
        <w:t>. The Code of Conduct applies to all of our directors, officers, and employees, including our principal executive officer, principal financial officer, and other senior accounting officers. We have also adopted the “Corporate Governance Principles for the Board of Directors,” which provide guidance to our directors on corporate practices that serve the best interests of our company and our stockholders.</w:t>
      </w:r>
    </w:p>
    <w:p>
      <w:pPr>
        <w:spacing w:after="0" w:line="208" w:lineRule="exact"/>
        <w:rPr>
          <w:sz w:val="20"/>
          <w:szCs w:val="20"/>
          <w:color w:val="auto"/>
        </w:rPr>
      </w:pPr>
    </w:p>
    <w:p>
      <w:pPr>
        <w:ind w:right="40" w:firstLine="439"/>
        <w:spacing w:after="0" w:line="261" w:lineRule="auto"/>
        <w:rPr>
          <w:sz w:val="20"/>
          <w:szCs w:val="20"/>
          <w:color w:val="auto"/>
        </w:rPr>
      </w:pPr>
      <w:r>
        <w:rPr>
          <w:rFonts w:ascii="Times New Roman" w:cs="Times New Roman" w:eastAsia="Times New Roman" w:hAnsi="Times New Roman"/>
          <w:sz w:val="18"/>
          <w:szCs w:val="18"/>
          <w:color w:val="auto"/>
        </w:rPr>
        <w:t>We intend to satisfy any disclosure requirement under Item 5.05 of Form 8-K regarding an amendment to, or waiver from, a provision of the Code of Conduct, to the extent applicable to the principal executive officer, principal financial officer, or other senior accounting officers, by posting such information on our website, on the web page found by clicking through to “Ethics and Business Conduct” as specified above.</w:t>
      </w:r>
    </w:p>
    <w:p>
      <w:pPr>
        <w:spacing w:after="0" w:line="20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48" w:lineRule="exact"/>
        <w:rPr>
          <w:sz w:val="20"/>
          <w:szCs w:val="20"/>
          <w:color w:val="auto"/>
        </w:rPr>
      </w:pPr>
    </w:p>
    <w:p>
      <w:pPr>
        <w:ind w:right="180" w:firstLine="439"/>
        <w:spacing w:after="0" w:line="261" w:lineRule="auto"/>
        <w:rPr>
          <w:sz w:val="20"/>
          <w:szCs w:val="20"/>
          <w:color w:val="auto"/>
        </w:rPr>
      </w:pPr>
      <w:r>
        <w:rPr>
          <w:rFonts w:ascii="Times New Roman" w:cs="Times New Roman" w:eastAsia="Times New Roman" w:hAnsi="Times New Roman"/>
          <w:sz w:val="18"/>
          <w:szCs w:val="18"/>
          <w:color w:val="auto"/>
        </w:rPr>
        <w:t>Information required by this item is incorporated herein by reference to our 2023 Proxy Statement from the discussions under the captions “Compensation of Directors,” “Non-Employee Director Retainer Fees and Equity Compensation Information” and “Non-Employee Director Compensation Table for 2022,” and “Executive Compensation.”</w:t>
      </w:r>
    </w:p>
    <w:p>
      <w:pPr>
        <w:spacing w:after="0" w:line="201" w:lineRule="exact"/>
        <w:rPr>
          <w:sz w:val="20"/>
          <w:szCs w:val="20"/>
          <w:color w:val="auto"/>
        </w:rPr>
      </w:pPr>
    </w:p>
    <w:p>
      <w:pPr>
        <w:ind w:left="920" w:right="580" w:hanging="958"/>
        <w:spacing w:after="0" w:line="278"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95" w:lineRule="exact"/>
        <w:rPr>
          <w:sz w:val="20"/>
          <w:szCs w:val="20"/>
          <w:color w:val="auto"/>
        </w:rPr>
      </w:pPr>
    </w:p>
    <w:p>
      <w:pPr>
        <w:ind w:right="760" w:firstLine="439"/>
        <w:spacing w:after="0" w:line="276" w:lineRule="auto"/>
        <w:rPr>
          <w:sz w:val="20"/>
          <w:szCs w:val="20"/>
          <w:color w:val="auto"/>
        </w:rPr>
      </w:pPr>
      <w:r>
        <w:rPr>
          <w:rFonts w:ascii="Times New Roman" w:cs="Times New Roman" w:eastAsia="Times New Roman" w:hAnsi="Times New Roman"/>
          <w:sz w:val="18"/>
          <w:szCs w:val="18"/>
          <w:color w:val="auto"/>
        </w:rPr>
        <w:t>Information required by this item is incorporated herein by reference from the discussions under the captions “Security Ownership of Certain Beneficial Owners and Management” and “Equity Compensation Plan Information” in our 2023 Proxy Statement.</w:t>
      </w:r>
    </w:p>
    <w:p>
      <w:pPr>
        <w:spacing w:after="0" w:line="18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54" w:lineRule="exact"/>
        <w:rPr>
          <w:sz w:val="20"/>
          <w:szCs w:val="20"/>
          <w:color w:val="auto"/>
        </w:rPr>
      </w:pPr>
    </w:p>
    <w:p>
      <w:pPr>
        <w:ind w:right="40" w:firstLine="399"/>
        <w:spacing w:after="0" w:line="276" w:lineRule="auto"/>
        <w:rPr>
          <w:sz w:val="20"/>
          <w:szCs w:val="20"/>
          <w:color w:val="auto"/>
        </w:rPr>
      </w:pPr>
      <w:r>
        <w:rPr>
          <w:rFonts w:ascii="Times New Roman" w:cs="Times New Roman" w:eastAsia="Times New Roman" w:hAnsi="Times New Roman"/>
          <w:sz w:val="18"/>
          <w:szCs w:val="18"/>
          <w:color w:val="auto"/>
        </w:rPr>
        <w:t>Information required by this item is incorporated herein by reference to our 2023 Proxy Statement from the discussions under the captions “Policies and Procedures with Respect to Transactions with Related Persons,” “Certain Relationships and Related Transactions” and “Independence of Directors.”</w:t>
      </w:r>
    </w:p>
    <w:p>
      <w:pPr>
        <w:spacing w:after="0" w:line="18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McLean, VA, Auditor Firm ID: 185.</w:t>
      </w:r>
    </w:p>
    <w:p>
      <w:pPr>
        <w:spacing w:after="0" w:line="112" w:lineRule="exact"/>
        <w:rPr>
          <w:sz w:val="20"/>
          <w:szCs w:val="20"/>
          <w:color w:val="auto"/>
        </w:rPr>
      </w:pPr>
    </w:p>
    <w:p>
      <w:pPr>
        <w:ind w:right="220" w:firstLine="439"/>
        <w:spacing w:after="0" w:line="306" w:lineRule="auto"/>
        <w:rPr>
          <w:sz w:val="20"/>
          <w:szCs w:val="20"/>
          <w:color w:val="auto"/>
        </w:rPr>
      </w:pPr>
      <w:r>
        <w:rPr>
          <w:rFonts w:ascii="Times New Roman" w:cs="Times New Roman" w:eastAsia="Times New Roman" w:hAnsi="Times New Roman"/>
          <w:sz w:val="17"/>
          <w:szCs w:val="17"/>
          <w:color w:val="auto"/>
        </w:rPr>
        <w:t>Information required by this item is incorporated herein by reference to our 2023 Proxy Statement from the discussions under the captions “Principal Accountant Fees and Services” and “Policy on Audit Committee Pre-Approval of Audit and Permissible Non-Audit Services of Independent Auditors.”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77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7740" w:type="dxa"/>
            <w:vAlign w:val="bottom"/>
            <w:gridSpan w:val="8"/>
          </w:tcPr>
          <w:p>
            <w:pPr>
              <w:ind w:left="440"/>
              <w:spacing w:after="0"/>
              <w:rPr>
                <w:sz w:val="20"/>
                <w:szCs w:val="20"/>
                <w:color w:val="auto"/>
              </w:rPr>
            </w:pPr>
            <w:r>
              <w:rPr>
                <w:rFonts w:ascii="Times New Roman" w:cs="Times New Roman" w:eastAsia="Times New Roman" w:hAnsi="Times New Roman"/>
                <w:sz w:val="18"/>
                <w:szCs w:val="18"/>
                <w:color w:val="auto"/>
              </w:rPr>
              <w:t>(a) Documents filed as part of this report</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6"/>
        </w:trPr>
        <w:tc>
          <w:tcPr>
            <w:tcW w:w="7740" w:type="dxa"/>
            <w:vAlign w:val="bottom"/>
            <w:gridSpan w:val="8"/>
          </w:tcPr>
          <w:p>
            <w:pPr>
              <w:ind w:left="840"/>
              <w:spacing w:after="0"/>
              <w:rPr>
                <w:sz w:val="20"/>
                <w:szCs w:val="20"/>
                <w:color w:val="auto"/>
              </w:rPr>
            </w:pPr>
            <w:r>
              <w:rPr>
                <w:rFonts w:ascii="Times New Roman" w:cs="Times New Roman" w:eastAsia="Times New Roman" w:hAnsi="Times New Roman"/>
                <w:sz w:val="18"/>
                <w:szCs w:val="18"/>
                <w:color w:val="auto"/>
              </w:rPr>
              <w:t>1. Financial statements</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860" w:type="dxa"/>
            <w:vAlign w:val="bottom"/>
          </w:tcPr>
          <w:p>
            <w:pPr>
              <w:spacing w:after="0"/>
              <w:rPr>
                <w:sz w:val="24"/>
                <w:szCs w:val="24"/>
                <w:color w:val="auto"/>
              </w:rPr>
            </w:pPr>
          </w:p>
        </w:tc>
        <w:tc>
          <w:tcPr>
            <w:tcW w:w="688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The financial statements are set forth under Item 8 of this Form 10-K, as indexed below.</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860" w:type="dxa"/>
            <w:vAlign w:val="bottom"/>
          </w:tcPr>
          <w:p>
            <w:pPr>
              <w:spacing w:after="0"/>
              <w:rPr>
                <w:sz w:val="2"/>
                <w:szCs w:val="2"/>
                <w:color w:val="auto"/>
              </w:rPr>
            </w:pPr>
          </w:p>
        </w:tc>
        <w:tc>
          <w:tcPr>
            <w:tcW w:w="688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rPr>
              <w:t>Reports of Independent Registered Public Accounting Firm</w:t>
            </w: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6880" w:type="dxa"/>
            <w:vAlign w:val="bottom"/>
            <w:tcBorders>
              <w:bottom w:val="single" w:sz="8" w:color="0000FF"/>
            </w:tcBorders>
            <w:gridSpan w:val="7"/>
            <w:vMerge w:val="continue"/>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Borders>
              <w:bottom w:val="single" w:sz="8" w:color="0000FF"/>
            </w:tcBorders>
          </w:tcPr>
          <w:p>
            <w:pPr>
              <w:jc w:val="right"/>
              <w:spacing w:after="0" w:line="180" w:lineRule="exact"/>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60" w:type="dxa"/>
            <w:vAlign w:val="bottom"/>
          </w:tcPr>
          <w:p>
            <w:pPr>
              <w:spacing w:after="0"/>
              <w:rPr>
                <w:sz w:val="17"/>
                <w:szCs w:val="17"/>
                <w:color w:val="auto"/>
              </w:rPr>
            </w:pPr>
          </w:p>
        </w:tc>
        <w:tc>
          <w:tcPr>
            <w:tcW w:w="6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60" w:type="dxa"/>
            <w:vAlign w:val="bottom"/>
          </w:tcPr>
          <w:p>
            <w:pPr>
              <w:spacing w:after="0"/>
              <w:rPr>
                <w:sz w:val="17"/>
                <w:szCs w:val="17"/>
                <w:color w:val="auto"/>
              </w:rPr>
            </w:pPr>
          </w:p>
        </w:tc>
        <w:tc>
          <w:tcPr>
            <w:tcW w:w="6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10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0" w:type="dxa"/>
            <w:vAlign w:val="bottom"/>
          </w:tcPr>
          <w:p>
            <w:pPr>
              <w:spacing w:after="0"/>
              <w:rPr>
                <w:sz w:val="17"/>
                <w:szCs w:val="17"/>
                <w:color w:val="auto"/>
              </w:rPr>
            </w:pPr>
          </w:p>
        </w:tc>
        <w:tc>
          <w:tcPr>
            <w:tcW w:w="6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Deficit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680" w:type="dxa"/>
            <w:vAlign w:val="bottom"/>
            <w:tcBorders>
              <w:top w:val="single" w:sz="8" w:color="0000FF"/>
            </w:tcBorders>
            <w:gridSpan w:val="2"/>
          </w:tcPr>
          <w:p>
            <w:pPr>
              <w:spacing w:after="0"/>
              <w:rPr>
                <w:sz w:val="17"/>
                <w:szCs w:val="17"/>
                <w:color w:val="auto"/>
              </w:rPr>
            </w:pPr>
          </w:p>
        </w:tc>
        <w:tc>
          <w:tcPr>
            <w:tcW w:w="3360" w:type="dxa"/>
            <w:vAlign w:val="bottom"/>
            <w:gridSpan w:val="3"/>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0" w:type="dxa"/>
            <w:vAlign w:val="bottom"/>
          </w:tcPr>
          <w:p>
            <w:pPr>
              <w:spacing w:after="0"/>
              <w:rPr>
                <w:sz w:val="17"/>
                <w:szCs w:val="17"/>
                <w:color w:val="auto"/>
              </w:rPr>
            </w:pPr>
          </w:p>
        </w:tc>
        <w:tc>
          <w:tcPr>
            <w:tcW w:w="6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166" w:lineRule="exact"/>
        <w:rPr>
          <w:sz w:val="20"/>
          <w:szCs w:val="20"/>
          <w:color w:val="auto"/>
        </w:rPr>
      </w:pPr>
    </w:p>
    <w:p>
      <w:pPr>
        <w:ind w:left="1280" w:right="320" w:hanging="221"/>
        <w:spacing w:after="0" w:line="276" w:lineRule="auto"/>
        <w:rPr>
          <w:sz w:val="20"/>
          <w:szCs w:val="20"/>
          <w:color w:val="auto"/>
        </w:rPr>
      </w:pPr>
      <w:r>
        <w:rPr>
          <w:rFonts w:ascii="Times New Roman" w:cs="Times New Roman" w:eastAsia="Times New Roman" w:hAnsi="Times New Roman"/>
          <w:sz w:val="18"/>
          <w:szCs w:val="18"/>
          <w:color w:val="auto"/>
        </w:rPr>
        <w:t>Financial statement schedules are omitted because the information called for is not material or is shown either in the consolidated financial statements or the notes thereto.</w:t>
      </w:r>
    </w:p>
    <w:p>
      <w:pPr>
        <w:spacing w:after="0" w:line="96" w:lineRule="exact"/>
        <w:rPr>
          <w:sz w:val="20"/>
          <w:szCs w:val="20"/>
          <w:color w:val="auto"/>
        </w:rPr>
      </w:pPr>
    </w:p>
    <w:p>
      <w:pPr>
        <w:ind w:left="1060" w:hanging="175"/>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50"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 Index to Exhibits</w:t>
      </w:r>
    </w:p>
    <w:p>
      <w:pPr>
        <w:spacing w:after="0" w:line="248" w:lineRule="exact"/>
        <w:rPr>
          <w:sz w:val="20"/>
          <w:szCs w:val="20"/>
          <w:color w:val="auto"/>
        </w:rPr>
      </w:pPr>
    </w:p>
    <w:p>
      <w:pPr>
        <w:ind w:right="20" w:firstLine="439"/>
        <w:spacing w:after="0" w:line="251" w:lineRule="auto"/>
        <w:rPr>
          <w:sz w:val="20"/>
          <w:szCs w:val="20"/>
          <w:color w:val="auto"/>
        </w:rPr>
      </w:pPr>
      <w:r>
        <w:rPr>
          <w:rFonts w:ascii="Times New Roman" w:cs="Times New Roman" w:eastAsia="Times New Roman" w:hAnsi="Times New Roman"/>
          <w:sz w:val="18"/>
          <w:szCs w:val="18"/>
          <w:color w:val="auto"/>
        </w:rPr>
        <w:t>Pursuant to the rules and regulations of the SEC, the Company has filed certain agreements as exhibits to this Form 10-K. These agreements may contain representations and warranties by the parties thereto. These representations and warranties have been made solely for the benefit of the other party or parties to such agreements and (1) may be intended not as statements of fact, but rather as a way of allocating the risk to one of the parties to such agreements if those statements prove to be inaccurate, (2) may have been qualified by disclosures that were made to such other party or parties and that either have been reflected in the Company’s filings or are not required to be disclosed in those filings, (3) may apply materiality standards different from what may be viewed as material to investors and (4) were made only as of the date of such agreements or such other date(s) as may be specified in such agreements and are subject to more recent developments. Accordingly, these representations and warranties may not describe the Company’s actual state of affairs at the date hereof or at any other time.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0" w:type="dxa"/>
            <w:vAlign w:val="bottom"/>
            <w:gridSpan w:val="11"/>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13"/>
        </w:trPr>
        <w:tc>
          <w:tcPr>
            <w:tcW w:w="8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00" w:type="dxa"/>
            <w:vAlign w:val="bottom"/>
            <w:gridSpan w:val="11"/>
            <w:vMerge w:val="continue"/>
          </w:tcPr>
          <w:p>
            <w:pPr>
              <w:spacing w:after="0"/>
              <w:rPr>
                <w:sz w:val="9"/>
                <w:szCs w:val="9"/>
                <w:color w:val="auto"/>
              </w:rPr>
            </w:pPr>
          </w:p>
        </w:tc>
        <w:tc>
          <w:tcPr>
            <w:tcW w:w="6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vMerge w:val="restart"/>
          </w:tcPr>
          <w:p>
            <w:pPr>
              <w:spacing w:after="0"/>
              <w:rPr>
                <w:sz w:val="9"/>
                <w:szCs w:val="9"/>
                <w:color w:val="auto"/>
              </w:rPr>
            </w:pPr>
          </w:p>
        </w:tc>
        <w:tc>
          <w:tcPr>
            <w:tcW w:w="11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20"/>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9"/>
                <w:szCs w:val="19"/>
                <w:color w:val="auto"/>
              </w:rPr>
            </w:pPr>
          </w:p>
        </w:tc>
        <w:tc>
          <w:tcPr>
            <w:tcW w:w="5760" w:type="dxa"/>
            <w:vAlign w:val="bottom"/>
            <w:gridSpan w:val="13"/>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Agreement and Plan of Merger dated as of March 6, 2000, by and among the</w:t>
              </w:r>
            </w:hyperlink>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4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w w:val="99"/>
              </w:rPr>
              <w:t>3/8/00</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6"/>
          </w:tcPr>
          <w:p>
            <w:pPr>
              <w:spacing w:after="0" w:line="153" w:lineRule="exact"/>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Registrant, Nickel Acquisition Corporation and Network Solutions, Inc.</w:t>
              </w:r>
            </w:hyperlink>
          </w:p>
        </w:tc>
        <w:tc>
          <w:tcPr>
            <w:tcW w:w="340" w:type="dxa"/>
            <w:vAlign w:val="bottom"/>
            <w:tcBorders>
              <w:top w:val="single" w:sz="8" w:color="0000FF"/>
            </w:tcBorders>
            <w:gridSpan w:val="6"/>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23"/>
                <w:szCs w:val="23"/>
                <w:color w:val="auto"/>
              </w:rPr>
            </w:pPr>
          </w:p>
        </w:tc>
        <w:tc>
          <w:tcPr>
            <w:tcW w:w="5760" w:type="dxa"/>
            <w:vAlign w:val="bottom"/>
            <w:gridSpan w:val="13"/>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Restated Certificate of Incorporation of the Registrant.</w:t>
              </w:r>
            </w:hyperlink>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w w:val="98"/>
              </w:rPr>
              <w:t>2/17/17</w:t>
            </w: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22"/>
                <w:szCs w:val="22"/>
                <w:color w:val="auto"/>
              </w:rPr>
            </w:pPr>
          </w:p>
        </w:tc>
        <w:tc>
          <w:tcPr>
            <w:tcW w:w="176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8"/>
                <w:szCs w:val="18"/>
                <w:color w:val="0000FF"/>
                <w:w w:val="96"/>
              </w:rPr>
            </w:pPr>
            <w:hyperlink r:id="rId72">
              <w:r>
                <w:rPr>
                  <w:rFonts w:ascii="Times New Roman" w:cs="Times New Roman" w:eastAsia="Times New Roman" w:hAnsi="Times New Roman"/>
                  <w:sz w:val="18"/>
                  <w:szCs w:val="18"/>
                  <w:color w:val="0000FF"/>
                  <w:w w:val="96"/>
                </w:rPr>
                <w:t>Bylaws of VeriSign, Inc.</w:t>
              </w:r>
            </w:hyperlink>
          </w:p>
        </w:tc>
        <w:tc>
          <w:tcPr>
            <w:tcW w:w="2120" w:type="dxa"/>
            <w:vAlign w:val="bottom"/>
            <w:tcBorders>
              <w:top w:val="single" w:sz="8" w:color="0000FF"/>
            </w:tcBorders>
            <w:gridSpan w:val="3"/>
          </w:tcPr>
          <w:p>
            <w:pPr>
              <w:spacing w:after="0"/>
              <w:rPr>
                <w:sz w:val="22"/>
                <w:szCs w:val="22"/>
                <w:color w:val="auto"/>
              </w:rPr>
            </w:pPr>
          </w:p>
        </w:tc>
        <w:tc>
          <w:tcPr>
            <w:tcW w:w="1880" w:type="dxa"/>
            <w:vAlign w:val="bottom"/>
            <w:gridSpan w:val="8"/>
          </w:tcPr>
          <w:p>
            <w:pPr>
              <w:spacing w:after="0"/>
              <w:rPr>
                <w:sz w:val="22"/>
                <w:szCs w:val="22"/>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w w:val="98"/>
              </w:rPr>
              <w:t>2/19/21</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22"/>
                <w:szCs w:val="22"/>
                <w:color w:val="auto"/>
              </w:rPr>
            </w:pPr>
          </w:p>
        </w:tc>
        <w:tc>
          <w:tcPr>
            <w:tcW w:w="5760" w:type="dxa"/>
            <w:vAlign w:val="bottom"/>
            <w:gridSpan w:val="13"/>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Indenture, dated as of April 16, 2013, between VeriSign, Inc., each of the</w:t>
              </w:r>
            </w:hyperlink>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4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w w:val="98"/>
              </w:rPr>
              <w:t>4/17/13</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0" w:type="dxa"/>
            <w:vAlign w:val="bottom"/>
            <w:tcBorders>
              <w:top w:val="single" w:sz="8" w:color="0000FF"/>
            </w:tcBorders>
            <w:gridSpan w:val="7"/>
          </w:tcPr>
          <w:p>
            <w:pPr>
              <w:spacing w:after="0" w:line="153" w:lineRule="exact"/>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subsidiary guarantors party thereto and U.S. Bank National Association,</w:t>
              </w:r>
            </w:hyperlink>
          </w:p>
        </w:tc>
        <w:tc>
          <w:tcPr>
            <w:tcW w:w="560" w:type="dxa"/>
            <w:vAlign w:val="bottom"/>
            <w:gridSpan w:val="6"/>
          </w:tcPr>
          <w:p>
            <w:pPr>
              <w:spacing w:after="0" w:line="153" w:lineRule="exact"/>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as</w:t>
              </w:r>
            </w:hyperlink>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40" w:type="dxa"/>
            <w:vAlign w:val="bottom"/>
            <w:tcBorders>
              <w:top w:val="single" w:sz="8" w:color="0000FF"/>
            </w:tcBorders>
            <w:gridSpan w:val="10"/>
          </w:tcPr>
          <w:p>
            <w:pPr>
              <w:spacing w:after="0" w:line="153" w:lineRule="exact"/>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trustee.</w:t>
              </w:r>
            </w:hyperlink>
          </w:p>
        </w:tc>
        <w:tc>
          <w:tcPr>
            <w:tcW w:w="8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23"/>
                <w:szCs w:val="23"/>
                <w:color w:val="auto"/>
              </w:rPr>
            </w:pPr>
          </w:p>
        </w:tc>
        <w:tc>
          <w:tcPr>
            <w:tcW w:w="5760" w:type="dxa"/>
            <w:vAlign w:val="bottom"/>
            <w:gridSpan w:val="13"/>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Indenture dated as of March 27, 2015 between VeriSign, Inc. and U.S. Bank</w:t>
              </w:r>
            </w:hyperlink>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4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w w:val="98"/>
              </w:rPr>
              <w:t>3/30/15</w:t>
            </w: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4"/>
          </w:tcPr>
          <w:p>
            <w:pPr>
              <w:spacing w:after="0" w:line="153" w:lineRule="exact"/>
              <w:rPr>
                <w:rFonts w:ascii="Times New Roman" w:cs="Times New Roman" w:eastAsia="Times New Roman" w:hAnsi="Times New Roman"/>
                <w:sz w:val="17"/>
                <w:szCs w:val="17"/>
                <w:color w:val="0000FF"/>
              </w:rPr>
            </w:pPr>
            <w:hyperlink r:id="rId74">
              <w:r>
                <w:rPr>
                  <w:rFonts w:ascii="Times New Roman" w:cs="Times New Roman" w:eastAsia="Times New Roman" w:hAnsi="Times New Roman"/>
                  <w:sz w:val="17"/>
                  <w:szCs w:val="17"/>
                  <w:color w:val="0000FF"/>
                </w:rPr>
                <w:t>National Association, as trustee.</w:t>
              </w:r>
            </w:hyperlink>
          </w:p>
        </w:tc>
        <w:tc>
          <w:tcPr>
            <w:tcW w:w="3100" w:type="dxa"/>
            <w:vAlign w:val="bottom"/>
            <w:tcBorders>
              <w:top w:val="single" w:sz="8" w:color="0000FF"/>
            </w:tcBorders>
            <w:gridSpan w:val="7"/>
          </w:tcPr>
          <w:p>
            <w:pPr>
              <w:spacing w:after="0"/>
              <w:rPr>
                <w:sz w:val="13"/>
                <w:szCs w:val="13"/>
                <w:color w:val="auto"/>
              </w:rPr>
            </w:pPr>
          </w:p>
        </w:tc>
        <w:tc>
          <w:tcPr>
            <w:tcW w:w="34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23"/>
                <w:szCs w:val="23"/>
                <w:color w:val="auto"/>
              </w:rPr>
            </w:pPr>
          </w:p>
        </w:tc>
        <w:tc>
          <w:tcPr>
            <w:tcW w:w="5760" w:type="dxa"/>
            <w:vAlign w:val="bottom"/>
            <w:gridSpan w:val="13"/>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Indenture, dated as of July 5, 2017, between VeriSign, Inc. and U.S. Bank</w:t>
              </w:r>
            </w:hyperlink>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4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w w:val="99"/>
              </w:rPr>
              <w:t>7/5/17</w:t>
            </w: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4"/>
          </w:tcPr>
          <w:p>
            <w:pPr>
              <w:spacing w:after="0" w:line="153" w:lineRule="exact"/>
              <w:rPr>
                <w:rFonts w:ascii="Times New Roman" w:cs="Times New Roman" w:eastAsia="Times New Roman" w:hAnsi="Times New Roman"/>
                <w:sz w:val="17"/>
                <w:szCs w:val="17"/>
                <w:color w:val="0000FF"/>
              </w:rPr>
            </w:pPr>
            <w:hyperlink r:id="rId75">
              <w:r>
                <w:rPr>
                  <w:rFonts w:ascii="Times New Roman" w:cs="Times New Roman" w:eastAsia="Times New Roman" w:hAnsi="Times New Roman"/>
                  <w:sz w:val="17"/>
                  <w:szCs w:val="17"/>
                  <w:color w:val="0000FF"/>
                </w:rPr>
                <w:t>National Association, as trustee.</w:t>
              </w:r>
            </w:hyperlink>
          </w:p>
        </w:tc>
        <w:tc>
          <w:tcPr>
            <w:tcW w:w="2920" w:type="dxa"/>
            <w:vAlign w:val="bottom"/>
            <w:tcBorders>
              <w:top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23"/>
                <w:szCs w:val="23"/>
                <w:color w:val="auto"/>
              </w:rPr>
            </w:pPr>
          </w:p>
        </w:tc>
        <w:tc>
          <w:tcPr>
            <w:tcW w:w="5760" w:type="dxa"/>
            <w:vAlign w:val="bottom"/>
            <w:gridSpan w:val="13"/>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Indenture, dated as of June 8, 2021, between VeriSign, Inc. and U.S. Bank</w:t>
              </w:r>
            </w:hyperlink>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4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w w:val="96"/>
              </w:rPr>
              <w:t>6/8/2021</w:t>
            </w: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80" w:type="dxa"/>
            <w:vAlign w:val="bottom"/>
            <w:tcBorders>
              <w:top w:val="single" w:sz="8" w:color="0000FF"/>
            </w:tcBorders>
            <w:gridSpan w:val="9"/>
          </w:tcPr>
          <w:p>
            <w:pPr>
              <w:spacing w:after="0" w:line="153" w:lineRule="exact"/>
              <w:rPr>
                <w:rFonts w:ascii="Times New Roman" w:cs="Times New Roman" w:eastAsia="Times New Roman" w:hAnsi="Times New Roman"/>
                <w:sz w:val="17"/>
                <w:szCs w:val="17"/>
                <w:color w:val="0000FF"/>
              </w:rPr>
            </w:pPr>
            <w:hyperlink r:id="rId76">
              <w:r>
                <w:rPr>
                  <w:rFonts w:ascii="Times New Roman" w:cs="Times New Roman" w:eastAsia="Times New Roman" w:hAnsi="Times New Roman"/>
                  <w:sz w:val="17"/>
                  <w:szCs w:val="17"/>
                  <w:color w:val="0000FF"/>
                </w:rPr>
                <w:t>National Association, as trustee.</w:t>
              </w:r>
            </w:hyperlink>
          </w:p>
        </w:tc>
        <w:tc>
          <w:tcPr>
            <w:tcW w:w="48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6"/>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Borders>
              <w:top w:val="single" w:sz="8" w:color="0000FF"/>
            </w:tcBorders>
            <w:gridSpan w:val="3"/>
          </w:tcPr>
          <w:p>
            <w:pPr>
              <w:spacing w:after="0"/>
              <w:rPr>
                <w:sz w:val="24"/>
                <w:szCs w:val="24"/>
                <w:color w:val="auto"/>
              </w:rPr>
            </w:pPr>
          </w:p>
        </w:tc>
        <w:tc>
          <w:tcPr>
            <w:tcW w:w="28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7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740" w:type="dxa"/>
            <w:vAlign w:val="bottom"/>
            <w:gridSpan w:val="27"/>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w w:val="97"/>
              </w:rPr>
              <w:t>Incorporated by Reference</w:t>
            </w:r>
          </w:p>
        </w:tc>
        <w:tc>
          <w:tcPr>
            <w:tcW w:w="120" w:type="dxa"/>
            <w:vAlign w:val="bottom"/>
          </w:tcPr>
          <w:p>
            <w:pPr>
              <w:spacing w:after="0"/>
              <w:rPr>
                <w:sz w:val="20"/>
                <w:szCs w:val="2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13"/>
        </w:trPr>
        <w:tc>
          <w:tcPr>
            <w:tcW w:w="88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740" w:type="dxa"/>
            <w:vAlign w:val="bottom"/>
            <w:gridSpan w:val="27"/>
            <w:vMerge w:val="continue"/>
          </w:tcPr>
          <w:p>
            <w:pPr>
              <w:spacing w:after="0"/>
              <w:rPr>
                <w:sz w:val="9"/>
                <w:szCs w:val="9"/>
                <w:color w:val="auto"/>
              </w:rPr>
            </w:pP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0"/>
        </w:trPr>
        <w:tc>
          <w:tcPr>
            <w:tcW w:w="760" w:type="dxa"/>
            <w:vAlign w:val="bottom"/>
            <w:tcBorders>
              <w:top w:val="single" w:sz="8" w:color="auto"/>
            </w:tcBorders>
          </w:tcPr>
          <w:p>
            <w:pPr>
              <w:ind w:left="20"/>
              <w:spacing w:after="0" w:line="180" w:lineRule="exact"/>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15"/>
                <w:szCs w:val="15"/>
                <w:color w:val="auto"/>
              </w:rPr>
            </w:pPr>
          </w:p>
        </w:tc>
        <w:tc>
          <w:tcPr>
            <w:tcW w:w="5760" w:type="dxa"/>
            <w:vAlign w:val="bottom"/>
            <w:tcBorders>
              <w:top w:val="single" w:sz="8" w:color="auto"/>
            </w:tcBorders>
            <w:gridSpan w:val="33"/>
          </w:tcPr>
          <w:p>
            <w:pPr>
              <w:spacing w:after="0" w:line="180"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First Supplemental Indenture, dated as of June 8, 2021, between VeriSign, Inc.</w:t>
              </w:r>
            </w:hyperlink>
          </w:p>
        </w:tc>
        <w:tc>
          <w:tcPr>
            <w:tcW w:w="720" w:type="dxa"/>
            <w:vAlign w:val="bottom"/>
            <w:tcBorders>
              <w:top w:val="single" w:sz="8" w:color="auto"/>
            </w:tcBorders>
          </w:tcPr>
          <w:p>
            <w:pPr>
              <w:ind w:left="20"/>
              <w:spacing w:after="0" w:line="180" w:lineRule="exact"/>
              <w:rPr>
                <w:sz w:val="20"/>
                <w:szCs w:val="20"/>
                <w:color w:val="auto"/>
              </w:rPr>
            </w:pPr>
            <w:r>
              <w:rPr>
                <w:rFonts w:ascii="Times New Roman" w:cs="Times New Roman" w:eastAsia="Times New Roman" w:hAnsi="Times New Roman"/>
                <w:sz w:val="18"/>
                <w:szCs w:val="18"/>
                <w:color w:val="auto"/>
              </w:rPr>
              <w:t>8-K</w:t>
            </w:r>
          </w:p>
        </w:tc>
        <w:tc>
          <w:tcPr>
            <w:tcW w:w="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color w:val="auto"/>
                <w:w w:val="96"/>
              </w:rPr>
              <w:t>6/8/2021</w:t>
            </w:r>
          </w:p>
        </w:tc>
        <w:tc>
          <w:tcPr>
            <w:tcW w:w="120" w:type="dxa"/>
            <w:vAlign w:val="bottom"/>
          </w:tcPr>
          <w:p>
            <w:pPr>
              <w:spacing w:after="0"/>
              <w:rPr>
                <w:sz w:val="15"/>
                <w:szCs w:val="15"/>
                <w:color w:val="auto"/>
              </w:rPr>
            </w:pPr>
          </w:p>
        </w:tc>
        <w:tc>
          <w:tcPr>
            <w:tcW w:w="154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80" w:type="dxa"/>
            <w:vAlign w:val="bottom"/>
            <w:tcBorders>
              <w:top w:val="single" w:sz="8" w:color="0000FF"/>
              <w:bottom w:val="single" w:sz="8" w:color="0000FF"/>
            </w:tcBorders>
            <w:gridSpan w:val="10"/>
          </w:tcPr>
          <w:p>
            <w:pPr>
              <w:spacing w:after="0" w:line="153" w:lineRule="exact"/>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and U.S. Bank National Association, as trustee.</w:t>
              </w:r>
            </w:hyperlink>
          </w:p>
        </w:tc>
        <w:tc>
          <w:tcPr>
            <w:tcW w:w="224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23"/>
                <w:szCs w:val="23"/>
                <w:color w:val="auto"/>
              </w:rPr>
            </w:pPr>
          </w:p>
        </w:tc>
        <w:tc>
          <w:tcPr>
            <w:tcW w:w="5760" w:type="dxa"/>
            <w:vAlign w:val="bottom"/>
            <w:gridSpan w:val="33"/>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Description of Securities of the Registrant</w:t>
              </w:r>
            </w:hyperlink>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gridSpan w:val="3"/>
          </w:tcPr>
          <w:p>
            <w:pPr>
              <w:jc w:val="center"/>
              <w:ind w:left="131"/>
              <w:spacing w:after="0"/>
              <w:rPr>
                <w:sz w:val="20"/>
                <w:szCs w:val="20"/>
                <w:color w:val="auto"/>
              </w:rPr>
            </w:pPr>
            <w:r>
              <w:rPr>
                <w:rFonts w:ascii="Times New Roman" w:cs="Times New Roman" w:eastAsia="Times New Roman" w:hAnsi="Times New Roman"/>
                <w:sz w:val="18"/>
                <w:szCs w:val="18"/>
                <w:color w:val="auto"/>
                <w:w w:val="98"/>
              </w:rPr>
              <w:t>2/19/21</w:t>
            </w: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tcPr>
          <w:p>
            <w:pPr>
              <w:spacing w:after="0"/>
              <w:rPr>
                <w:sz w:val="22"/>
                <w:szCs w:val="22"/>
                <w:color w:val="auto"/>
              </w:rPr>
            </w:pPr>
          </w:p>
        </w:tc>
        <w:tc>
          <w:tcPr>
            <w:tcW w:w="5760" w:type="dxa"/>
            <w:vAlign w:val="bottom"/>
            <w:gridSpan w:val="33"/>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Amended and Restated 2007 Employee Stock Purchase Plan, as adopted</w:t>
              </w:r>
            </w:hyperlink>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DEF 14A</w:t>
            </w:r>
          </w:p>
        </w:tc>
        <w:tc>
          <w:tcPr>
            <w:tcW w:w="1200" w:type="dxa"/>
            <w:vAlign w:val="bottom"/>
            <w:gridSpan w:val="3"/>
          </w:tcPr>
          <w:p>
            <w:pPr>
              <w:jc w:val="center"/>
              <w:ind w:left="131"/>
              <w:spacing w:after="0"/>
              <w:rPr>
                <w:sz w:val="20"/>
                <w:szCs w:val="20"/>
                <w:color w:val="auto"/>
              </w:rPr>
            </w:pPr>
            <w:r>
              <w:rPr>
                <w:rFonts w:ascii="Times New Roman" w:cs="Times New Roman" w:eastAsia="Times New Roman" w:hAnsi="Times New Roman"/>
                <w:sz w:val="18"/>
                <w:szCs w:val="18"/>
                <w:color w:val="auto"/>
                <w:w w:val="98"/>
              </w:rPr>
              <w:t>4/12/17</w:t>
            </w:r>
          </w:p>
        </w:tc>
        <w:tc>
          <w:tcPr>
            <w:tcW w:w="120" w:type="dxa"/>
            <w:vAlign w:val="bottom"/>
          </w:tcPr>
          <w:p>
            <w:pPr>
              <w:spacing w:after="0"/>
              <w:rPr>
                <w:sz w:val="22"/>
                <w:szCs w:val="22"/>
                <w:color w:val="auto"/>
              </w:rPr>
            </w:pPr>
          </w:p>
        </w:tc>
        <w:tc>
          <w:tcPr>
            <w:tcW w:w="16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Appendix A</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60" w:type="dxa"/>
            <w:vAlign w:val="bottom"/>
            <w:tcBorders>
              <w:top w:val="single" w:sz="8" w:color="0000FF"/>
            </w:tcBorders>
            <w:gridSpan w:val="17"/>
          </w:tcPr>
          <w:p>
            <w:pPr>
              <w:spacing w:after="0" w:line="153" w:lineRule="exact"/>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 xml:space="preserve">August 30, 2007, and amended May 25, 2017. </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Pr>
          <w:p>
            <w:pPr>
              <w:spacing w:after="0"/>
              <w:rPr>
                <w:sz w:val="23"/>
                <w:szCs w:val="23"/>
                <w:color w:val="auto"/>
              </w:rPr>
            </w:pPr>
          </w:p>
        </w:tc>
        <w:tc>
          <w:tcPr>
            <w:tcW w:w="5760" w:type="dxa"/>
            <w:vAlign w:val="bottom"/>
            <w:gridSpan w:val="33"/>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Amendment No. Thirty (30) to Cooperative Agreement - Special Awards</w:t>
              </w:r>
            </w:hyperlink>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gridSpan w:val="3"/>
          </w:tcPr>
          <w:p>
            <w:pPr>
              <w:jc w:val="center"/>
              <w:ind w:left="131"/>
              <w:spacing w:after="0"/>
              <w:rPr>
                <w:sz w:val="20"/>
                <w:szCs w:val="20"/>
                <w:color w:val="auto"/>
              </w:rPr>
            </w:pPr>
            <w:r>
              <w:rPr>
                <w:rFonts w:ascii="Times New Roman" w:cs="Times New Roman" w:eastAsia="Times New Roman" w:hAnsi="Times New Roman"/>
                <w:sz w:val="18"/>
                <w:szCs w:val="18"/>
                <w:color w:val="auto"/>
                <w:w w:val="98"/>
              </w:rPr>
              <w:t>7/12/07</w:t>
            </w: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0" w:type="dxa"/>
            <w:vAlign w:val="bottom"/>
            <w:tcBorders>
              <w:top w:val="single" w:sz="8" w:color="0000FF"/>
            </w:tcBorders>
            <w:gridSpan w:val="19"/>
          </w:tcPr>
          <w:p>
            <w:pPr>
              <w:spacing w:after="0" w:line="153" w:lineRule="exact"/>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Conditions NCR-92-18742, between VeriSign and U.S. Department of</w:t>
              </w:r>
            </w:hyperlink>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Borders>
              <w:top w:val="single" w:sz="8" w:color="0000FF"/>
              <w:bottom w:val="single" w:sz="8" w:color="0000FF"/>
            </w:tcBorders>
            <w:gridSpan w:val="5"/>
          </w:tcPr>
          <w:p>
            <w:pPr>
              <w:spacing w:after="0" w:line="153" w:lineRule="exact"/>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Commerce managers.</w:t>
              </w:r>
            </w:hyperlink>
          </w:p>
        </w:tc>
        <w:tc>
          <w:tcPr>
            <w:tcW w:w="3460" w:type="dxa"/>
            <w:vAlign w:val="bottom"/>
            <w:tcBorders>
              <w:top w:val="single" w:sz="8" w:color="0000FF"/>
            </w:tcBorders>
            <w:gridSpan w:val="9"/>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Pr>
          <w:p>
            <w:pPr>
              <w:spacing w:after="0"/>
              <w:rPr>
                <w:sz w:val="23"/>
                <w:szCs w:val="23"/>
                <w:color w:val="auto"/>
              </w:rPr>
            </w:pPr>
          </w:p>
        </w:tc>
        <w:tc>
          <w:tcPr>
            <w:tcW w:w="5760" w:type="dxa"/>
            <w:vAlign w:val="bottom"/>
            <w:gridSpan w:val="33"/>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Form of Amended and Restated Change-in-Control and Retention Agreement</w:t>
              </w:r>
            </w:hyperlink>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200" w:type="dxa"/>
            <w:vAlign w:val="bottom"/>
            <w:gridSpan w:val="3"/>
          </w:tcPr>
          <w:p>
            <w:pPr>
              <w:jc w:val="center"/>
              <w:ind w:left="131"/>
              <w:spacing w:after="0"/>
              <w:rPr>
                <w:sz w:val="20"/>
                <w:szCs w:val="20"/>
                <w:color w:val="auto"/>
              </w:rPr>
            </w:pPr>
            <w:r>
              <w:rPr>
                <w:rFonts w:ascii="Times New Roman" w:cs="Times New Roman" w:eastAsia="Times New Roman" w:hAnsi="Times New Roman"/>
                <w:sz w:val="18"/>
                <w:szCs w:val="18"/>
                <w:color w:val="auto"/>
                <w:w w:val="98"/>
              </w:rPr>
              <w:t>7/27/17</w:t>
            </w: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20" w:type="dxa"/>
            <w:vAlign w:val="bottom"/>
            <w:tcBorders>
              <w:top w:val="single" w:sz="8" w:color="0000FF"/>
            </w:tcBorders>
            <w:gridSpan w:val="24"/>
          </w:tcPr>
          <w:p>
            <w:pPr>
              <w:spacing w:after="0" w:line="153" w:lineRule="exact"/>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 xml:space="preserve">[CEO Form of Agreement]. </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10.04</w:t>
            </w:r>
          </w:p>
        </w:tc>
        <w:tc>
          <w:tcPr>
            <w:tcW w:w="120" w:type="dxa"/>
            <w:vAlign w:val="bottom"/>
          </w:tcPr>
          <w:p>
            <w:pPr>
              <w:spacing w:after="0"/>
              <w:rPr>
                <w:sz w:val="23"/>
                <w:szCs w:val="23"/>
                <w:color w:val="auto"/>
              </w:rPr>
            </w:pPr>
          </w:p>
        </w:tc>
        <w:tc>
          <w:tcPr>
            <w:tcW w:w="5760" w:type="dxa"/>
            <w:vAlign w:val="bottom"/>
            <w:gridSpan w:val="33"/>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 xml:space="preserve">Amended and Restated Change-in-Control and Retention Agreement. </w:t>
              </w:r>
            </w:hyperlink>
            <w:r>
              <w:rPr>
                <w:rFonts w:ascii="Times New Roman" w:cs="Times New Roman" w:eastAsia="Times New Roman" w:hAnsi="Times New Roman"/>
                <w:sz w:val="18"/>
                <w:szCs w:val="18"/>
                <w:color w:val="000000"/>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200" w:type="dxa"/>
            <w:vAlign w:val="bottom"/>
            <w:gridSpan w:val="3"/>
          </w:tcPr>
          <w:p>
            <w:pPr>
              <w:jc w:val="center"/>
              <w:ind w:left="131"/>
              <w:spacing w:after="0"/>
              <w:rPr>
                <w:sz w:val="20"/>
                <w:szCs w:val="20"/>
                <w:color w:val="auto"/>
              </w:rPr>
            </w:pPr>
            <w:r>
              <w:rPr>
                <w:rFonts w:ascii="Times New Roman" w:cs="Times New Roman" w:eastAsia="Times New Roman" w:hAnsi="Times New Roman"/>
                <w:sz w:val="18"/>
                <w:szCs w:val="18"/>
                <w:color w:val="auto"/>
                <w:w w:val="98"/>
              </w:rPr>
              <w:t>7/27/17</w:t>
            </w: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200" w:type="dxa"/>
            <w:vAlign w:val="bottom"/>
            <w:gridSpan w:val="3"/>
            <w:vMerge w:val="restart"/>
          </w:tcPr>
          <w:p>
            <w:pPr>
              <w:jc w:val="center"/>
              <w:ind w:left="131"/>
              <w:spacing w:after="0"/>
              <w:rPr>
                <w:sz w:val="20"/>
                <w:szCs w:val="20"/>
                <w:color w:val="auto"/>
              </w:rPr>
            </w:pPr>
            <w:r>
              <w:rPr>
                <w:rFonts w:ascii="Times New Roman" w:cs="Times New Roman" w:eastAsia="Times New Roman" w:hAnsi="Times New Roman"/>
                <w:sz w:val="18"/>
                <w:szCs w:val="18"/>
                <w:color w:val="auto"/>
                <w:w w:val="98"/>
              </w:rPr>
              <w:t>7/27/12</w:t>
            </w:r>
          </w:p>
        </w:tc>
        <w:tc>
          <w:tcPr>
            <w:tcW w:w="120" w:type="dxa"/>
            <w:vAlign w:val="bottom"/>
          </w:tcPr>
          <w:p>
            <w:pPr>
              <w:spacing w:after="0" w:line="20" w:lineRule="exact"/>
              <w:rPr>
                <w:sz w:val="1"/>
                <w:szCs w:val="1"/>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76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53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8"/>
              </w:rPr>
            </w:pPr>
            <w:hyperlink r:id="rId85">
              <w:r>
                <w:rPr>
                  <w:rFonts w:ascii="Times New Roman" w:cs="Times New Roman" w:eastAsia="Times New Roman" w:hAnsi="Times New Roman"/>
                  <w:sz w:val="18"/>
                  <w:szCs w:val="18"/>
                  <w:color w:val="0000FF"/>
                  <w:w w:val="98"/>
                </w:rPr>
                <w:t>VeriSign, Inc. 2006 Equity Incentive Plan Form of Non-Employee Director</w:t>
              </w:r>
            </w:hyperlink>
          </w:p>
        </w:tc>
        <w:tc>
          <w:tcPr>
            <w:tcW w:w="400" w:type="dxa"/>
            <w:vAlign w:val="bottom"/>
            <w:gridSpan w:val="13"/>
          </w:tcPr>
          <w:p>
            <w:pPr>
              <w:spacing w:after="0"/>
              <w:rPr>
                <w:sz w:val="23"/>
                <w:szCs w:val="23"/>
                <w:color w:val="auto"/>
              </w:rPr>
            </w:pPr>
          </w:p>
        </w:tc>
        <w:tc>
          <w:tcPr>
            <w:tcW w:w="720" w:type="dxa"/>
            <w:vAlign w:val="bottom"/>
            <w:vMerge w:val="continue"/>
          </w:tcPr>
          <w:p>
            <w:pPr>
              <w:spacing w:after="0"/>
              <w:rPr>
                <w:sz w:val="23"/>
                <w:szCs w:val="23"/>
                <w:color w:val="auto"/>
              </w:rPr>
            </w:pPr>
          </w:p>
        </w:tc>
        <w:tc>
          <w:tcPr>
            <w:tcW w:w="1200" w:type="dxa"/>
            <w:vAlign w:val="bottom"/>
            <w:gridSpan w:val="3"/>
            <w:vMerge w:val="continue"/>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60" w:type="dxa"/>
            <w:vAlign w:val="bottom"/>
            <w:gridSpan w:val="33"/>
          </w:tcPr>
          <w:p>
            <w:pPr>
              <w:spacing w:after="0" w:line="193"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 xml:space="preserve">Restricted Stock Unit Agreement. </w:t>
              </w:r>
              <w:r>
                <w:rPr>
                  <w:rFonts w:ascii="Times New Roman" w:cs="Times New Roman" w:eastAsia="Times New Roman" w:hAnsi="Times New Roman"/>
                  <w:sz w:val="18"/>
                  <w:szCs w:val="18"/>
                  <w:color w:val="000000"/>
                </w:rPr>
                <w:t>+</w:t>
              </w:r>
            </w:hyperlink>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60" w:type="dxa"/>
            <w:vAlign w:val="bottom"/>
            <w:gridSpan w:val="33"/>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Purchase and Sale Agreement for 12061 Bluemont Way Reston, Virginia</w:t>
              </w:r>
            </w:hyperlink>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gridSpan w:val="3"/>
          </w:tcPr>
          <w:p>
            <w:pPr>
              <w:jc w:val="center"/>
              <w:ind w:left="131"/>
              <w:spacing w:after="0"/>
              <w:rPr>
                <w:sz w:val="20"/>
                <w:szCs w:val="20"/>
                <w:color w:val="auto"/>
              </w:rPr>
            </w:pPr>
            <w:r>
              <w:rPr>
                <w:rFonts w:ascii="Times New Roman" w:cs="Times New Roman" w:eastAsia="Times New Roman" w:hAnsi="Times New Roman"/>
                <w:sz w:val="18"/>
                <w:szCs w:val="18"/>
                <w:color w:val="auto"/>
                <w:w w:val="99"/>
              </w:rPr>
              <w:t>9/7/11</w:t>
            </w:r>
          </w:p>
        </w:tc>
        <w:tc>
          <w:tcPr>
            <w:tcW w:w="1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440" w:type="dxa"/>
            <w:vAlign w:val="bottom"/>
            <w:gridSpan w:val="7"/>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60" w:type="dxa"/>
            <w:vAlign w:val="bottom"/>
            <w:gridSpan w:val="33"/>
          </w:tcPr>
          <w:p>
            <w:pPr>
              <w:spacing w:after="0" w:line="153"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between 12061 Bluemont Owner, LLC, a Delaware limited liability company,</w:t>
              </w:r>
            </w:hyperlink>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tcPr>
          <w:p>
            <w:pPr>
              <w:spacing w:after="0"/>
              <w:rPr>
                <w:sz w:val="13"/>
                <w:szCs w:val="13"/>
                <w:color w:val="auto"/>
              </w:rPr>
            </w:pPr>
          </w:p>
        </w:tc>
        <w:tc>
          <w:tcPr>
            <w:tcW w:w="5540" w:type="dxa"/>
            <w:vAlign w:val="bottom"/>
            <w:tcBorders>
              <w:top w:val="single" w:sz="8" w:color="0000FF"/>
            </w:tcBorders>
            <w:gridSpan w:val="25"/>
          </w:tcPr>
          <w:p>
            <w:pPr>
              <w:spacing w:after="0" w:line="153"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as Seller and VeriSign, Inc., a Delaware corporation, as Purchaser Dated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140" w:type="dxa"/>
            <w:vAlign w:val="bottom"/>
            <w:tcBorders>
              <w:top w:val="single" w:sz="8" w:color="0000FF"/>
            </w:tcBorders>
            <w:gridSpan w:val="16"/>
          </w:tcPr>
          <w:p>
            <w:pPr>
              <w:spacing w:after="0" w:line="16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August 18, 2011.</w:t>
              </w:r>
            </w:hyperlink>
          </w:p>
        </w:tc>
        <w:tc>
          <w:tcPr>
            <w:tcW w:w="26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gridSpan w:val="3"/>
            <w:vMerge w:val="restart"/>
          </w:tcPr>
          <w:p>
            <w:pPr>
              <w:jc w:val="center"/>
              <w:ind w:left="131"/>
              <w:spacing w:after="0"/>
              <w:rPr>
                <w:sz w:val="20"/>
                <w:szCs w:val="20"/>
                <w:color w:val="auto"/>
              </w:rPr>
            </w:pPr>
            <w:r>
              <w:rPr>
                <w:rFonts w:ascii="Times New Roman" w:cs="Times New Roman" w:eastAsia="Times New Roman" w:hAnsi="Times New Roman"/>
                <w:sz w:val="18"/>
                <w:szCs w:val="18"/>
                <w:color w:val="auto"/>
                <w:w w:val="96"/>
              </w:rPr>
              <w:t>11/30/12</w:t>
            </w:r>
          </w:p>
        </w:tc>
        <w:tc>
          <w:tcPr>
            <w:tcW w:w="120" w:type="dxa"/>
            <w:vAlign w:val="bottom"/>
          </w:tcPr>
          <w:p>
            <w:pPr>
              <w:spacing w:after="0" w:line="20" w:lineRule="exact"/>
              <w:rPr>
                <w:sz w:val="1"/>
                <w:szCs w:val="1"/>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8"/>
              </w:rPr>
            </w:pPr>
            <w:hyperlink r:id="rId87">
              <w:r>
                <w:rPr>
                  <w:rFonts w:ascii="Times New Roman" w:cs="Times New Roman" w:eastAsia="Times New Roman" w:hAnsi="Times New Roman"/>
                  <w:sz w:val="18"/>
                  <w:szCs w:val="18"/>
                  <w:color w:val="0000FF"/>
                  <w:w w:val="98"/>
                </w:rPr>
                <w:t>Registry Agreement between VeriSign, Inc. and the Internet Corporation for</w:t>
              </w:r>
            </w:hyperlink>
          </w:p>
        </w:tc>
        <w:tc>
          <w:tcPr>
            <w:tcW w:w="340" w:type="dxa"/>
            <w:vAlign w:val="bottom"/>
            <w:gridSpan w:val="11"/>
          </w:tcPr>
          <w:p>
            <w:pPr>
              <w:spacing w:after="0"/>
              <w:rPr>
                <w:sz w:val="24"/>
                <w:szCs w:val="24"/>
                <w:color w:val="auto"/>
              </w:rPr>
            </w:pPr>
          </w:p>
        </w:tc>
        <w:tc>
          <w:tcPr>
            <w:tcW w:w="720" w:type="dxa"/>
            <w:vAlign w:val="bottom"/>
            <w:vMerge w:val="continue"/>
          </w:tcPr>
          <w:p>
            <w:pPr>
              <w:spacing w:after="0"/>
              <w:rPr>
                <w:sz w:val="24"/>
                <w:szCs w:val="24"/>
                <w:color w:val="auto"/>
              </w:rPr>
            </w:pPr>
          </w:p>
        </w:tc>
        <w:tc>
          <w:tcPr>
            <w:tcW w:w="12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tcPr>
          <w:p>
            <w:pPr>
              <w:spacing w:after="0"/>
              <w:rPr>
                <w:sz w:val="16"/>
                <w:szCs w:val="16"/>
                <w:color w:val="auto"/>
              </w:rPr>
            </w:pPr>
          </w:p>
        </w:tc>
        <w:tc>
          <w:tcPr>
            <w:tcW w:w="4860" w:type="dxa"/>
            <w:vAlign w:val="bottom"/>
            <w:tcBorders>
              <w:bottom w:val="single" w:sz="8" w:color="0000FF"/>
            </w:tcBorders>
            <w:gridSpan w:val="12"/>
          </w:tcPr>
          <w:p>
            <w:pPr>
              <w:spacing w:after="0" w:line="193" w:lineRule="exact"/>
              <w:rPr>
                <w:rFonts w:ascii="Times New Roman" w:cs="Times New Roman" w:eastAsia="Times New Roman" w:hAnsi="Times New Roman"/>
                <w:sz w:val="18"/>
                <w:szCs w:val="18"/>
                <w:color w:val="0000FF"/>
                <w:w w:val="98"/>
              </w:rPr>
            </w:pPr>
            <w:hyperlink r:id="rId87">
              <w:r>
                <w:rPr>
                  <w:rFonts w:ascii="Times New Roman" w:cs="Times New Roman" w:eastAsia="Times New Roman" w:hAnsi="Times New Roman"/>
                  <w:sz w:val="18"/>
                  <w:szCs w:val="18"/>
                  <w:color w:val="0000FF"/>
                  <w:w w:val="98"/>
                </w:rPr>
                <w:t>Assigned Names and Numbers, entered into on November 29, 2012.</w:t>
              </w:r>
            </w:hyperlink>
          </w:p>
        </w:tc>
        <w:tc>
          <w:tcPr>
            <w:tcW w:w="900" w:type="dxa"/>
            <w:vAlign w:val="bottom"/>
            <w:gridSpan w:val="21"/>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540" w:type="dxa"/>
            <w:vAlign w:val="bottom"/>
            <w:gridSpan w:val="25"/>
            <w:vMerge w:val="restart"/>
          </w:tcPr>
          <w:p>
            <w:pPr>
              <w:spacing w:after="0"/>
              <w:rPr>
                <w:rFonts w:ascii="Times New Roman" w:cs="Times New Roman" w:eastAsia="Times New Roman" w:hAnsi="Times New Roman"/>
                <w:sz w:val="18"/>
                <w:szCs w:val="18"/>
                <w:color w:val="0000FF"/>
                <w:w w:val="98"/>
              </w:rPr>
            </w:pPr>
            <w:hyperlink r:id="rId88">
              <w:r>
                <w:rPr>
                  <w:rFonts w:ascii="Times New Roman" w:cs="Times New Roman" w:eastAsia="Times New Roman" w:hAnsi="Times New Roman"/>
                  <w:sz w:val="18"/>
                  <w:szCs w:val="18"/>
                  <w:color w:val="0000FF"/>
                  <w:w w:val="98"/>
                </w:rPr>
                <w:t>Amendment Number Thirty-Two (32) to the Cooperative Agreement between</w:t>
              </w:r>
            </w:hyperlink>
          </w:p>
        </w:tc>
        <w:tc>
          <w:tcPr>
            <w:tcW w:w="220" w:type="dxa"/>
            <w:vAlign w:val="bottom"/>
            <w:gridSpan w:val="8"/>
            <w:vMerge w:val="restart"/>
          </w:tcPr>
          <w:p>
            <w:pPr>
              <w:spacing w:after="0"/>
              <w:rPr>
                <w:sz w:val="19"/>
                <w:szCs w:val="19"/>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gridSpan w:val="3"/>
            <w:vMerge w:val="restart"/>
          </w:tcPr>
          <w:p>
            <w:pPr>
              <w:jc w:val="center"/>
              <w:ind w:left="131"/>
              <w:spacing w:after="0"/>
              <w:rPr>
                <w:sz w:val="20"/>
                <w:szCs w:val="20"/>
                <w:color w:val="auto"/>
              </w:rPr>
            </w:pPr>
            <w:r>
              <w:rPr>
                <w:rFonts w:ascii="Times New Roman" w:cs="Times New Roman" w:eastAsia="Times New Roman" w:hAnsi="Times New Roman"/>
                <w:sz w:val="18"/>
                <w:szCs w:val="18"/>
                <w:color w:val="auto"/>
                <w:w w:val="96"/>
              </w:rPr>
              <w:t>11/30/12</w:t>
            </w:r>
          </w:p>
        </w:tc>
        <w:tc>
          <w:tcPr>
            <w:tcW w:w="120" w:type="dxa"/>
            <w:vAlign w:val="bottom"/>
          </w:tcPr>
          <w:p>
            <w:pPr>
              <w:spacing w:after="0"/>
              <w:rPr>
                <w:sz w:val="19"/>
                <w:szCs w:val="19"/>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40" w:type="dxa"/>
            <w:vAlign w:val="bottom"/>
            <w:tcBorders>
              <w:bottom w:val="single" w:sz="8" w:color="0000FF"/>
            </w:tcBorders>
            <w:gridSpan w:val="25"/>
            <w:vMerge w:val="continue"/>
          </w:tcPr>
          <w:p>
            <w:pPr>
              <w:spacing w:after="0"/>
              <w:rPr>
                <w:sz w:val="21"/>
                <w:szCs w:val="21"/>
                <w:color w:val="auto"/>
              </w:rPr>
            </w:pPr>
          </w:p>
        </w:tc>
        <w:tc>
          <w:tcPr>
            <w:tcW w:w="220" w:type="dxa"/>
            <w:vAlign w:val="bottom"/>
            <w:gridSpan w:val="8"/>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120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60" w:type="dxa"/>
            <w:vAlign w:val="bottom"/>
            <w:gridSpan w:val="33"/>
          </w:tcPr>
          <w:p>
            <w:pPr>
              <w:spacing w:after="0" w:line="193"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VeriSign, Inc. and Department of Commerce, entered into on November 29,</w:t>
              </w:r>
            </w:hyperlink>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10.08</w:t>
            </w:r>
          </w:p>
        </w:tc>
        <w:tc>
          <w:tcPr>
            <w:tcW w:w="120" w:type="dxa"/>
            <w:vAlign w:val="bottom"/>
          </w:tcPr>
          <w:p>
            <w:pPr>
              <w:spacing w:after="0"/>
              <w:rPr>
                <w:sz w:val="16"/>
                <w:szCs w:val="16"/>
                <w:color w:val="auto"/>
              </w:rPr>
            </w:pPr>
          </w:p>
        </w:tc>
        <w:tc>
          <w:tcPr>
            <w:tcW w:w="860" w:type="dxa"/>
            <w:vAlign w:val="bottom"/>
            <w:tcBorders>
              <w:top w:val="single" w:sz="8" w:color="0000FF"/>
            </w:tcBorders>
            <w:gridSpan w:val="2"/>
          </w:tcPr>
          <w:p>
            <w:pPr>
              <w:spacing w:after="0" w:line="193"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2012.</w:t>
              </w:r>
            </w:hyperlink>
          </w:p>
        </w:tc>
        <w:tc>
          <w:tcPr>
            <w:tcW w:w="3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58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30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760" w:type="dxa"/>
            <w:vAlign w:val="bottom"/>
            <w:gridSpan w:val="33"/>
            <w:vMerge w:val="restart"/>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VeriSign, Inc. 2006 Equity Incentive Plan Performance-Based Restricted Stock</w:t>
              </w:r>
            </w:hyperlink>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200" w:type="dxa"/>
            <w:vAlign w:val="bottom"/>
            <w:gridSpan w:val="3"/>
            <w:vMerge w:val="restart"/>
          </w:tcPr>
          <w:p>
            <w:pPr>
              <w:jc w:val="center"/>
              <w:ind w:left="131"/>
              <w:spacing w:after="0"/>
              <w:rPr>
                <w:sz w:val="20"/>
                <w:szCs w:val="20"/>
                <w:color w:val="auto"/>
              </w:rPr>
            </w:pPr>
            <w:r>
              <w:rPr>
                <w:rFonts w:ascii="Times New Roman" w:cs="Times New Roman" w:eastAsia="Times New Roman" w:hAnsi="Times New Roman"/>
                <w:sz w:val="18"/>
                <w:szCs w:val="18"/>
                <w:color w:val="auto"/>
                <w:w w:val="98"/>
              </w:rPr>
              <w:t>4/28/16</w:t>
            </w:r>
          </w:p>
        </w:tc>
        <w:tc>
          <w:tcPr>
            <w:tcW w:w="120" w:type="dxa"/>
            <w:vAlign w:val="bottom"/>
          </w:tcPr>
          <w:p>
            <w:pPr>
              <w:spacing w:after="0"/>
              <w:rPr>
                <w:sz w:val="19"/>
                <w:szCs w:val="19"/>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tcPr>
          <w:p>
            <w:pPr>
              <w:spacing w:after="0"/>
              <w:rPr>
                <w:sz w:val="20"/>
                <w:szCs w:val="20"/>
                <w:color w:val="auto"/>
              </w:rPr>
            </w:pPr>
          </w:p>
        </w:tc>
        <w:tc>
          <w:tcPr>
            <w:tcW w:w="5760" w:type="dxa"/>
            <w:vAlign w:val="bottom"/>
            <w:gridSpan w:val="33"/>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20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60" w:type="dxa"/>
            <w:vAlign w:val="bottom"/>
            <w:tcBorders>
              <w:top w:val="single" w:sz="8" w:color="0000FF"/>
            </w:tcBorders>
            <w:gridSpan w:val="31"/>
          </w:tcPr>
          <w:p>
            <w:pPr>
              <w:spacing w:after="0" w:line="140"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 xml:space="preserve">Unit Agreement </w:t>
              </w:r>
              <w:r>
                <w:rPr>
                  <w:rFonts w:ascii="Times New Roman" w:cs="Times New Roman" w:eastAsia="Times New Roman" w:hAnsi="Times New Roman"/>
                  <w:sz w:val="16"/>
                  <w:szCs w:val="16"/>
                  <w:color w:val="000000"/>
                </w:rPr>
                <w:t>+</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3"/>
                <w:szCs w:val="23"/>
                <w:color w:val="auto"/>
              </w:rPr>
            </w:pPr>
          </w:p>
        </w:tc>
        <w:tc>
          <w:tcPr>
            <w:tcW w:w="5760" w:type="dxa"/>
            <w:vAlign w:val="bottom"/>
            <w:gridSpan w:val="33"/>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VeriSign, Inc. 2006 Equity Incentive Plan Form of Employee Restricted Stock</w:t>
              </w:r>
            </w:hyperlink>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gridSpan w:val="3"/>
          </w:tcPr>
          <w:p>
            <w:pPr>
              <w:jc w:val="center"/>
              <w:ind w:left="131"/>
              <w:spacing w:after="0"/>
              <w:rPr>
                <w:sz w:val="20"/>
                <w:szCs w:val="20"/>
                <w:color w:val="auto"/>
              </w:rPr>
            </w:pPr>
            <w:r>
              <w:rPr>
                <w:rFonts w:ascii="Times New Roman" w:cs="Times New Roman" w:eastAsia="Times New Roman" w:hAnsi="Times New Roman"/>
                <w:sz w:val="18"/>
                <w:szCs w:val="18"/>
                <w:color w:val="auto"/>
                <w:w w:val="98"/>
              </w:rPr>
              <w:t>2/19/16</w:t>
            </w: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580" w:type="dxa"/>
            <w:vAlign w:val="bottom"/>
            <w:tcBorders>
              <w:top w:val="single" w:sz="8" w:color="0000FF"/>
            </w:tcBorders>
            <w:gridSpan w:val="27"/>
          </w:tcPr>
          <w:p>
            <w:pPr>
              <w:spacing w:after="0" w:line="140"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 xml:space="preserve">Unit Agreement </w:t>
              </w:r>
              <w:r>
                <w:rPr>
                  <w:rFonts w:ascii="Times New Roman" w:cs="Times New Roman" w:eastAsia="Times New Roman" w:hAnsi="Times New Roman"/>
                  <w:sz w:val="16"/>
                  <w:szCs w:val="16"/>
                  <w:color w:val="000000"/>
                </w:rPr>
                <w: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760" w:type="dxa"/>
            <w:vAlign w:val="bottom"/>
            <w:gridSpan w:val="33"/>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Amendment to the .com Registry Agreement between VeriSign, Inc. and the</w:t>
              </w:r>
            </w:hyperlink>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gridSpan w:val="3"/>
          </w:tcPr>
          <w:p>
            <w:pPr>
              <w:jc w:val="center"/>
              <w:ind w:left="131"/>
              <w:spacing w:after="0"/>
              <w:rPr>
                <w:sz w:val="20"/>
                <w:szCs w:val="20"/>
                <w:color w:val="auto"/>
              </w:rPr>
            </w:pPr>
            <w:r>
              <w:rPr>
                <w:rFonts w:ascii="Times New Roman" w:cs="Times New Roman" w:eastAsia="Times New Roman" w:hAnsi="Times New Roman"/>
                <w:sz w:val="18"/>
                <w:szCs w:val="18"/>
                <w:color w:val="auto"/>
                <w:w w:val="96"/>
              </w:rPr>
              <w:t>10/20/16</w:t>
            </w: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3"/>
                <w:szCs w:val="13"/>
                <w:color w:val="auto"/>
              </w:rPr>
            </w:pPr>
          </w:p>
        </w:tc>
        <w:tc>
          <w:tcPr>
            <w:tcW w:w="5420" w:type="dxa"/>
            <w:vAlign w:val="bottom"/>
            <w:tcBorders>
              <w:top w:val="single" w:sz="8" w:color="0000FF"/>
            </w:tcBorders>
            <w:gridSpan w:val="22"/>
          </w:tcPr>
          <w:p>
            <w:pPr>
              <w:spacing w:after="0" w:line="153"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Internet Corporation for Assigned Names and Numbers, entered into on</w:t>
              </w:r>
            </w:hyperlink>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100" w:type="dxa"/>
            <w:vAlign w:val="bottom"/>
            <w:tcBorders>
              <w:top w:val="single" w:sz="8" w:color="0000FF"/>
            </w:tcBorders>
            <w:gridSpan w:val="15"/>
          </w:tcPr>
          <w:p>
            <w:pPr>
              <w:spacing w:after="0" w:line="140"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October 20, 2016</w:t>
              </w:r>
            </w:hyperlink>
          </w:p>
        </w:tc>
        <w:tc>
          <w:tcPr>
            <w:tcW w:w="40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82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5760" w:type="dxa"/>
            <w:vAlign w:val="bottom"/>
            <w:gridSpan w:val="33"/>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Amendment Number Thirty-Three (33) to the Cooperative Agreement between</w:t>
              </w:r>
            </w:hyperlink>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gridSpan w:val="3"/>
          </w:tcPr>
          <w:p>
            <w:pPr>
              <w:jc w:val="center"/>
              <w:ind w:left="131"/>
              <w:spacing w:after="0"/>
              <w:rPr>
                <w:sz w:val="20"/>
                <w:szCs w:val="20"/>
                <w:color w:val="auto"/>
              </w:rPr>
            </w:pPr>
            <w:r>
              <w:rPr>
                <w:rFonts w:ascii="Times New Roman" w:cs="Times New Roman" w:eastAsia="Times New Roman" w:hAnsi="Times New Roman"/>
                <w:sz w:val="18"/>
                <w:szCs w:val="18"/>
                <w:color w:val="auto"/>
                <w:w w:val="96"/>
              </w:rPr>
              <w:t>10/20/16</w:t>
            </w:r>
          </w:p>
        </w:tc>
        <w:tc>
          <w:tcPr>
            <w:tcW w:w="1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40" w:type="dxa"/>
            <w:vAlign w:val="bottom"/>
            <w:tcBorders>
              <w:top w:val="single" w:sz="8" w:color="0000FF"/>
              <w:bottom w:val="single" w:sz="8" w:color="0000FF"/>
            </w:tcBorders>
            <w:gridSpan w:val="30"/>
          </w:tcPr>
          <w:p>
            <w:pPr>
              <w:spacing w:after="0" w:line="140"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VeriSign, Inc. and Department of Commerce, entered into on October 20, 2016</w:t>
              </w:r>
            </w:hyperlink>
          </w:p>
        </w:tc>
        <w:tc>
          <w:tcPr>
            <w:tcW w:w="40" w:type="dxa"/>
            <w:vAlign w:val="bottom"/>
            <w:tcBorders>
              <w:top w:val="single" w:sz="8" w:color="0000FF"/>
            </w:tcBorders>
            <w:gridSpan w:val="2"/>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3"/>
                <w:szCs w:val="23"/>
                <w:color w:val="auto"/>
              </w:rPr>
            </w:pPr>
          </w:p>
        </w:tc>
        <w:tc>
          <w:tcPr>
            <w:tcW w:w="5760" w:type="dxa"/>
            <w:vAlign w:val="bottom"/>
            <w:gridSpan w:val="33"/>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Amendment Number Thirty-Four (34) to the Cooperative Agreement between</w:t>
              </w:r>
            </w:hyperlink>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gridSpan w:val="3"/>
          </w:tcPr>
          <w:p>
            <w:pPr>
              <w:jc w:val="center"/>
              <w:ind w:left="131"/>
              <w:spacing w:after="0"/>
              <w:rPr>
                <w:sz w:val="20"/>
                <w:szCs w:val="20"/>
                <w:color w:val="auto"/>
              </w:rPr>
            </w:pPr>
            <w:r>
              <w:rPr>
                <w:rFonts w:ascii="Times New Roman" w:cs="Times New Roman" w:eastAsia="Times New Roman" w:hAnsi="Times New Roman"/>
                <w:sz w:val="18"/>
                <w:szCs w:val="18"/>
                <w:color w:val="auto"/>
                <w:w w:val="96"/>
              </w:rPr>
              <w:t>10/20/16</w:t>
            </w: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26"/>
          </w:tcPr>
          <w:p>
            <w:pPr>
              <w:spacing w:after="0" w:line="153"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VeriSign, Inc. and Department of Commerce, entered into on October 20, 2016</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3"/>
                <w:szCs w:val="23"/>
                <w:color w:val="auto"/>
              </w:rPr>
            </w:pPr>
          </w:p>
        </w:tc>
        <w:tc>
          <w:tcPr>
            <w:tcW w:w="5760" w:type="dxa"/>
            <w:vAlign w:val="bottom"/>
            <w:gridSpan w:val="33"/>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Amended and Restated VeriSign, Inc. 2006 Equity Incentive Plan, as amended</w:t>
              </w:r>
            </w:hyperlink>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DEF 14A</w:t>
            </w:r>
          </w:p>
        </w:tc>
        <w:tc>
          <w:tcPr>
            <w:tcW w:w="1200" w:type="dxa"/>
            <w:vAlign w:val="bottom"/>
            <w:gridSpan w:val="3"/>
          </w:tcPr>
          <w:p>
            <w:pPr>
              <w:jc w:val="center"/>
              <w:ind w:left="131"/>
              <w:spacing w:after="0"/>
              <w:rPr>
                <w:sz w:val="20"/>
                <w:szCs w:val="20"/>
                <w:color w:val="auto"/>
              </w:rPr>
            </w:pPr>
            <w:r>
              <w:rPr>
                <w:rFonts w:ascii="Times New Roman" w:cs="Times New Roman" w:eastAsia="Times New Roman" w:hAnsi="Times New Roman"/>
                <w:sz w:val="18"/>
                <w:szCs w:val="18"/>
                <w:color w:val="auto"/>
                <w:w w:val="98"/>
              </w:rPr>
              <w:t>4/29/16</w:t>
            </w:r>
          </w:p>
        </w:tc>
        <w:tc>
          <w:tcPr>
            <w:tcW w:w="120" w:type="dxa"/>
            <w:vAlign w:val="bottom"/>
          </w:tcPr>
          <w:p>
            <w:pPr>
              <w:spacing w:after="0"/>
              <w:rPr>
                <w:sz w:val="23"/>
                <w:szCs w:val="23"/>
                <w:color w:val="auto"/>
              </w:rPr>
            </w:pPr>
          </w:p>
        </w:tc>
        <w:tc>
          <w:tcPr>
            <w:tcW w:w="16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Appendix A</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0" w:type="dxa"/>
            <w:vAlign w:val="bottom"/>
            <w:tcBorders>
              <w:top w:val="single" w:sz="8" w:color="0000FF"/>
            </w:tcBorders>
            <w:gridSpan w:val="28"/>
          </w:tcPr>
          <w:p>
            <w:pPr>
              <w:spacing w:after="0" w:line="153"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 xml:space="preserve">and restated </w:t>
              </w:r>
              <w:r>
                <w:rPr>
                  <w:rFonts w:ascii="Times New Roman" w:cs="Times New Roman" w:eastAsia="Times New Roman" w:hAnsi="Times New Roman"/>
                  <w:sz w:val="14"/>
                  <w:szCs w:val="14"/>
                  <w:color w:val="000000"/>
                </w:rPr>
                <w:t>+</w:t>
              </w:r>
            </w:hyperlink>
          </w:p>
        </w:tc>
        <w:tc>
          <w:tcPr>
            <w:tcW w:w="160" w:type="dxa"/>
            <w:vAlign w:val="bottom"/>
            <w:gridSpan w:val="5"/>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820" w:type="dxa"/>
            <w:vAlign w:val="bottom"/>
            <w:gridSpan w:val="9"/>
          </w:tcPr>
          <w:p>
            <w:pPr>
              <w:spacing w:after="0" w:line="20" w:lineRule="exact"/>
              <w:rPr>
                <w:sz w:val="1"/>
                <w:szCs w:val="1"/>
                <w:color w:val="auto"/>
              </w:rPr>
            </w:pPr>
          </w:p>
        </w:tc>
        <w:tc>
          <w:tcPr>
            <w:tcW w:w="82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3"/>
                <w:szCs w:val="23"/>
                <w:color w:val="auto"/>
              </w:rPr>
            </w:pPr>
          </w:p>
        </w:tc>
        <w:tc>
          <w:tcPr>
            <w:tcW w:w="5760" w:type="dxa"/>
            <w:vAlign w:val="bottom"/>
            <w:gridSpan w:val="33"/>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.Net Registry Agreement between VeriSign, Inc. and the Internet Corporation</w:t>
              </w:r>
            </w:hyperlink>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gridSpan w:val="3"/>
          </w:tcPr>
          <w:p>
            <w:pPr>
              <w:jc w:val="center"/>
              <w:ind w:left="131"/>
              <w:spacing w:after="0"/>
              <w:rPr>
                <w:sz w:val="20"/>
                <w:szCs w:val="20"/>
                <w:color w:val="auto"/>
              </w:rPr>
            </w:pPr>
            <w:r>
              <w:rPr>
                <w:rFonts w:ascii="Times New Roman" w:cs="Times New Roman" w:eastAsia="Times New Roman" w:hAnsi="Times New Roman"/>
                <w:sz w:val="18"/>
                <w:szCs w:val="18"/>
                <w:color w:val="auto"/>
                <w:w w:val="98"/>
              </w:rPr>
              <w:t>6/28/17</w:t>
            </w: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00" w:type="dxa"/>
            <w:vAlign w:val="bottom"/>
            <w:tcBorders>
              <w:top w:val="single" w:sz="8" w:color="0000FF"/>
            </w:tcBorders>
            <w:gridSpan w:val="23"/>
          </w:tcPr>
          <w:p>
            <w:pPr>
              <w:spacing w:after="0" w:line="153"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for Assigned Names and Numbers, entered into on June 28, 2017.</w:t>
              </w:r>
            </w:hyperlink>
          </w:p>
        </w:tc>
        <w:tc>
          <w:tcPr>
            <w:tcW w:w="40" w:type="dxa"/>
            <w:vAlign w:val="bottom"/>
            <w:gridSpan w:val="2"/>
          </w:tcPr>
          <w:p>
            <w:pPr>
              <w:spacing w:after="0"/>
              <w:rPr>
                <w:sz w:val="13"/>
                <w:szCs w:val="13"/>
                <w:color w:val="auto"/>
              </w:rPr>
            </w:pPr>
          </w:p>
        </w:tc>
        <w:tc>
          <w:tcPr>
            <w:tcW w:w="220" w:type="dxa"/>
            <w:vAlign w:val="bottom"/>
            <w:gridSpan w:val="8"/>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80" w:type="dxa"/>
            <w:vAlign w:val="bottom"/>
            <w:gridSpan w:val="11"/>
            <w:shd w:val="clear" w:color="auto" w:fill="0000FF"/>
          </w:tcPr>
          <w:p>
            <w:pPr>
              <w:spacing w:after="0" w:line="20" w:lineRule="exact"/>
              <w:rPr>
                <w:sz w:val="1"/>
                <w:szCs w:val="1"/>
                <w:color w:val="auto"/>
              </w:rPr>
            </w:pPr>
          </w:p>
        </w:tc>
        <w:tc>
          <w:tcPr>
            <w:tcW w:w="860" w:type="dxa"/>
            <w:vAlign w:val="bottom"/>
            <w:gridSpan w:val="14"/>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3"/>
                <w:szCs w:val="23"/>
                <w:color w:val="auto"/>
              </w:rPr>
            </w:pPr>
          </w:p>
        </w:tc>
        <w:tc>
          <w:tcPr>
            <w:tcW w:w="5760" w:type="dxa"/>
            <w:vAlign w:val="bottom"/>
            <w:gridSpan w:val="33"/>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Amendment Thirty-Five (35) to the Cooperative Agreement between VeriSign,</w:t>
              </w:r>
            </w:hyperlink>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gridSpan w:val="3"/>
          </w:tcPr>
          <w:p>
            <w:pPr>
              <w:jc w:val="center"/>
              <w:ind w:left="131"/>
              <w:spacing w:after="0"/>
              <w:rPr>
                <w:sz w:val="20"/>
                <w:szCs w:val="20"/>
                <w:color w:val="auto"/>
              </w:rPr>
            </w:pPr>
            <w:r>
              <w:rPr>
                <w:rFonts w:ascii="Times New Roman" w:cs="Times New Roman" w:eastAsia="Times New Roman" w:hAnsi="Times New Roman"/>
                <w:sz w:val="18"/>
                <w:szCs w:val="18"/>
                <w:color w:val="auto"/>
                <w:w w:val="98"/>
              </w:rPr>
              <w:t>11/1/18</w:t>
            </w: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40" w:type="dxa"/>
            <w:vAlign w:val="bottom"/>
            <w:tcBorders>
              <w:top w:val="single" w:sz="8" w:color="0000FF"/>
            </w:tcBorders>
            <w:gridSpan w:val="30"/>
          </w:tcPr>
          <w:p>
            <w:pPr>
              <w:spacing w:after="0" w:line="153"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Inc. and the U.S. Department of Commerce, entered into on October 26, 2018</w:t>
              </w:r>
            </w:hyperlink>
          </w:p>
        </w:tc>
        <w:tc>
          <w:tcPr>
            <w:tcW w:w="12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6"/>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60" w:type="dxa"/>
            <w:vAlign w:val="bottom"/>
            <w:tcBorders>
              <w:top w:val="single" w:sz="8" w:color="0000FF"/>
            </w:tcBorders>
            <w:gridSpan w:val="12"/>
          </w:tcPr>
          <w:p>
            <w:pPr>
              <w:ind w:left="4660"/>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7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40" w:type="dxa"/>
            <w:vAlign w:val="bottom"/>
            <w:gridSpan w:val="2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13"/>
        </w:trPr>
        <w:tc>
          <w:tcPr>
            <w:tcW w:w="88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40" w:type="dxa"/>
            <w:vAlign w:val="bottom"/>
            <w:gridSpan w:val="22"/>
            <w:vMerge w:val="continue"/>
          </w:tcPr>
          <w:p>
            <w:pPr>
              <w:spacing w:after="0"/>
              <w:rPr>
                <w:sz w:val="9"/>
                <w:szCs w:val="9"/>
                <w:color w:val="auto"/>
              </w:rPr>
            </w:pPr>
          </w:p>
        </w:tc>
        <w:tc>
          <w:tcPr>
            <w:tcW w:w="6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0"/>
        </w:trPr>
        <w:tc>
          <w:tcPr>
            <w:tcW w:w="760" w:type="dxa"/>
            <w:vAlign w:val="bottom"/>
            <w:tcBorders>
              <w:top w:val="single" w:sz="8" w:color="auto"/>
            </w:tcBorders>
          </w:tcPr>
          <w:p>
            <w:pPr>
              <w:ind w:left="20"/>
              <w:spacing w:after="0" w:line="180" w:lineRule="exact"/>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15"/>
                <w:szCs w:val="15"/>
                <w:color w:val="auto"/>
              </w:rPr>
            </w:pPr>
          </w:p>
        </w:tc>
        <w:tc>
          <w:tcPr>
            <w:tcW w:w="5760" w:type="dxa"/>
            <w:vAlign w:val="bottom"/>
            <w:tcBorders>
              <w:top w:val="single" w:sz="8" w:color="auto"/>
            </w:tcBorders>
            <w:gridSpan w:val="30"/>
          </w:tcPr>
          <w:p>
            <w:pPr>
              <w:spacing w:after="0" w:line="180"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Asset Purchase Agreement between Verisign, Inc., as the seller and Neustar,</w:t>
              </w:r>
            </w:hyperlink>
          </w:p>
        </w:tc>
        <w:tc>
          <w:tcPr>
            <w:tcW w:w="680" w:type="dxa"/>
            <w:vAlign w:val="bottom"/>
            <w:tcBorders>
              <w:top w:val="single" w:sz="8" w:color="auto"/>
            </w:tcBorders>
          </w:tcPr>
          <w:p>
            <w:pPr>
              <w:ind w:left="20"/>
              <w:spacing w:after="0" w:line="180" w:lineRule="exact"/>
              <w:rPr>
                <w:sz w:val="20"/>
                <w:szCs w:val="20"/>
                <w:color w:val="auto"/>
              </w:rPr>
            </w:pPr>
            <w:r>
              <w:rPr>
                <w:rFonts w:ascii="Times New Roman" w:cs="Times New Roman" w:eastAsia="Times New Roman" w:hAnsi="Times New Roman"/>
                <w:sz w:val="18"/>
                <w:szCs w:val="18"/>
                <w:color w:val="auto"/>
              </w:rPr>
              <w:t>10-K</w:t>
            </w:r>
          </w:p>
        </w:tc>
        <w:tc>
          <w:tcPr>
            <w:tcW w:w="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color w:val="auto"/>
                <w:w w:val="98"/>
              </w:rPr>
              <w:t>2/15/19</w:t>
            </w:r>
          </w:p>
        </w:tc>
        <w:tc>
          <w:tcPr>
            <w:tcW w:w="1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60" w:type="dxa"/>
            <w:vAlign w:val="bottom"/>
            <w:tcBorders>
              <w:top w:val="single" w:sz="8" w:color="0000FF"/>
              <w:bottom w:val="single" w:sz="8" w:color="0000FF"/>
            </w:tcBorders>
            <w:gridSpan w:val="10"/>
          </w:tcPr>
          <w:p>
            <w:pPr>
              <w:spacing w:after="0" w:line="153"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Inc., as the buyer, dated as of October 24, 2018</w:t>
              </w:r>
            </w:hyperlink>
          </w:p>
        </w:tc>
        <w:tc>
          <w:tcPr>
            <w:tcW w:w="206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23"/>
                <w:szCs w:val="23"/>
                <w:color w:val="auto"/>
              </w:rPr>
            </w:pPr>
          </w:p>
        </w:tc>
        <w:tc>
          <w:tcPr>
            <w:tcW w:w="5760" w:type="dxa"/>
            <w:vAlign w:val="bottom"/>
            <w:gridSpan w:val="30"/>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Second Amendment to the .com Registry Agreement between VeriSign, Inc.</w:t>
              </w:r>
            </w:hyperlink>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40" w:type="dxa"/>
            <w:vAlign w:val="bottom"/>
            <w:tcBorders>
              <w:top w:val="single" w:sz="8" w:color="0000FF"/>
              <w:bottom w:val="single" w:sz="8" w:color="0000FF"/>
            </w:tcBorders>
            <w:gridSpan w:val="23"/>
          </w:tcPr>
          <w:p>
            <w:pPr>
              <w:spacing w:after="0" w:line="153"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and the Internet Corporation for Assigned Names and Numbers, entered into</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gridSpan w:val="3"/>
            <w:vMerge w:val="restart"/>
          </w:tcPr>
          <w:p>
            <w:pPr>
              <w:jc w:val="center"/>
              <w:ind w:left="171"/>
              <w:spacing w:after="0"/>
              <w:rPr>
                <w:sz w:val="20"/>
                <w:szCs w:val="20"/>
                <w:color w:val="auto"/>
              </w:rPr>
            </w:pPr>
            <w:r>
              <w:rPr>
                <w:rFonts w:ascii="Times New Roman" w:cs="Times New Roman" w:eastAsia="Times New Roman" w:hAnsi="Times New Roman"/>
                <w:sz w:val="18"/>
                <w:szCs w:val="18"/>
                <w:color w:val="auto"/>
                <w:w w:val="98"/>
              </w:rPr>
              <w:t>2/14/20</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Borders>
              <w:bottom w:val="single" w:sz="8" w:color="0000FF"/>
            </w:tcBorders>
            <w:gridSpan w:val="6"/>
          </w:tcPr>
          <w:p>
            <w:pPr>
              <w:spacing w:after="0" w:line="140"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on March 27, 2019</w:t>
              </w:r>
            </w:hyperlink>
          </w:p>
        </w:tc>
        <w:tc>
          <w:tcPr>
            <w:tcW w:w="4100" w:type="dxa"/>
            <w:vAlign w:val="bottom"/>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3"/>
                <w:szCs w:val="23"/>
                <w:color w:val="auto"/>
              </w:rPr>
            </w:pPr>
          </w:p>
        </w:tc>
        <w:tc>
          <w:tcPr>
            <w:tcW w:w="5760" w:type="dxa"/>
            <w:vAlign w:val="bottom"/>
            <w:gridSpan w:val="30"/>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Amendment to Asset Purchase Agreement and Transition Services Agreement</w:t>
              </w:r>
            </w:hyperlink>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gridSpan w:val="3"/>
            <w:vMerge w:val="restart"/>
          </w:tcPr>
          <w:p>
            <w:pPr>
              <w:jc w:val="center"/>
              <w:ind w:left="171"/>
              <w:spacing w:after="0"/>
              <w:rPr>
                <w:sz w:val="20"/>
                <w:szCs w:val="20"/>
                <w:color w:val="auto"/>
              </w:rPr>
            </w:pPr>
            <w:r>
              <w:rPr>
                <w:rFonts w:ascii="Times New Roman" w:cs="Times New Roman" w:eastAsia="Times New Roman" w:hAnsi="Times New Roman"/>
                <w:sz w:val="18"/>
                <w:szCs w:val="18"/>
                <w:color w:val="auto"/>
                <w:w w:val="98"/>
              </w:rPr>
              <w:t>2/14/20</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80" w:type="dxa"/>
            <w:vAlign w:val="bottom"/>
            <w:tcBorders>
              <w:top w:val="single" w:sz="8" w:color="0000FF"/>
            </w:tcBorders>
            <w:gridSpan w:val="28"/>
          </w:tcPr>
          <w:p>
            <w:pPr>
              <w:spacing w:after="0" w:line="153"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between Neustar, Inc. and VeriSign, Inc., dated as of December 10, 2019</w:t>
              </w:r>
              <w:r>
                <w:rPr>
                  <w:rFonts w:ascii="Times New Roman" w:cs="Times New Roman" w:eastAsia="Times New Roman" w:hAnsi="Times New Roman"/>
                  <w:sz w:val="17"/>
                  <w:szCs w:val="17"/>
                  <w:color w:val="000000"/>
                </w:rPr>
                <w:t>†</w:t>
              </w:r>
            </w:hyperlink>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23"/>
                <w:szCs w:val="23"/>
                <w:color w:val="auto"/>
              </w:rPr>
            </w:pPr>
          </w:p>
        </w:tc>
        <w:tc>
          <w:tcPr>
            <w:tcW w:w="5760" w:type="dxa"/>
            <w:vAlign w:val="bottom"/>
            <w:gridSpan w:val="30"/>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Third Amendment to the .com Registry Agreement between VeriSign, Inc. and</w:t>
              </w:r>
            </w:hyperlink>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0" w:type="dxa"/>
            <w:vAlign w:val="bottom"/>
            <w:tcBorders>
              <w:top w:val="single" w:sz="8" w:color="0000FF"/>
            </w:tcBorders>
            <w:gridSpan w:val="29"/>
          </w:tcPr>
          <w:p>
            <w:pPr>
              <w:spacing w:after="0" w:line="153"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the Internet Corporation for Assigned Names and Numbers, entered into on</w:t>
              </w:r>
            </w:hyperlink>
          </w:p>
        </w:tc>
        <w:tc>
          <w:tcPr>
            <w:tcW w:w="160" w:type="dxa"/>
            <w:vAlign w:val="bottom"/>
          </w:tcPr>
          <w:p>
            <w:pPr>
              <w:spacing w:after="0"/>
              <w:rPr>
                <w:sz w:val="13"/>
                <w:szCs w:val="13"/>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40" w:type="dxa"/>
            <w:vAlign w:val="bottom"/>
            <w:gridSpan w:val="3"/>
            <w:vMerge w:val="restart"/>
          </w:tcPr>
          <w:p>
            <w:pPr>
              <w:jc w:val="center"/>
              <w:ind w:left="171"/>
              <w:spacing w:after="0"/>
              <w:rPr>
                <w:sz w:val="20"/>
                <w:szCs w:val="20"/>
                <w:color w:val="auto"/>
              </w:rPr>
            </w:pPr>
            <w:r>
              <w:rPr>
                <w:rFonts w:ascii="Times New Roman" w:cs="Times New Roman" w:eastAsia="Times New Roman" w:hAnsi="Times New Roman"/>
                <w:sz w:val="18"/>
                <w:szCs w:val="18"/>
                <w:color w:val="auto"/>
                <w:w w:val="96"/>
              </w:rPr>
              <w:t>03/27/20</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80" w:type="dxa"/>
            <w:vAlign w:val="bottom"/>
            <w:tcBorders>
              <w:top w:val="single" w:sz="8" w:color="0000FF"/>
            </w:tcBorders>
            <w:gridSpan w:val="20"/>
          </w:tcPr>
          <w:p>
            <w:pPr>
              <w:spacing w:after="0" w:line="140"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March 27, 2020.</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68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23"/>
                <w:szCs w:val="23"/>
                <w:color w:val="auto"/>
              </w:rPr>
            </w:pPr>
          </w:p>
        </w:tc>
        <w:tc>
          <w:tcPr>
            <w:tcW w:w="5760" w:type="dxa"/>
            <w:vAlign w:val="bottom"/>
            <w:gridSpan w:val="30"/>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First Amendment to the .net Registry Agreement between VeriSign, Inc. and</w:t>
              </w:r>
            </w:hyperlink>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80" w:type="dxa"/>
            <w:vAlign w:val="bottom"/>
            <w:tcBorders>
              <w:top w:val="single" w:sz="8" w:color="0000FF"/>
            </w:tcBorders>
            <w:gridSpan w:val="25"/>
          </w:tcPr>
          <w:p>
            <w:pPr>
              <w:spacing w:after="0" w:line="153"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the Internet Corporation for Assigned Names and Numbers, entered into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gridSpan w:val="3"/>
            <w:vMerge w:val="restart"/>
          </w:tcPr>
          <w:p>
            <w:pPr>
              <w:jc w:val="center"/>
              <w:ind w:left="171"/>
              <w:spacing w:after="0"/>
              <w:rPr>
                <w:sz w:val="20"/>
                <w:szCs w:val="20"/>
                <w:color w:val="auto"/>
              </w:rPr>
            </w:pPr>
            <w:r>
              <w:rPr>
                <w:rFonts w:ascii="Times New Roman" w:cs="Times New Roman" w:eastAsia="Times New Roman" w:hAnsi="Times New Roman"/>
                <w:sz w:val="18"/>
                <w:szCs w:val="18"/>
                <w:color w:val="auto"/>
                <w:w w:val="96"/>
              </w:rPr>
              <w:t>10/22/20</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Borders>
              <w:top w:val="single" w:sz="8" w:color="0000FF"/>
              <w:bottom w:val="single" w:sz="8" w:color="0000FF"/>
            </w:tcBorders>
            <w:gridSpan w:val="3"/>
          </w:tcPr>
          <w:p>
            <w:pPr>
              <w:spacing w:after="0" w:line="140"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April 27, 2020.</w:t>
              </w:r>
            </w:hyperlink>
          </w:p>
        </w:tc>
        <w:tc>
          <w:tcPr>
            <w:tcW w:w="428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68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23"/>
                <w:szCs w:val="23"/>
                <w:color w:val="auto"/>
              </w:rPr>
            </w:pPr>
          </w:p>
        </w:tc>
        <w:tc>
          <w:tcPr>
            <w:tcW w:w="5760" w:type="dxa"/>
            <w:vAlign w:val="bottom"/>
            <w:gridSpan w:val="30"/>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Credit Agreement, amended and restated as of December 23, 2021 among</w:t>
              </w:r>
            </w:hyperlink>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760" w:type="dxa"/>
            <w:vAlign w:val="bottom"/>
            <w:gridSpan w:val="30"/>
          </w:tcPr>
          <w:p>
            <w:pPr>
              <w:spacing w:after="0" w:line="180"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VERISIGN, INC., the Lenders as defined therein and JPMorgan Chase Bank,</w:t>
              </w:r>
            </w:hyperlink>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tcBorders>
              <w:top w:val="single" w:sz="8" w:color="0000FF"/>
              <w:bottom w:val="single" w:sz="8" w:color="0000FF"/>
            </w:tcBorders>
            <w:gridSpan w:val="8"/>
          </w:tcPr>
          <w:p>
            <w:pPr>
              <w:spacing w:after="0" w:line="166" w:lineRule="exact"/>
              <w:rPr>
                <w:rFonts w:ascii="Times New Roman" w:cs="Times New Roman" w:eastAsia="Times New Roman" w:hAnsi="Times New Roman"/>
                <w:sz w:val="18"/>
                <w:szCs w:val="18"/>
                <w:color w:val="0000FF"/>
                <w:w w:val="97"/>
              </w:rPr>
            </w:pPr>
            <w:hyperlink r:id="rId104">
              <w:r>
                <w:rPr>
                  <w:rFonts w:ascii="Times New Roman" w:cs="Times New Roman" w:eastAsia="Times New Roman" w:hAnsi="Times New Roman"/>
                  <w:sz w:val="18"/>
                  <w:szCs w:val="18"/>
                  <w:color w:val="0000FF"/>
                  <w:w w:val="97"/>
                </w:rPr>
                <w:t>N.A., as Administrative Agent.</w:t>
              </w:r>
            </w:hyperlink>
          </w:p>
        </w:tc>
        <w:tc>
          <w:tcPr>
            <w:tcW w:w="60" w:type="dxa"/>
            <w:vAlign w:val="bottom"/>
            <w:tcBorders>
              <w:top w:val="single" w:sz="8" w:color="0000FF"/>
              <w:bottom w:val="single" w:sz="8" w:color="0000FF"/>
            </w:tcBorders>
          </w:tcPr>
          <w:p>
            <w:pPr>
              <w:spacing w:after="0"/>
              <w:rPr>
                <w:sz w:val="15"/>
                <w:szCs w:val="15"/>
                <w:color w:val="auto"/>
              </w:rPr>
            </w:pPr>
          </w:p>
        </w:tc>
        <w:tc>
          <w:tcPr>
            <w:tcW w:w="2040" w:type="dxa"/>
            <w:vAlign w:val="bottom"/>
            <w:tcBorders>
              <w:top w:val="single" w:sz="8" w:color="0000FF"/>
              <w:bottom w:val="single" w:sz="8" w:color="0000FF"/>
            </w:tcBorders>
            <w:gridSpan w:val="2"/>
          </w:tcPr>
          <w:p>
            <w:pPr>
              <w:spacing w:after="0"/>
              <w:rPr>
                <w:sz w:val="15"/>
                <w:szCs w:val="15"/>
                <w:color w:val="auto"/>
              </w:rPr>
            </w:pPr>
          </w:p>
        </w:tc>
        <w:tc>
          <w:tcPr>
            <w:tcW w:w="500" w:type="dxa"/>
            <w:vAlign w:val="bottom"/>
            <w:tcBorders>
              <w:top w:val="single" w:sz="8" w:color="0000FF"/>
              <w:bottom w:val="single" w:sz="8" w:color="0000FF"/>
            </w:tcBorders>
          </w:tcPr>
          <w:p>
            <w:pPr>
              <w:spacing w:after="0"/>
              <w:rPr>
                <w:sz w:val="15"/>
                <w:szCs w:val="15"/>
                <w:color w:val="auto"/>
              </w:rPr>
            </w:pPr>
          </w:p>
        </w:tc>
        <w:tc>
          <w:tcPr>
            <w:tcW w:w="160" w:type="dxa"/>
            <w:vAlign w:val="bottom"/>
            <w:tcBorders>
              <w:top w:val="single" w:sz="8" w:color="0000FF"/>
              <w:bottom w:val="single" w:sz="8" w:color="0000FF"/>
            </w:tcBorders>
          </w:tcPr>
          <w:p>
            <w:pPr>
              <w:spacing w:after="0"/>
              <w:rPr>
                <w:sz w:val="15"/>
                <w:szCs w:val="15"/>
                <w:color w:val="auto"/>
              </w:rPr>
            </w:pPr>
          </w:p>
        </w:tc>
        <w:tc>
          <w:tcPr>
            <w:tcW w:w="320" w:type="dxa"/>
            <w:vAlign w:val="bottom"/>
            <w:tcBorders>
              <w:top w:val="single" w:sz="8" w:color="0000FF"/>
              <w:bottom w:val="single" w:sz="8" w:color="0000FF"/>
            </w:tcBorders>
            <w:gridSpan w:val="3"/>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40" w:type="dxa"/>
            <w:vAlign w:val="bottom"/>
            <w:tcBorders>
              <w:top w:val="single" w:sz="8" w:color="0000FF"/>
              <w:bottom w:val="single" w:sz="8" w:color="0000FF"/>
            </w:tcBorders>
            <w:gridSpan w:val="2"/>
          </w:tcPr>
          <w:p>
            <w:pPr>
              <w:spacing w:after="0"/>
              <w:rPr>
                <w:sz w:val="15"/>
                <w:szCs w:val="15"/>
                <w:color w:val="auto"/>
              </w:rPr>
            </w:pPr>
          </w:p>
        </w:tc>
        <w:tc>
          <w:tcPr>
            <w:tcW w:w="100" w:type="dxa"/>
            <w:vAlign w:val="bottom"/>
            <w:tcBorders>
              <w:top w:val="single" w:sz="8" w:color="0000FF"/>
              <w:bottom w:val="single" w:sz="8" w:color="0000FF"/>
            </w:tcBorders>
            <w:gridSpan w:val="5"/>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240" w:type="dxa"/>
            <w:vAlign w:val="bottom"/>
            <w:gridSpan w:val="3"/>
          </w:tcPr>
          <w:p>
            <w:pPr>
              <w:spacing w:after="0"/>
              <w:rPr>
                <w:sz w:val="15"/>
                <w:szCs w:val="15"/>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gridSpan w:val="3"/>
            <w:vMerge w:val="restart"/>
          </w:tcPr>
          <w:p>
            <w:pPr>
              <w:jc w:val="center"/>
              <w:ind w:left="171"/>
              <w:spacing w:after="0"/>
              <w:rPr>
                <w:sz w:val="20"/>
                <w:szCs w:val="20"/>
                <w:color w:val="auto"/>
              </w:rPr>
            </w:pPr>
            <w:r>
              <w:rPr>
                <w:rFonts w:ascii="Times New Roman" w:cs="Times New Roman" w:eastAsia="Times New Roman" w:hAnsi="Times New Roman"/>
                <w:sz w:val="18"/>
                <w:szCs w:val="18"/>
                <w:color w:val="auto"/>
                <w:w w:val="98"/>
              </w:rPr>
              <w:t>2/18/22</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4"/>
                <w:szCs w:val="4"/>
                <w:color w:val="auto"/>
              </w:rPr>
            </w:pPr>
          </w:p>
        </w:tc>
        <w:tc>
          <w:tcPr>
            <w:tcW w:w="5760" w:type="dxa"/>
            <w:vAlign w:val="bottom"/>
            <w:gridSpan w:val="30"/>
            <w:vMerge w:val="restart"/>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Form of Indemnity Agreement entered into by the Registrant with each of its</w:t>
              </w:r>
            </w:hyperlink>
          </w:p>
        </w:tc>
        <w:tc>
          <w:tcPr>
            <w:tcW w:w="680" w:type="dxa"/>
            <w:vAlign w:val="bottom"/>
            <w:vMerge w:val="continue"/>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7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760" w:type="dxa"/>
            <w:vAlign w:val="bottom"/>
            <w:gridSpan w:val="30"/>
            <w:vMerge w:val="continue"/>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00" w:type="dxa"/>
            <w:vAlign w:val="bottom"/>
            <w:tcBorders>
              <w:top w:val="single" w:sz="8" w:color="0000FF"/>
            </w:tcBorders>
            <w:gridSpan w:val="26"/>
          </w:tcPr>
          <w:p>
            <w:pPr>
              <w:spacing w:after="0" w:line="153"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 xml:space="preserve">directors and executive officers. </w:t>
              </w:r>
              <w:r>
                <w:rPr>
                  <w:rFonts w:ascii="Times New Roman" w:cs="Times New Roman" w:eastAsia="Times New Roman" w:hAnsi="Times New Roman"/>
                  <w:sz w:val="17"/>
                  <w:szCs w:val="17"/>
                  <w:color w:val="000000"/>
                </w:rPr>
                <w:t>+</w:t>
              </w:r>
            </w:hyperlink>
          </w:p>
        </w:tc>
        <w:tc>
          <w:tcPr>
            <w:tcW w:w="26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w w:val="98"/>
              </w:rPr>
              <w:t>4/28/10</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3"/>
              </w:rPr>
              <w:t>10.01</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21.01</w:t>
            </w:r>
          </w:p>
        </w:tc>
        <w:tc>
          <w:tcPr>
            <w:tcW w:w="120" w:type="dxa"/>
            <w:vAlign w:val="bottom"/>
          </w:tcPr>
          <w:p>
            <w:pPr>
              <w:spacing w:after="0"/>
              <w:rPr>
                <w:sz w:val="20"/>
                <w:szCs w:val="20"/>
                <w:color w:val="auto"/>
              </w:rPr>
            </w:pPr>
          </w:p>
        </w:tc>
        <w:tc>
          <w:tcPr>
            <w:tcW w:w="5760" w:type="dxa"/>
            <w:vAlign w:val="bottom"/>
            <w:gridSpan w:val="30"/>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Subsidiaries of the Registrant.</w:t>
              </w:r>
            </w:hyperlink>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color w:val="auto"/>
                <w:w w:val="98"/>
              </w:rPr>
              <w:t>2/14/20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23.01</w:t>
            </w:r>
          </w:p>
        </w:tc>
        <w:tc>
          <w:tcPr>
            <w:tcW w:w="120" w:type="dxa"/>
            <w:vAlign w:val="bottom"/>
          </w:tcPr>
          <w:p>
            <w:pPr>
              <w:spacing w:after="0"/>
              <w:rPr>
                <w:sz w:val="22"/>
                <w:szCs w:val="22"/>
                <w:color w:val="auto"/>
              </w:rPr>
            </w:pPr>
          </w:p>
        </w:tc>
        <w:tc>
          <w:tcPr>
            <w:tcW w:w="43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Consent of Independent Registered Public Accounting Firm.</w:t>
            </w:r>
          </w:p>
        </w:tc>
        <w:tc>
          <w:tcPr>
            <w:tcW w:w="1440" w:type="dxa"/>
            <w:vAlign w:val="bottom"/>
            <w:gridSpan w:val="19"/>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60"/>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24.01</w:t>
            </w:r>
          </w:p>
        </w:tc>
        <w:tc>
          <w:tcPr>
            <w:tcW w:w="120" w:type="dxa"/>
            <w:vAlign w:val="bottom"/>
          </w:tcPr>
          <w:p>
            <w:pPr>
              <w:spacing w:after="0"/>
              <w:rPr>
                <w:sz w:val="22"/>
                <w:szCs w:val="22"/>
                <w:color w:val="auto"/>
              </w:rPr>
            </w:pPr>
          </w:p>
        </w:tc>
        <w:tc>
          <w:tcPr>
            <w:tcW w:w="57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Powers of Attorney (Included as part of the signature pages hereto).</w:t>
            </w: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540" w:type="dxa"/>
            <w:vAlign w:val="bottom"/>
            <w:gridSpan w:val="7"/>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31.01</w:t>
            </w:r>
          </w:p>
        </w:tc>
        <w:tc>
          <w:tcPr>
            <w:tcW w:w="120" w:type="dxa"/>
            <w:vAlign w:val="bottom"/>
          </w:tcPr>
          <w:p>
            <w:pPr>
              <w:spacing w:after="0"/>
              <w:rPr>
                <w:sz w:val="22"/>
                <w:szCs w:val="22"/>
                <w:color w:val="auto"/>
              </w:rPr>
            </w:pPr>
          </w:p>
        </w:tc>
        <w:tc>
          <w:tcPr>
            <w:tcW w:w="57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w:t>
            </w: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60" w:type="dxa"/>
            <w:vAlign w:val="bottom"/>
            <w:tcBorders>
              <w:top w:val="single" w:sz="8" w:color="0000FF"/>
            </w:tcBorders>
            <w:gridSpan w:val="19"/>
          </w:tcPr>
          <w:p>
            <w:pPr>
              <w:spacing w:after="0" w:line="153" w:lineRule="exact"/>
              <w:rPr>
                <w:sz w:val="20"/>
                <w:szCs w:val="20"/>
                <w:color w:val="auto"/>
              </w:rPr>
            </w:pPr>
            <w:r>
              <w:rPr>
                <w:rFonts w:ascii="Times New Roman" w:cs="Times New Roman" w:eastAsia="Times New Roman" w:hAnsi="Times New Roman"/>
                <w:sz w:val="17"/>
                <w:szCs w:val="17"/>
                <w:color w:val="0000FF"/>
              </w:rPr>
              <w:t>13a-14(a).</w:t>
            </w:r>
          </w:p>
        </w:tc>
        <w:tc>
          <w:tcPr>
            <w:tcW w:w="40" w:type="dxa"/>
            <w:vAlign w:val="bottom"/>
            <w:gridSpan w:val="2"/>
          </w:tcPr>
          <w:p>
            <w:pPr>
              <w:spacing w:after="0"/>
              <w:rPr>
                <w:sz w:val="13"/>
                <w:szCs w:val="13"/>
                <w:color w:val="auto"/>
              </w:rPr>
            </w:pPr>
          </w:p>
        </w:tc>
        <w:tc>
          <w:tcPr>
            <w:tcW w:w="360" w:type="dxa"/>
            <w:vAlign w:val="bottom"/>
            <w:gridSpan w:val="9"/>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700" w:type="dxa"/>
            <w:vAlign w:val="bottom"/>
            <w:gridSpan w:val="8"/>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31.02</w:t>
            </w:r>
          </w:p>
        </w:tc>
        <w:tc>
          <w:tcPr>
            <w:tcW w:w="120" w:type="dxa"/>
            <w:vAlign w:val="bottom"/>
          </w:tcPr>
          <w:p>
            <w:pPr>
              <w:spacing w:after="0"/>
              <w:rPr>
                <w:sz w:val="23"/>
                <w:szCs w:val="23"/>
                <w:color w:val="auto"/>
              </w:rPr>
            </w:pPr>
          </w:p>
        </w:tc>
        <w:tc>
          <w:tcPr>
            <w:tcW w:w="57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00" w:type="dxa"/>
            <w:vAlign w:val="bottom"/>
            <w:tcBorders>
              <w:top w:val="single" w:sz="8" w:color="0000FF"/>
            </w:tcBorders>
            <w:gridSpan w:val="16"/>
          </w:tcPr>
          <w:p>
            <w:pPr>
              <w:spacing w:after="0" w:line="153" w:lineRule="exact"/>
              <w:rPr>
                <w:sz w:val="20"/>
                <w:szCs w:val="20"/>
                <w:color w:val="auto"/>
              </w:rPr>
            </w:pPr>
            <w:r>
              <w:rPr>
                <w:rFonts w:ascii="Times New Roman" w:cs="Times New Roman" w:eastAsia="Times New Roman" w:hAnsi="Times New Roman"/>
                <w:sz w:val="17"/>
                <w:szCs w:val="17"/>
                <w:color w:val="0000FF"/>
              </w:rPr>
              <w:t>13a-14(a).</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360" w:type="dxa"/>
            <w:vAlign w:val="bottom"/>
            <w:gridSpan w:val="9"/>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700" w:type="dxa"/>
            <w:vAlign w:val="bottom"/>
            <w:gridSpan w:val="8"/>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32.01</w:t>
            </w:r>
          </w:p>
        </w:tc>
        <w:tc>
          <w:tcPr>
            <w:tcW w:w="120" w:type="dxa"/>
            <w:vAlign w:val="bottom"/>
          </w:tcPr>
          <w:p>
            <w:pPr>
              <w:spacing w:after="0"/>
              <w:rPr>
                <w:sz w:val="23"/>
                <w:szCs w:val="23"/>
                <w:color w:val="auto"/>
              </w:rPr>
            </w:pPr>
          </w:p>
        </w:tc>
        <w:tc>
          <w:tcPr>
            <w:tcW w:w="57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Exchange Act</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980" w:type="dxa"/>
            <w:vAlign w:val="bottom"/>
            <w:tcBorders>
              <w:top w:val="single" w:sz="8" w:color="0000FF"/>
            </w:tcBorders>
            <w:gridSpan w:val="13"/>
          </w:tcPr>
          <w:p>
            <w:pPr>
              <w:spacing w:after="0" w:line="153" w:lineRule="exact"/>
              <w:rPr>
                <w:sz w:val="20"/>
                <w:szCs w:val="20"/>
                <w:color w:val="auto"/>
              </w:rPr>
            </w:pPr>
            <w:r>
              <w:rPr>
                <w:rFonts w:ascii="Times New Roman" w:cs="Times New Roman" w:eastAsia="Times New Roman" w:hAnsi="Times New Roman"/>
                <w:sz w:val="17"/>
                <w:szCs w:val="17"/>
                <w:color w:val="0000FF"/>
              </w:rPr>
              <w:t>Rule 13a-14(b) and Section 1350 of Chapter 63 of Title 18 of the U.S.</w:t>
            </w:r>
          </w:p>
        </w:tc>
        <w:tc>
          <w:tcPr>
            <w:tcW w:w="780" w:type="dxa"/>
            <w:vAlign w:val="bottom"/>
            <w:gridSpan w:val="17"/>
          </w:tcPr>
          <w:p>
            <w:pPr>
              <w:ind w:left="40"/>
              <w:spacing w:after="0" w:line="153" w:lineRule="exact"/>
              <w:rPr>
                <w:sz w:val="20"/>
                <w:szCs w:val="20"/>
                <w:color w:val="auto"/>
              </w:rPr>
            </w:pPr>
            <w:r>
              <w:rPr>
                <w:rFonts w:ascii="Times New Roman" w:cs="Times New Roman" w:eastAsia="Times New Roman" w:hAnsi="Times New Roman"/>
                <w:sz w:val="17"/>
                <w:szCs w:val="17"/>
                <w:color w:val="0000FF"/>
              </w:rPr>
              <w:t>Code</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0" w:type="dxa"/>
            <w:vAlign w:val="bottom"/>
            <w:tcBorders>
              <w:top w:val="single" w:sz="8" w:color="0000FF"/>
            </w:tcBorders>
            <w:gridSpan w:val="21"/>
          </w:tcPr>
          <w:p>
            <w:pPr>
              <w:spacing w:after="0" w:line="153" w:lineRule="exact"/>
              <w:rPr>
                <w:sz w:val="20"/>
                <w:szCs w:val="20"/>
                <w:color w:val="auto"/>
              </w:rPr>
            </w:pPr>
            <w:r>
              <w:rPr>
                <w:rFonts w:ascii="Times New Roman" w:cs="Times New Roman" w:eastAsia="Times New Roman" w:hAnsi="Times New Roman"/>
                <w:sz w:val="17"/>
                <w:szCs w:val="17"/>
                <w:color w:val="0000FF"/>
              </w:rPr>
              <w:t xml:space="preserve">(18 U.S.C. 1350). </w:t>
            </w:r>
            <w:r>
              <w:rPr>
                <w:rFonts w:ascii="Times New Roman" w:cs="Times New Roman" w:eastAsia="Times New Roman" w:hAnsi="Times New Roman"/>
                <w:sz w:val="17"/>
                <w:szCs w:val="17"/>
                <w:color w:val="000000"/>
              </w:rPr>
              <w:t>*</w:t>
            </w:r>
          </w:p>
        </w:tc>
        <w:tc>
          <w:tcPr>
            <w:tcW w:w="360" w:type="dxa"/>
            <w:vAlign w:val="bottom"/>
            <w:gridSpan w:val="9"/>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4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32.02</w:t>
            </w:r>
          </w:p>
        </w:tc>
        <w:tc>
          <w:tcPr>
            <w:tcW w:w="120" w:type="dxa"/>
            <w:vAlign w:val="bottom"/>
          </w:tcPr>
          <w:p>
            <w:pPr>
              <w:spacing w:after="0"/>
              <w:rPr>
                <w:sz w:val="23"/>
                <w:szCs w:val="23"/>
                <w:color w:val="auto"/>
              </w:rPr>
            </w:pPr>
          </w:p>
        </w:tc>
        <w:tc>
          <w:tcPr>
            <w:tcW w:w="57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20" w:type="dxa"/>
            <w:vAlign w:val="bottom"/>
            <w:tcBorders>
              <w:top w:val="single" w:sz="8" w:color="0000FF"/>
              <w:bottom w:val="single" w:sz="8" w:color="0000FF"/>
            </w:tcBorders>
            <w:gridSpan w:val="17"/>
          </w:tcPr>
          <w:p>
            <w:pPr>
              <w:spacing w:after="0" w:line="153" w:lineRule="exact"/>
              <w:rPr>
                <w:sz w:val="20"/>
                <w:szCs w:val="20"/>
                <w:color w:val="auto"/>
              </w:rPr>
            </w:pPr>
            <w:r>
              <w:rPr>
                <w:rFonts w:ascii="Times New Roman" w:cs="Times New Roman" w:eastAsia="Times New Roman" w:hAnsi="Times New Roman"/>
                <w:sz w:val="17"/>
                <w:szCs w:val="17"/>
                <w:color w:val="0000FF"/>
              </w:rPr>
              <w:t>13a-14(b) and Section 1350 of Chapter 63 of Title 18 of the U.S. Code (18</w:t>
            </w:r>
          </w:p>
        </w:tc>
        <w:tc>
          <w:tcPr>
            <w:tcW w:w="20" w:type="dxa"/>
            <w:vAlign w:val="bottom"/>
            <w:tcBorders>
              <w:bottom w:val="single" w:sz="8" w:color="0000FF"/>
            </w:tcBorders>
          </w:tcPr>
          <w:p>
            <w:pPr>
              <w:spacing w:after="0"/>
              <w:rPr>
                <w:sz w:val="13"/>
                <w:szCs w:val="13"/>
                <w:color w:val="auto"/>
              </w:rPr>
            </w:pPr>
          </w:p>
        </w:tc>
        <w:tc>
          <w:tcPr>
            <w:tcW w:w="420" w:type="dxa"/>
            <w:vAlign w:val="bottom"/>
            <w:gridSpan w:val="12"/>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40" w:type="dxa"/>
            <w:vAlign w:val="bottom"/>
            <w:gridSpan w:val="18"/>
          </w:tcPr>
          <w:p>
            <w:pPr>
              <w:spacing w:after="0" w:line="153" w:lineRule="exact"/>
              <w:rPr>
                <w:sz w:val="20"/>
                <w:szCs w:val="20"/>
                <w:color w:val="auto"/>
              </w:rPr>
            </w:pPr>
            <w:r>
              <w:rPr>
                <w:rFonts w:ascii="Times New Roman" w:cs="Times New Roman" w:eastAsia="Times New Roman" w:hAnsi="Times New Roman"/>
                <w:sz w:val="17"/>
                <w:szCs w:val="17"/>
                <w:color w:val="0000FF"/>
              </w:rPr>
              <w:t xml:space="preserve">U.S.C. 1350). </w:t>
            </w:r>
            <w:r>
              <w:rPr>
                <w:rFonts w:ascii="Times New Roman" w:cs="Times New Roman" w:eastAsia="Times New Roman" w:hAnsi="Times New Roman"/>
                <w:sz w:val="17"/>
                <w:szCs w:val="17"/>
                <w:color w:val="000000"/>
              </w:rPr>
              <w:t>*</w:t>
            </w:r>
          </w:p>
        </w:tc>
        <w:tc>
          <w:tcPr>
            <w:tcW w:w="420" w:type="dxa"/>
            <w:vAlign w:val="bottom"/>
            <w:gridSpan w:val="12"/>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760" w:type="dxa"/>
            <w:vAlign w:val="bottom"/>
            <w:gridSpan w:val="2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2"/>
                <w:szCs w:val="22"/>
                <w:color w:val="auto"/>
              </w:rPr>
            </w:pPr>
          </w:p>
        </w:tc>
        <w:tc>
          <w:tcPr>
            <w:tcW w:w="57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Interactive Data File. The instance document does not appear in the Interactive</w:t>
            </w: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760" w:type="dxa"/>
            <w:vAlign w:val="bottom"/>
            <w:gridSpan w:val="30"/>
          </w:tcPr>
          <w:p>
            <w:pPr>
              <w:spacing w:after="0" w:line="173" w:lineRule="exact"/>
              <w:rPr>
                <w:sz w:val="20"/>
                <w:szCs w:val="20"/>
                <w:color w:val="auto"/>
              </w:rPr>
            </w:pPr>
            <w:r>
              <w:rPr>
                <w:rFonts w:ascii="Times New Roman" w:cs="Times New Roman" w:eastAsia="Times New Roman" w:hAnsi="Times New Roman"/>
                <w:sz w:val="18"/>
                <w:szCs w:val="18"/>
                <w:color w:val="auto"/>
              </w:rPr>
              <w:t>Data File because its XBRL tags are embedded within the Inline XBRL</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document.</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7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5"/>
                <w:szCs w:val="15"/>
                <w:color w:val="auto"/>
              </w:rPr>
            </w:pPr>
          </w:p>
        </w:tc>
        <w:tc>
          <w:tcPr>
            <w:tcW w:w="5760" w:type="dxa"/>
            <w:vAlign w:val="bottom"/>
            <w:gridSpan w:val="30"/>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2"/>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Exhibit 101).</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460" w:right="1100" w:hanging="436"/>
        <w:spacing w:after="0" w:line="229" w:lineRule="auto"/>
        <w:tabs>
          <w:tab w:leader="none" w:pos="4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contemplated by SEC Release No. 33-8212, these exhibits are furnished with this Form 10-K and are not deemed filed with the Securities and Exchange Commission and are not incorporated by reference in any filing of VeriSign, Inc. under the Securities Act of 1933 or the Securities Exchange Act of 1934, whether made before or after the date hereof and irrespective of any general incorporation language in such filings.</w:t>
      </w:r>
    </w:p>
    <w:p>
      <w:pPr>
        <w:spacing w:after="0" w:line="126" w:lineRule="exact"/>
        <w:rPr>
          <w:sz w:val="20"/>
          <w:szCs w:val="20"/>
          <w:color w:val="auto"/>
        </w:rPr>
      </w:pPr>
    </w:p>
    <w:p>
      <w:pPr>
        <w:ind w:left="460" w:hanging="436"/>
        <w:spacing w:after="0"/>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 or arrangement.</w:t>
      </w:r>
    </w:p>
    <w:p>
      <w:pPr>
        <w:spacing w:after="0" w:line="149" w:lineRule="exact"/>
        <w:rPr>
          <w:sz w:val="20"/>
          <w:szCs w:val="20"/>
          <w:color w:val="auto"/>
        </w:rPr>
      </w:pPr>
    </w:p>
    <w:p>
      <w:pPr>
        <w:ind w:left="460" w:hanging="436"/>
        <w:spacing w:after="0"/>
        <w:tabs>
          <w:tab w:leader="none" w:pos="4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portions of this exhibit have been omitted pursuant to Item 601(b)(10)(iv) of Regulation S-K.</w:t>
      </w:r>
    </w:p>
    <w:p>
      <w:pPr>
        <w:spacing w:after="0" w:line="24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10-K SUMMARY</w:t>
      </w:r>
    </w:p>
    <w:p>
      <w:pPr>
        <w:spacing w:after="0" w:line="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80" w:firstLine="439"/>
        <w:spacing w:after="0" w:line="241"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 in the City of Reston, Commonwealth of Virginia, on the 17</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of February 2023.</w:t>
      </w:r>
    </w:p>
    <w:p>
      <w:pPr>
        <w:spacing w:after="0" w:line="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VERISIGN, INC</w:t>
      </w:r>
      <w:r>
        <w:rPr>
          <w:rFonts w:ascii="Times New Roman" w:cs="Times New Roman" w:eastAsia="Times New Roman" w:hAnsi="Times New Roman"/>
          <w:sz w:val="17"/>
          <w:szCs w:val="17"/>
          <w:color w:val="auto"/>
        </w:rPr>
        <w:t>.</w:t>
      </w:r>
    </w:p>
    <w:p>
      <w:pPr>
        <w:spacing w:after="0" w:line="117" w:lineRule="exact"/>
        <w:rPr>
          <w:sz w:val="20"/>
          <w:szCs w:val="20"/>
          <w:color w:val="auto"/>
        </w:rPr>
      </w:pPr>
    </w:p>
    <w:tbl>
      <w:tblPr>
        <w:tblLayout w:type="fixed"/>
        <w:tblInd w:w="5500" w:type="dxa"/>
        <w:tblCellMar>
          <w:top w:w="0" w:type="dxa"/>
          <w:left w:w="0" w:type="dxa"/>
          <w:bottom w:w="0" w:type="dxa"/>
          <w:right w:w="0" w:type="dxa"/>
        </w:tblCellMar>
      </w:tblPr>
      <w:tr>
        <w:trPr>
          <w:trHeight w:val="231"/>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26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/S/  D. JAMES BIDZOS</w:t>
            </w:r>
          </w:p>
        </w:tc>
      </w:tr>
      <w:tr>
        <w:trPr>
          <w:trHeight w:val="208"/>
        </w:trPr>
        <w:tc>
          <w:tcPr>
            <w:tcW w:w="46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 James Bidzos</w:t>
            </w:r>
          </w:p>
        </w:tc>
      </w:tr>
      <w:tr>
        <w:trPr>
          <w:trHeight w:val="186"/>
        </w:trPr>
        <w:tc>
          <w:tcPr>
            <w:tcW w:w="460" w:type="dxa"/>
            <w:vAlign w:val="bottom"/>
          </w:tcPr>
          <w:p>
            <w:pPr>
              <w:spacing w:after="0"/>
              <w:rPr>
                <w:sz w:val="16"/>
                <w:szCs w:val="16"/>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r>
      <w:tr>
        <w:trPr>
          <w:trHeight w:val="200"/>
        </w:trPr>
        <w:tc>
          <w:tcPr>
            <w:tcW w:w="460" w:type="dxa"/>
            <w:vAlign w:val="bottom"/>
          </w:tcPr>
          <w:p>
            <w:pPr>
              <w:spacing w:after="0"/>
              <w:rPr>
                <w:sz w:val="17"/>
                <w:szCs w:val="17"/>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bl>
    <w:p>
      <w:pPr>
        <w:spacing w:after="0" w:line="108" w:lineRule="exact"/>
        <w:rPr>
          <w:sz w:val="20"/>
          <w:szCs w:val="20"/>
          <w:color w:val="auto"/>
        </w:rPr>
      </w:pPr>
    </w:p>
    <w:p>
      <w:pPr>
        <w:ind w:firstLine="439"/>
        <w:spacing w:after="0" w:line="261" w:lineRule="auto"/>
        <w:rPr>
          <w:sz w:val="20"/>
          <w:szCs w:val="20"/>
          <w:color w:val="auto"/>
        </w:rPr>
      </w:pPr>
      <w:r>
        <w:rPr>
          <w:rFonts w:ascii="Times New Roman" w:cs="Times New Roman" w:eastAsia="Times New Roman" w:hAnsi="Times New Roman"/>
          <w:sz w:val="14"/>
          <w:szCs w:val="14"/>
          <w:color w:val="auto"/>
        </w:rPr>
        <w:t>KNOW ALL PERSONS BY THESE PRESENTS that each individual whose signature appears below constitutes and appoints D. James Bidzos, George E. Kilguss, III, and Thomas C. Indelicarto, and each of them, his or her true lawful attorneys-in-fact and agents, with full power of substitution, for him or her and in his or her name, place and stead, in any and all capacities, to sign any and all amendments to this Annual Report on Form 10-K and to file the same, with all exhibits thereto and all documents in connection therewith, with the Securities and Exchange Commission, granted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214" w:lineRule="exact"/>
        <w:rPr>
          <w:sz w:val="20"/>
          <w:szCs w:val="20"/>
          <w:color w:val="auto"/>
        </w:rPr>
      </w:pPr>
    </w:p>
    <w:p>
      <w:pPr>
        <w:ind w:right="240" w:firstLine="439"/>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by the following persons on behalf of the registrant and in the capacities indicated on the 17</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of February 2023.</w:t>
      </w: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300" w:type="dxa"/>
            <w:vAlign w:val="bottom"/>
            <w:gridSpan w:val="2"/>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8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0"/>
        </w:trPr>
        <w:tc>
          <w:tcPr>
            <w:tcW w:w="18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819"/>
        </w:trPr>
        <w:tc>
          <w:tcPr>
            <w:tcW w:w="18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center"/>
              <w:ind w:right="1100"/>
              <w:spacing w:after="0"/>
              <w:rPr>
                <w:sz w:val="20"/>
                <w:szCs w:val="20"/>
                <w:color w:val="auto"/>
              </w:rPr>
            </w:pPr>
            <w:r>
              <w:rPr>
                <w:rFonts w:ascii="Times New Roman" w:cs="Times New Roman" w:eastAsia="Times New Roman" w:hAnsi="Times New Roman"/>
                <w:sz w:val="18"/>
                <w:szCs w:val="18"/>
                <w:color w:val="auto"/>
              </w:rPr>
              <w:t>/S/  D. JAMES BIDZOS</w:t>
            </w:r>
          </w:p>
        </w:tc>
        <w:tc>
          <w:tcPr>
            <w:tcW w:w="840" w:type="dxa"/>
            <w:vAlign w:val="bottom"/>
            <w:tcBorders>
              <w:bottom w:val="single" w:sz="8" w:color="auto"/>
            </w:tcBorders>
          </w:tcPr>
          <w:p>
            <w:pPr>
              <w:spacing w:after="0"/>
              <w:rPr>
                <w:sz w:val="24"/>
                <w:szCs w:val="24"/>
                <w:color w:val="auto"/>
              </w:rPr>
            </w:pPr>
          </w:p>
        </w:tc>
        <w:tc>
          <w:tcPr>
            <w:tcW w:w="3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66"/>
        </w:trPr>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gridSpan w:val="3"/>
          </w:tcPr>
          <w:p>
            <w:pPr>
              <w:jc w:val="center"/>
              <w:ind w:right="880"/>
              <w:spacing w:after="0" w:line="166" w:lineRule="exact"/>
              <w:rPr>
                <w:sz w:val="20"/>
                <w:szCs w:val="20"/>
                <w:color w:val="auto"/>
              </w:rPr>
            </w:pPr>
            <w:r>
              <w:rPr>
                <w:rFonts w:ascii="Times New Roman" w:cs="Times New Roman" w:eastAsia="Times New Roman" w:hAnsi="Times New Roman"/>
                <w:sz w:val="18"/>
                <w:szCs w:val="18"/>
                <w:color w:val="auto"/>
                <w:w w:val="98"/>
              </w:rPr>
              <w:t>D. JAMES BIDZOS</w:t>
            </w:r>
          </w:p>
        </w:tc>
        <w:tc>
          <w:tcPr>
            <w:tcW w:w="840" w:type="dxa"/>
            <w:vAlign w:val="bottom"/>
          </w:tcPr>
          <w:p>
            <w:pPr>
              <w:spacing w:after="0"/>
              <w:rPr>
                <w:sz w:val="14"/>
                <w:szCs w:val="14"/>
                <w:color w:val="auto"/>
              </w:rPr>
            </w:pPr>
          </w:p>
        </w:tc>
        <w:tc>
          <w:tcPr>
            <w:tcW w:w="3740" w:type="dxa"/>
            <w:vAlign w:val="bottom"/>
            <w:gridSpan w:val="3"/>
          </w:tcPr>
          <w:p>
            <w:pPr>
              <w:ind w:left="560"/>
              <w:spacing w:after="0" w:line="166" w:lineRule="exact"/>
              <w:rPr>
                <w:sz w:val="20"/>
                <w:szCs w:val="20"/>
                <w:color w:val="auto"/>
              </w:rPr>
            </w:pPr>
            <w:r>
              <w:rPr>
                <w:rFonts w:ascii="Times New Roman" w:cs="Times New Roman" w:eastAsia="Times New Roman" w:hAnsi="Times New Roman"/>
                <w:sz w:val="18"/>
                <w:szCs w:val="18"/>
                <w:color w:val="auto"/>
              </w:rPr>
              <w:t>Executive Chairman and Director</w:t>
            </w:r>
          </w:p>
        </w:tc>
      </w:tr>
      <w:tr>
        <w:trPr>
          <w:trHeight w:val="232"/>
        </w:trPr>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7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02"/>
        </w:trPr>
        <w:tc>
          <w:tcPr>
            <w:tcW w:w="188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w w:val="89"/>
              </w:rPr>
              <w:t>/S/</w:t>
            </w:r>
          </w:p>
        </w:tc>
        <w:tc>
          <w:tcPr>
            <w:tcW w:w="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center"/>
              <w:ind w:right="840"/>
              <w:spacing w:after="0"/>
              <w:rPr>
                <w:sz w:val="20"/>
                <w:szCs w:val="20"/>
                <w:color w:val="auto"/>
              </w:rPr>
            </w:pPr>
            <w:r>
              <w:rPr>
                <w:rFonts w:ascii="Times New Roman" w:cs="Times New Roman" w:eastAsia="Times New Roman" w:hAnsi="Times New Roman"/>
                <w:sz w:val="18"/>
                <w:szCs w:val="18"/>
                <w:color w:val="auto"/>
                <w:w w:val="98"/>
              </w:rPr>
              <w:t>GEORGE E. KILGUSS, III</w:t>
            </w:r>
          </w:p>
        </w:tc>
        <w:tc>
          <w:tcPr>
            <w:tcW w:w="840" w:type="dxa"/>
            <w:vAlign w:val="bottom"/>
            <w:tcBorders>
              <w:bottom w:val="single" w:sz="8" w:color="auto"/>
            </w:tcBorders>
          </w:tcPr>
          <w:p>
            <w:pPr>
              <w:spacing w:after="0"/>
              <w:rPr>
                <w:sz w:val="24"/>
                <w:szCs w:val="24"/>
                <w:color w:val="auto"/>
              </w:rPr>
            </w:pPr>
          </w:p>
        </w:tc>
        <w:tc>
          <w:tcPr>
            <w:tcW w:w="3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2"/>
        </w:trPr>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8"/>
              </w:rPr>
              <w:t>GEORGE E. KILGUSS, III</w:t>
            </w:r>
          </w:p>
        </w:tc>
        <w:tc>
          <w:tcPr>
            <w:tcW w:w="840" w:type="dxa"/>
            <w:vAlign w:val="bottom"/>
          </w:tcPr>
          <w:p>
            <w:pPr>
              <w:spacing w:after="0"/>
              <w:rPr>
                <w:sz w:val="20"/>
                <w:szCs w:val="20"/>
                <w:color w:val="auto"/>
              </w:rPr>
            </w:pPr>
          </w:p>
        </w:tc>
        <w:tc>
          <w:tcPr>
            <w:tcW w:w="37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7"/>
              </w:rPr>
              <w:t>(Principal Financial and Accounting Officer)</w:t>
            </w:r>
          </w:p>
        </w:tc>
      </w:tr>
      <w:tr>
        <w:trPr>
          <w:trHeight w:val="279"/>
        </w:trPr>
        <w:tc>
          <w:tcPr>
            <w:tcW w:w="188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/S/</w:t>
            </w:r>
          </w:p>
        </w:tc>
        <w:tc>
          <w:tcPr>
            <w:tcW w:w="2980" w:type="dxa"/>
            <w:vAlign w:val="bottom"/>
            <w:tcBorders>
              <w:bottom w:val="single" w:sz="8" w:color="auto"/>
            </w:tcBorders>
            <w:gridSpan w:val="4"/>
          </w:tcPr>
          <w:p>
            <w:pPr>
              <w:jc w:val="center"/>
              <w:ind w:right="660"/>
              <w:spacing w:after="0"/>
              <w:rPr>
                <w:sz w:val="20"/>
                <w:szCs w:val="20"/>
                <w:color w:val="auto"/>
              </w:rPr>
            </w:pPr>
            <w:r>
              <w:rPr>
                <w:rFonts w:ascii="Times New Roman" w:cs="Times New Roman" w:eastAsia="Times New Roman" w:hAnsi="Times New Roman"/>
                <w:sz w:val="18"/>
                <w:szCs w:val="18"/>
                <w:color w:val="auto"/>
                <w:w w:val="98"/>
              </w:rPr>
              <w:t>COURTNEY ARMSTRONG</w:t>
            </w:r>
          </w:p>
        </w:tc>
        <w:tc>
          <w:tcPr>
            <w:tcW w:w="840" w:type="dxa"/>
            <w:vAlign w:val="bottom"/>
            <w:tcBorders>
              <w:bottom w:val="single" w:sz="8" w:color="auto"/>
            </w:tcBorders>
          </w:tcPr>
          <w:p>
            <w:pPr>
              <w:spacing w:after="0"/>
              <w:rPr>
                <w:sz w:val="24"/>
                <w:szCs w:val="24"/>
                <w:color w:val="auto"/>
              </w:rPr>
            </w:pPr>
          </w:p>
        </w:tc>
        <w:tc>
          <w:tcPr>
            <w:tcW w:w="3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4860" w:type="dxa"/>
            <w:vAlign w:val="bottom"/>
            <w:gridSpan w:val="5"/>
          </w:tcPr>
          <w:p>
            <w:pPr>
              <w:jc w:val="center"/>
              <w:ind w:left="751"/>
              <w:spacing w:after="0"/>
              <w:rPr>
                <w:sz w:val="20"/>
                <w:szCs w:val="20"/>
                <w:color w:val="auto"/>
              </w:rPr>
            </w:pPr>
            <w:r>
              <w:rPr>
                <w:rFonts w:ascii="Times New Roman" w:cs="Times New Roman" w:eastAsia="Times New Roman" w:hAnsi="Times New Roman"/>
                <w:sz w:val="18"/>
                <w:szCs w:val="18"/>
                <w:color w:val="auto"/>
                <w:w w:val="97"/>
              </w:rPr>
              <w:t>COURTNEY ARMSTRONG</w:t>
            </w:r>
          </w:p>
        </w:tc>
        <w:tc>
          <w:tcPr>
            <w:tcW w:w="8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74"/>
        </w:trPr>
        <w:tc>
          <w:tcPr>
            <w:tcW w:w="188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/S/</w:t>
            </w:r>
          </w:p>
        </w:tc>
        <w:tc>
          <w:tcPr>
            <w:tcW w:w="2980" w:type="dxa"/>
            <w:vAlign w:val="bottom"/>
            <w:tcBorders>
              <w:bottom w:val="single" w:sz="8" w:color="auto"/>
            </w:tcBorders>
            <w:gridSpan w:val="4"/>
          </w:tcPr>
          <w:p>
            <w:pPr>
              <w:jc w:val="center"/>
              <w:ind w:right="680"/>
              <w:spacing w:after="0"/>
              <w:rPr>
                <w:sz w:val="20"/>
                <w:szCs w:val="20"/>
                <w:color w:val="auto"/>
              </w:rPr>
            </w:pPr>
            <w:r>
              <w:rPr>
                <w:rFonts w:ascii="Times New Roman" w:cs="Times New Roman" w:eastAsia="Times New Roman" w:hAnsi="Times New Roman"/>
                <w:sz w:val="18"/>
                <w:szCs w:val="18"/>
                <w:color w:val="auto"/>
                <w:w w:val="97"/>
              </w:rPr>
              <w:t>YEHUDA ARI BUCHALTER</w:t>
            </w:r>
          </w:p>
        </w:tc>
        <w:tc>
          <w:tcPr>
            <w:tcW w:w="840" w:type="dxa"/>
            <w:vAlign w:val="bottom"/>
            <w:tcBorders>
              <w:bottom w:val="single" w:sz="8" w:color="auto"/>
            </w:tcBorders>
          </w:tcPr>
          <w:p>
            <w:pPr>
              <w:spacing w:after="0"/>
              <w:rPr>
                <w:sz w:val="23"/>
                <w:szCs w:val="23"/>
                <w:color w:val="auto"/>
              </w:rPr>
            </w:pPr>
          </w:p>
        </w:tc>
        <w:tc>
          <w:tcPr>
            <w:tcW w:w="3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1880" w:type="dxa"/>
            <w:vAlign w:val="bottom"/>
          </w:tcPr>
          <w:p>
            <w:pPr>
              <w:spacing w:after="0"/>
              <w:rPr>
                <w:sz w:val="19"/>
                <w:szCs w:val="19"/>
                <w:color w:val="auto"/>
              </w:rPr>
            </w:pPr>
          </w:p>
        </w:tc>
        <w:tc>
          <w:tcPr>
            <w:tcW w:w="298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color w:val="auto"/>
                <w:w w:val="97"/>
              </w:rPr>
              <w:t>YEHUDA ARI BUCHALTER</w:t>
            </w:r>
          </w:p>
        </w:tc>
        <w:tc>
          <w:tcPr>
            <w:tcW w:w="8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74"/>
        </w:trPr>
        <w:tc>
          <w:tcPr>
            <w:tcW w:w="2040" w:type="dxa"/>
            <w:vAlign w:val="bottom"/>
            <w:tcBorders>
              <w:bottom w:val="single" w:sz="8" w:color="auto"/>
            </w:tcBorders>
            <w:gridSpan w:val="2"/>
          </w:tcPr>
          <w:p>
            <w:pPr>
              <w:ind w:left="1740"/>
              <w:spacing w:after="0"/>
              <w:rPr>
                <w:sz w:val="20"/>
                <w:szCs w:val="20"/>
                <w:color w:val="auto"/>
              </w:rPr>
            </w:pPr>
            <w:r>
              <w:rPr>
                <w:rFonts w:ascii="Times New Roman" w:cs="Times New Roman" w:eastAsia="Times New Roman" w:hAnsi="Times New Roman"/>
                <w:sz w:val="18"/>
                <w:szCs w:val="18"/>
                <w:color w:val="auto"/>
              </w:rPr>
              <w:t>/S/</w:t>
            </w:r>
          </w:p>
        </w:tc>
        <w:tc>
          <w:tcPr>
            <w:tcW w:w="2820" w:type="dxa"/>
            <w:vAlign w:val="bottom"/>
            <w:tcBorders>
              <w:bottom w:val="single" w:sz="8" w:color="auto"/>
            </w:tcBorders>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7"/>
              </w:rPr>
              <w:t>KATHLEEN A. COTE</w:t>
            </w:r>
          </w:p>
        </w:tc>
        <w:tc>
          <w:tcPr>
            <w:tcW w:w="840" w:type="dxa"/>
            <w:vAlign w:val="bottom"/>
            <w:tcBorders>
              <w:bottom w:val="single" w:sz="8" w:color="auto"/>
            </w:tcBorders>
          </w:tcPr>
          <w:p>
            <w:pPr>
              <w:spacing w:after="0"/>
              <w:rPr>
                <w:sz w:val="23"/>
                <w:szCs w:val="23"/>
                <w:color w:val="auto"/>
              </w:rPr>
            </w:pPr>
          </w:p>
        </w:tc>
        <w:tc>
          <w:tcPr>
            <w:tcW w:w="3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7"/>
              </w:rPr>
              <w:t>KATHLEEN A. COTE</w:t>
            </w:r>
          </w:p>
        </w:tc>
        <w:tc>
          <w:tcPr>
            <w:tcW w:w="8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74"/>
        </w:trPr>
        <w:tc>
          <w:tcPr>
            <w:tcW w:w="2040" w:type="dxa"/>
            <w:vAlign w:val="bottom"/>
            <w:tcBorders>
              <w:bottom w:val="single" w:sz="8" w:color="auto"/>
            </w:tcBorders>
            <w:gridSpan w:val="2"/>
          </w:tcPr>
          <w:p>
            <w:pPr>
              <w:ind w:left="1760"/>
              <w:spacing w:after="0"/>
              <w:rPr>
                <w:sz w:val="20"/>
                <w:szCs w:val="20"/>
                <w:color w:val="auto"/>
              </w:rPr>
            </w:pPr>
            <w:r>
              <w:rPr>
                <w:rFonts w:ascii="Times New Roman" w:cs="Times New Roman" w:eastAsia="Times New Roman" w:hAnsi="Times New Roman"/>
                <w:sz w:val="18"/>
                <w:szCs w:val="18"/>
                <w:color w:val="auto"/>
              </w:rPr>
              <w:t>/S/</w:t>
            </w:r>
          </w:p>
        </w:tc>
        <w:tc>
          <w:tcPr>
            <w:tcW w:w="2820" w:type="dxa"/>
            <w:vAlign w:val="bottom"/>
            <w:tcBorders>
              <w:bottom w:val="single" w:sz="8" w:color="auto"/>
            </w:tcBorders>
            <w:gridSpan w:val="3"/>
          </w:tcPr>
          <w:p>
            <w:pPr>
              <w:jc w:val="center"/>
              <w:ind w:right="1060"/>
              <w:spacing w:after="0"/>
              <w:rPr>
                <w:sz w:val="20"/>
                <w:szCs w:val="20"/>
                <w:color w:val="auto"/>
              </w:rPr>
            </w:pPr>
            <w:r>
              <w:rPr>
                <w:rFonts w:ascii="Times New Roman" w:cs="Times New Roman" w:eastAsia="Times New Roman" w:hAnsi="Times New Roman"/>
                <w:sz w:val="18"/>
                <w:szCs w:val="18"/>
                <w:color w:val="auto"/>
                <w:w w:val="98"/>
              </w:rPr>
              <w:t>THOMAS F. FRIST III</w:t>
            </w:r>
          </w:p>
        </w:tc>
        <w:tc>
          <w:tcPr>
            <w:tcW w:w="840" w:type="dxa"/>
            <w:vAlign w:val="bottom"/>
            <w:tcBorders>
              <w:bottom w:val="single" w:sz="8" w:color="auto"/>
            </w:tcBorders>
          </w:tcPr>
          <w:p>
            <w:pPr>
              <w:spacing w:after="0"/>
              <w:rPr>
                <w:sz w:val="23"/>
                <w:szCs w:val="23"/>
                <w:color w:val="auto"/>
              </w:rPr>
            </w:pPr>
          </w:p>
        </w:tc>
        <w:tc>
          <w:tcPr>
            <w:tcW w:w="3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1880" w:type="dxa"/>
            <w:vAlign w:val="bottom"/>
          </w:tcPr>
          <w:p>
            <w:pPr>
              <w:spacing w:after="0"/>
              <w:rPr>
                <w:sz w:val="19"/>
                <w:szCs w:val="19"/>
                <w:color w:val="auto"/>
              </w:rPr>
            </w:pPr>
          </w:p>
        </w:tc>
        <w:tc>
          <w:tcPr>
            <w:tcW w:w="298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color w:val="auto"/>
                <w:w w:val="97"/>
              </w:rPr>
              <w:t>THOMAS F. FRIST III</w:t>
            </w:r>
          </w:p>
        </w:tc>
        <w:tc>
          <w:tcPr>
            <w:tcW w:w="8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74"/>
        </w:trPr>
        <w:tc>
          <w:tcPr>
            <w:tcW w:w="1880" w:type="dxa"/>
            <w:vAlign w:val="bottom"/>
            <w:tcBorders>
              <w:bottom w:val="single" w:sz="8" w:color="auto"/>
            </w:tcBorders>
          </w:tcPr>
          <w:p>
            <w:pPr>
              <w:spacing w:after="0"/>
              <w:rPr>
                <w:sz w:val="23"/>
                <w:szCs w:val="23"/>
                <w:color w:val="auto"/>
              </w:rPr>
            </w:pPr>
          </w:p>
        </w:tc>
        <w:tc>
          <w:tcPr>
            <w:tcW w:w="2980" w:type="dxa"/>
            <w:vAlign w:val="bottom"/>
            <w:tcBorders>
              <w:bottom w:val="single" w:sz="8" w:color="auto"/>
            </w:tcBorders>
            <w:gridSpan w:val="4"/>
          </w:tcPr>
          <w:p>
            <w:pPr>
              <w:jc w:val="center"/>
              <w:ind w:right="1040"/>
              <w:spacing w:after="0"/>
              <w:rPr>
                <w:sz w:val="20"/>
                <w:szCs w:val="20"/>
                <w:color w:val="auto"/>
              </w:rPr>
            </w:pPr>
            <w:r>
              <w:rPr>
                <w:rFonts w:ascii="Times New Roman" w:cs="Times New Roman" w:eastAsia="Times New Roman" w:hAnsi="Times New Roman"/>
                <w:sz w:val="18"/>
                <w:szCs w:val="18"/>
                <w:color w:val="auto"/>
                <w:w w:val="98"/>
              </w:rPr>
              <w:t>/S/ JAMIE S. GORELICK</w:t>
            </w:r>
          </w:p>
        </w:tc>
        <w:tc>
          <w:tcPr>
            <w:tcW w:w="840" w:type="dxa"/>
            <w:vAlign w:val="bottom"/>
            <w:tcBorders>
              <w:bottom w:val="single" w:sz="8" w:color="auto"/>
            </w:tcBorders>
          </w:tcPr>
          <w:p>
            <w:pPr>
              <w:spacing w:after="0"/>
              <w:rPr>
                <w:sz w:val="23"/>
                <w:szCs w:val="23"/>
                <w:color w:val="auto"/>
              </w:rPr>
            </w:pPr>
          </w:p>
        </w:tc>
        <w:tc>
          <w:tcPr>
            <w:tcW w:w="3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7"/>
              </w:rPr>
              <w:t>JAMIE S. GORELICK</w:t>
            </w:r>
          </w:p>
        </w:tc>
        <w:tc>
          <w:tcPr>
            <w:tcW w:w="8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74"/>
        </w:trPr>
        <w:tc>
          <w:tcPr>
            <w:tcW w:w="2040" w:type="dxa"/>
            <w:vAlign w:val="bottom"/>
            <w:tcBorders>
              <w:bottom w:val="single" w:sz="8" w:color="auto"/>
            </w:tcBorders>
            <w:gridSpan w:val="2"/>
          </w:tcPr>
          <w:p>
            <w:pPr>
              <w:ind w:left="1820"/>
              <w:spacing w:after="0"/>
              <w:rPr>
                <w:sz w:val="20"/>
                <w:szCs w:val="20"/>
                <w:color w:val="auto"/>
              </w:rPr>
            </w:pPr>
            <w:r>
              <w:rPr>
                <w:rFonts w:ascii="Times New Roman" w:cs="Times New Roman" w:eastAsia="Times New Roman" w:hAnsi="Times New Roman"/>
                <w:sz w:val="18"/>
                <w:szCs w:val="18"/>
                <w:color w:val="auto"/>
                <w:w w:val="99"/>
              </w:rPr>
              <w:t>/S/</w:t>
            </w:r>
          </w:p>
        </w:tc>
        <w:tc>
          <w:tcPr>
            <w:tcW w:w="2820" w:type="dxa"/>
            <w:vAlign w:val="bottom"/>
            <w:tcBorders>
              <w:bottom w:val="single" w:sz="8" w:color="auto"/>
            </w:tcBorders>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8"/>
              </w:rPr>
              <w:t>ROGER H. MOORE</w:t>
            </w:r>
          </w:p>
        </w:tc>
        <w:tc>
          <w:tcPr>
            <w:tcW w:w="840" w:type="dxa"/>
            <w:vAlign w:val="bottom"/>
            <w:tcBorders>
              <w:bottom w:val="single" w:sz="8" w:color="auto"/>
            </w:tcBorders>
          </w:tcPr>
          <w:p>
            <w:pPr>
              <w:spacing w:after="0"/>
              <w:rPr>
                <w:sz w:val="23"/>
                <w:szCs w:val="23"/>
                <w:color w:val="auto"/>
              </w:rPr>
            </w:pPr>
          </w:p>
        </w:tc>
        <w:tc>
          <w:tcPr>
            <w:tcW w:w="3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8"/>
              </w:rPr>
              <w:t>ROGER H. MOORE</w:t>
            </w:r>
          </w:p>
        </w:tc>
        <w:tc>
          <w:tcPr>
            <w:tcW w:w="8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74"/>
        </w:trPr>
        <w:tc>
          <w:tcPr>
            <w:tcW w:w="188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/S/</w:t>
            </w:r>
          </w:p>
        </w:tc>
        <w:tc>
          <w:tcPr>
            <w:tcW w:w="29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TIMOTHY TOMLINSON</w:t>
            </w:r>
          </w:p>
        </w:tc>
        <w:tc>
          <w:tcPr>
            <w:tcW w:w="840" w:type="dxa"/>
            <w:vAlign w:val="bottom"/>
            <w:tcBorders>
              <w:bottom w:val="single" w:sz="8" w:color="auto"/>
            </w:tcBorders>
          </w:tcPr>
          <w:p>
            <w:pPr>
              <w:spacing w:after="0"/>
              <w:rPr>
                <w:sz w:val="23"/>
                <w:szCs w:val="23"/>
                <w:color w:val="auto"/>
              </w:rPr>
            </w:pPr>
          </w:p>
        </w:tc>
        <w:tc>
          <w:tcPr>
            <w:tcW w:w="3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8"/>
              </w:rPr>
              <w:t>TIMOTHY TOMLINSON</w:t>
            </w:r>
          </w:p>
        </w:tc>
        <w:tc>
          <w:tcPr>
            <w:tcW w:w="8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1087"/>
        </w:trPr>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23.01</w:t>
      </w:r>
    </w:p>
    <w:p>
      <w:pPr>
        <w:spacing w:after="0" w:line="9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333-39212, 333-45237, 333-46803, 333-59458, 333-69818, 333-75236, 333-82941, 333-86178, 333-86188, 333-106395, 333-117908, 333-126352, 333-144590, 333-147136, and 333-223107) on Form S-8, the registration statements (Nos. 333-256347 and 33-72222) on Form S-3, and the registration statements (Nos. 333-190732, 333-204485, and 333-219525) on Form S-4 of our reports dated February 17, 2023, with respect to the consolidated financial statements of VeriSign, Inc. and subsidiaries and the effectiveness of internal control over financial reporting.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2023</w:t>
      </w:r>
    </w:p>
    <w:p>
      <w:pPr>
        <w:sectPr>
          <w:pgSz w:w="11900" w:h="16838" w:orient="portrait"/>
          <w:cols w:equalWidth="0" w:num="1">
            <w:col w:w="11240"/>
          </w:cols>
          <w:pgMar w:left="320" w:top="1291"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31.01</w:t>
      </w:r>
    </w:p>
    <w:p>
      <w:pPr>
        <w:spacing w:after="0" w:line="99" w:lineRule="exact"/>
        <w:rPr>
          <w:sz w:val="20"/>
          <w:szCs w:val="20"/>
          <w:color w:val="auto"/>
        </w:rPr>
      </w:pPr>
    </w:p>
    <w:p>
      <w:pPr>
        <w:jc w:val="center"/>
        <w:ind w:left="340" w:right="2620"/>
        <w:spacing w:after="0" w:line="257"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13a-14(a)/15d-14(a) AS ADOPTED PURSUANT TO SECTION 302 OF THE SARBANES-OXLEY ACT OF 2002</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 James Bidzos, certify that:</w:t>
      </w:r>
    </w:p>
    <w:p>
      <w:pPr>
        <w:spacing w:after="0" w:line="86" w:lineRule="exact"/>
        <w:rPr>
          <w:sz w:val="20"/>
          <w:szCs w:val="20"/>
          <w:color w:val="auto"/>
        </w:rPr>
      </w:pPr>
    </w:p>
    <w:p>
      <w:pPr>
        <w:ind w:left="180" w:hanging="174"/>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VeriSign, Inc.;</w:t>
      </w:r>
    </w:p>
    <w:p>
      <w:pPr>
        <w:spacing w:after="0" w:line="99" w:lineRule="exact"/>
        <w:rPr>
          <w:rFonts w:ascii="Times New Roman" w:cs="Times New Roman" w:eastAsia="Times New Roman" w:hAnsi="Times New Roman"/>
          <w:sz w:val="18"/>
          <w:szCs w:val="18"/>
          <w:color w:val="auto"/>
        </w:rPr>
      </w:pPr>
    </w:p>
    <w:p>
      <w:pPr>
        <w:ind w:left="240" w:right="180" w:hanging="234"/>
        <w:spacing w:after="0" w:line="306" w:lineRule="auto"/>
        <w:tabs>
          <w:tab w:leader="none" w:pos="17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 w:lineRule="exact"/>
        <w:rPr>
          <w:rFonts w:ascii="Times New Roman" w:cs="Times New Roman" w:eastAsia="Times New Roman" w:hAnsi="Times New Roman"/>
          <w:sz w:val="17"/>
          <w:szCs w:val="17"/>
          <w:color w:val="auto"/>
        </w:rPr>
      </w:pPr>
    </w:p>
    <w:p>
      <w:pPr>
        <w:ind w:left="240" w:right="40" w:hanging="234"/>
        <w:spacing w:after="0" w:line="276" w:lineRule="auto"/>
        <w:tabs>
          <w:tab w:leader="none" w:pos="1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Times New Roman" w:cs="Times New Roman" w:eastAsia="Times New Roman" w:hAnsi="Times New Roman"/>
          <w:sz w:val="18"/>
          <w:szCs w:val="18"/>
          <w:color w:val="auto"/>
        </w:rPr>
      </w:pPr>
    </w:p>
    <w:p>
      <w:pPr>
        <w:ind w:left="240" w:hanging="234"/>
        <w:spacing w:after="0" w:line="261" w:lineRule="auto"/>
        <w:tabs>
          <w:tab w:leader="none" w:pos="1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6" w:lineRule="exact"/>
        <w:rPr>
          <w:rFonts w:ascii="Times New Roman" w:cs="Times New Roman" w:eastAsia="Times New Roman" w:hAnsi="Times New Roman"/>
          <w:sz w:val="18"/>
          <w:szCs w:val="18"/>
          <w:color w:val="auto"/>
        </w:rPr>
      </w:pPr>
    </w:p>
    <w:p>
      <w:pPr>
        <w:jc w:val="both"/>
        <w:ind w:left="880" w:right="340" w:hanging="235"/>
        <w:spacing w:after="0" w:line="261" w:lineRule="auto"/>
        <w:tabs>
          <w:tab w:leader="none" w:pos="82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Times New Roman" w:cs="Times New Roman" w:eastAsia="Times New Roman" w:hAnsi="Times New Roman"/>
          <w:sz w:val="18"/>
          <w:szCs w:val="18"/>
          <w:color w:val="auto"/>
        </w:rPr>
      </w:pPr>
    </w:p>
    <w:p>
      <w:pPr>
        <w:ind w:left="880" w:right="600" w:hanging="235"/>
        <w:spacing w:after="0" w:line="261" w:lineRule="auto"/>
        <w:tabs>
          <w:tab w:leader="none" w:pos="83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Times New Roman" w:cs="Times New Roman" w:eastAsia="Times New Roman" w:hAnsi="Times New Roman"/>
          <w:sz w:val="18"/>
          <w:szCs w:val="18"/>
          <w:color w:val="auto"/>
        </w:rPr>
      </w:pPr>
    </w:p>
    <w:p>
      <w:pPr>
        <w:ind w:left="880" w:right="760" w:hanging="235"/>
        <w:spacing w:after="0" w:line="306" w:lineRule="auto"/>
        <w:tabs>
          <w:tab w:leader="none" w:pos="822"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rFonts w:ascii="Times New Roman" w:cs="Times New Roman" w:eastAsia="Times New Roman" w:hAnsi="Times New Roman"/>
          <w:sz w:val="17"/>
          <w:szCs w:val="17"/>
          <w:color w:val="auto"/>
        </w:rPr>
      </w:pPr>
    </w:p>
    <w:p>
      <w:pPr>
        <w:ind w:left="880" w:hanging="235"/>
        <w:spacing w:after="0" w:line="261" w:lineRule="auto"/>
        <w:tabs>
          <w:tab w:leader="none" w:pos="83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Times New Roman" w:cs="Times New Roman" w:eastAsia="Times New Roman" w:hAnsi="Times New Roman"/>
          <w:sz w:val="18"/>
          <w:szCs w:val="18"/>
          <w:color w:val="auto"/>
        </w:rPr>
      </w:pPr>
    </w:p>
    <w:p>
      <w:pPr>
        <w:ind w:left="240" w:right="440" w:hanging="234"/>
        <w:spacing w:after="0" w:line="276" w:lineRule="auto"/>
        <w:tabs>
          <w:tab w:leader="none" w:pos="1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Times New Roman" w:cs="Times New Roman" w:eastAsia="Times New Roman" w:hAnsi="Times New Roman"/>
          <w:sz w:val="18"/>
          <w:szCs w:val="18"/>
          <w:color w:val="auto"/>
        </w:rPr>
      </w:pPr>
    </w:p>
    <w:p>
      <w:pPr>
        <w:ind w:left="960" w:right="160" w:hanging="235"/>
        <w:spacing w:after="0" w:line="276" w:lineRule="auto"/>
        <w:tabs>
          <w:tab w:leader="none" w:pos="902"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Times New Roman" w:cs="Times New Roman" w:eastAsia="Times New Roman" w:hAnsi="Times New Roman"/>
          <w:sz w:val="18"/>
          <w:szCs w:val="18"/>
          <w:color w:val="auto"/>
        </w:rPr>
      </w:pPr>
    </w:p>
    <w:p>
      <w:pPr>
        <w:ind w:left="960" w:right="120" w:hanging="235"/>
        <w:spacing w:after="0" w:line="276" w:lineRule="auto"/>
        <w:tabs>
          <w:tab w:leader="none" w:pos="912"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3" w:lineRule="exact"/>
        <w:rPr>
          <w:sz w:val="20"/>
          <w:szCs w:val="20"/>
          <w:color w:val="auto"/>
        </w:rPr>
      </w:pPr>
    </w:p>
    <w:p>
      <w:pPr>
        <w:ind w:left="680"/>
        <w:spacing w:after="0"/>
        <w:tabs>
          <w:tab w:leader="none" w:pos="5860" w:val="left"/>
          <w:tab w:leader="none" w:pos="7680" w:val="left"/>
        </w:tabs>
        <w:rPr>
          <w:sz w:val="20"/>
          <w:szCs w:val="20"/>
          <w:color w:val="auto"/>
        </w:rPr>
      </w:pPr>
      <w:r>
        <w:rPr>
          <w:rFonts w:ascii="Times New Roman" w:cs="Times New Roman" w:eastAsia="Times New Roman" w:hAnsi="Times New Roman"/>
          <w:sz w:val="18"/>
          <w:szCs w:val="18"/>
          <w:color w:val="auto"/>
        </w:rPr>
        <w:t>Date: February 17,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 J</w:t>
      </w:r>
      <w:r>
        <w:rPr>
          <w:rFonts w:ascii="Times New Roman" w:cs="Times New Roman" w:eastAsia="Times New Roman" w:hAnsi="Times New Roman"/>
          <w:sz w:val="13"/>
          <w:szCs w:val="13"/>
          <w:color w:val="auto"/>
        </w:rPr>
        <w:t>AMES</w:t>
      </w:r>
      <w:r>
        <w:rPr>
          <w:rFonts w:ascii="Times New Roman" w:cs="Times New Roman" w:eastAsia="Times New Roman" w:hAnsi="Times New Roman"/>
          <w:sz w:val="17"/>
          <w:szCs w:val="17"/>
          <w:color w:val="auto"/>
        </w:rPr>
        <w:t xml:space="preserve"> B</w:t>
      </w:r>
      <w:r>
        <w:rPr>
          <w:rFonts w:ascii="Times New Roman" w:cs="Times New Roman" w:eastAsia="Times New Roman" w:hAnsi="Times New Roman"/>
          <w:sz w:val="13"/>
          <w:szCs w:val="13"/>
          <w:color w:val="auto"/>
        </w:rPr>
        <w:t>IDZOS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4019550</wp:posOffset>
            </wp:positionH>
            <wp:positionV relativeFrom="paragraph">
              <wp:posOffset>24130</wp:posOffset>
            </wp:positionV>
            <wp:extent cx="27051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8">
                      <a:extLst>
                        <a:ext uri="{28A0092B-C50C-407E-A947-70E740481C1C}"/>
                      </a:extLst>
                    </a:blip>
                    <a:srcRect/>
                    <a:stretch>
                      <a:fillRect/>
                    </a:stretch>
                  </pic:blipFill>
                  <pic:spPr bwMode="auto">
                    <a:xfrm>
                      <a:off x="0" y="0"/>
                      <a:ext cx="2705100" cy="8255"/>
                    </a:xfrm>
                    <a:prstGeom prst="rect">
                      <a:avLst/>
                    </a:prstGeom>
                    <a:noFill/>
                  </pic:spPr>
                </pic:pic>
              </a:graphicData>
            </a:graphic>
          </wp:anchor>
        </w:drawing>
      </w:r>
    </w:p>
    <w:p>
      <w:pPr>
        <w:spacing w:after="0" w:line="24"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D. James Bidzos</w:t>
      </w:r>
    </w:p>
    <w:p>
      <w:pPr>
        <w:spacing w:after="0" w:line="27"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9"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291"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31.02</w:t>
      </w:r>
    </w:p>
    <w:p>
      <w:pPr>
        <w:spacing w:after="0" w:line="99" w:lineRule="exact"/>
        <w:rPr>
          <w:sz w:val="20"/>
          <w:szCs w:val="20"/>
          <w:color w:val="auto"/>
        </w:rPr>
      </w:pPr>
    </w:p>
    <w:p>
      <w:pPr>
        <w:jc w:val="center"/>
        <w:ind w:left="340" w:right="2640"/>
        <w:spacing w:after="0" w:line="257"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13a-14(a)/15d-14(a) AS ADOPTED PURSUANT TO SECTION 302 OF THE SARBANES-OXLEY ACT OF 2002</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E. Kilguss, III, certify that:</w:t>
      </w:r>
    </w:p>
    <w:p>
      <w:pPr>
        <w:spacing w:after="0" w:line="86" w:lineRule="exact"/>
        <w:rPr>
          <w:sz w:val="20"/>
          <w:szCs w:val="20"/>
          <w:color w:val="auto"/>
        </w:rPr>
      </w:pPr>
    </w:p>
    <w:p>
      <w:pPr>
        <w:ind w:left="180" w:hanging="174"/>
        <w:spacing w:after="0"/>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VeriSign, Inc.;</w:t>
      </w:r>
    </w:p>
    <w:p>
      <w:pPr>
        <w:spacing w:after="0" w:line="99" w:lineRule="exact"/>
        <w:rPr>
          <w:rFonts w:ascii="Times New Roman" w:cs="Times New Roman" w:eastAsia="Times New Roman" w:hAnsi="Times New Roman"/>
          <w:sz w:val="18"/>
          <w:szCs w:val="18"/>
          <w:color w:val="auto"/>
        </w:rPr>
      </w:pPr>
    </w:p>
    <w:p>
      <w:pPr>
        <w:ind w:left="240" w:right="180" w:hanging="234"/>
        <w:spacing w:after="0" w:line="306" w:lineRule="auto"/>
        <w:tabs>
          <w:tab w:leader="none" w:pos="17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 w:lineRule="exact"/>
        <w:rPr>
          <w:rFonts w:ascii="Times New Roman" w:cs="Times New Roman" w:eastAsia="Times New Roman" w:hAnsi="Times New Roman"/>
          <w:sz w:val="17"/>
          <w:szCs w:val="17"/>
          <w:color w:val="auto"/>
        </w:rPr>
      </w:pPr>
    </w:p>
    <w:p>
      <w:pPr>
        <w:ind w:left="240" w:right="40" w:hanging="234"/>
        <w:spacing w:after="0" w:line="276" w:lineRule="auto"/>
        <w:tabs>
          <w:tab w:leader="none" w:pos="1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Times New Roman" w:cs="Times New Roman" w:eastAsia="Times New Roman" w:hAnsi="Times New Roman"/>
          <w:sz w:val="18"/>
          <w:szCs w:val="18"/>
          <w:color w:val="auto"/>
        </w:rPr>
      </w:pPr>
    </w:p>
    <w:p>
      <w:pPr>
        <w:ind w:left="240" w:hanging="234"/>
        <w:spacing w:after="0" w:line="261" w:lineRule="auto"/>
        <w:tabs>
          <w:tab w:leader="none" w:pos="1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6" w:lineRule="exact"/>
        <w:rPr>
          <w:rFonts w:ascii="Times New Roman" w:cs="Times New Roman" w:eastAsia="Times New Roman" w:hAnsi="Times New Roman"/>
          <w:sz w:val="18"/>
          <w:szCs w:val="18"/>
          <w:color w:val="auto"/>
        </w:rPr>
      </w:pPr>
    </w:p>
    <w:p>
      <w:pPr>
        <w:jc w:val="both"/>
        <w:ind w:left="880" w:right="340" w:hanging="235"/>
        <w:spacing w:after="0" w:line="261" w:lineRule="auto"/>
        <w:tabs>
          <w:tab w:leader="none" w:pos="82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Times New Roman" w:cs="Times New Roman" w:eastAsia="Times New Roman" w:hAnsi="Times New Roman"/>
          <w:sz w:val="18"/>
          <w:szCs w:val="18"/>
          <w:color w:val="auto"/>
        </w:rPr>
      </w:pPr>
    </w:p>
    <w:p>
      <w:pPr>
        <w:ind w:left="880" w:right="600" w:hanging="235"/>
        <w:spacing w:after="0" w:line="261" w:lineRule="auto"/>
        <w:tabs>
          <w:tab w:leader="none" w:pos="83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Times New Roman" w:cs="Times New Roman" w:eastAsia="Times New Roman" w:hAnsi="Times New Roman"/>
          <w:sz w:val="18"/>
          <w:szCs w:val="18"/>
          <w:color w:val="auto"/>
        </w:rPr>
      </w:pPr>
    </w:p>
    <w:p>
      <w:pPr>
        <w:ind w:left="880" w:right="760" w:hanging="235"/>
        <w:spacing w:after="0" w:line="306" w:lineRule="auto"/>
        <w:tabs>
          <w:tab w:leader="none" w:pos="822"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rFonts w:ascii="Times New Roman" w:cs="Times New Roman" w:eastAsia="Times New Roman" w:hAnsi="Times New Roman"/>
          <w:sz w:val="17"/>
          <w:szCs w:val="17"/>
          <w:color w:val="auto"/>
        </w:rPr>
      </w:pPr>
    </w:p>
    <w:p>
      <w:pPr>
        <w:ind w:left="880" w:hanging="235"/>
        <w:spacing w:after="0" w:line="261" w:lineRule="auto"/>
        <w:tabs>
          <w:tab w:leader="none" w:pos="83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Times New Roman" w:cs="Times New Roman" w:eastAsia="Times New Roman" w:hAnsi="Times New Roman"/>
          <w:sz w:val="18"/>
          <w:szCs w:val="18"/>
          <w:color w:val="auto"/>
        </w:rPr>
      </w:pPr>
    </w:p>
    <w:p>
      <w:pPr>
        <w:ind w:left="240" w:right="440" w:hanging="234"/>
        <w:spacing w:after="0" w:line="276" w:lineRule="auto"/>
        <w:tabs>
          <w:tab w:leader="none" w:pos="1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Times New Roman" w:cs="Times New Roman" w:eastAsia="Times New Roman" w:hAnsi="Times New Roman"/>
          <w:sz w:val="18"/>
          <w:szCs w:val="18"/>
          <w:color w:val="auto"/>
        </w:rPr>
      </w:pPr>
    </w:p>
    <w:p>
      <w:pPr>
        <w:ind w:left="880" w:right="240" w:hanging="235"/>
        <w:spacing w:after="0" w:line="276" w:lineRule="auto"/>
        <w:tabs>
          <w:tab w:leader="none" w:pos="82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Times New Roman" w:cs="Times New Roman" w:eastAsia="Times New Roman" w:hAnsi="Times New Roman"/>
          <w:sz w:val="18"/>
          <w:szCs w:val="18"/>
          <w:color w:val="auto"/>
        </w:rPr>
      </w:pPr>
    </w:p>
    <w:p>
      <w:pPr>
        <w:ind w:left="880" w:right="200" w:hanging="235"/>
        <w:spacing w:after="0" w:line="276" w:lineRule="auto"/>
        <w:tabs>
          <w:tab w:leader="none" w:pos="83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spacing w:after="0"/>
        <w:tabs>
          <w:tab w:leader="none" w:pos="5900" w:val="left"/>
          <w:tab w:leader="none" w:pos="7800" w:val="left"/>
        </w:tabs>
        <w:rPr>
          <w:sz w:val="20"/>
          <w:szCs w:val="20"/>
          <w:color w:val="auto"/>
        </w:rPr>
      </w:pPr>
      <w:r>
        <w:rPr>
          <w:rFonts w:ascii="Times New Roman" w:cs="Times New Roman" w:eastAsia="Times New Roman" w:hAnsi="Times New Roman"/>
          <w:sz w:val="18"/>
          <w:szCs w:val="18"/>
          <w:color w:val="auto"/>
        </w:rPr>
        <w:t>Date: February 17,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w:t>
      </w:r>
      <w:r>
        <w:rPr>
          <w:rFonts w:ascii="Times New Roman" w:cs="Times New Roman" w:eastAsia="Times New Roman" w:hAnsi="Times New Roman"/>
          <w:sz w:val="13"/>
          <w:szCs w:val="13"/>
          <w:color w:val="auto"/>
        </w:rPr>
        <w:t>EORGE</w:t>
      </w:r>
      <w:r>
        <w:rPr>
          <w:rFonts w:ascii="Times New Roman" w:cs="Times New Roman" w:eastAsia="Times New Roman" w:hAnsi="Times New Roman"/>
          <w:sz w:val="17"/>
          <w:szCs w:val="17"/>
          <w:color w:val="auto"/>
        </w:rPr>
        <w:t xml:space="preserve"> E. K</w:t>
      </w:r>
      <w:r>
        <w:rPr>
          <w:rFonts w:ascii="Times New Roman" w:cs="Times New Roman" w:eastAsia="Times New Roman" w:hAnsi="Times New Roman"/>
          <w:sz w:val="13"/>
          <w:szCs w:val="13"/>
          <w:color w:val="auto"/>
        </w:rPr>
        <w:t>ILGUSS</w:t>
      </w:r>
      <w:r>
        <w:rPr>
          <w:rFonts w:ascii="Times New Roman" w:cs="Times New Roman" w:eastAsia="Times New Roman" w:hAnsi="Times New Roman"/>
          <w:sz w:val="17"/>
          <w:szCs w:val="17"/>
          <w:color w:val="auto"/>
        </w:rPr>
        <w: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24130</wp:posOffset>
            </wp:positionV>
            <wp:extent cx="30854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9">
                      <a:extLst>
                        <a:ext uri="{28A0092B-C50C-407E-A947-70E740481C1C}"/>
                      </a:extLst>
                    </a:blip>
                    <a:srcRect/>
                    <a:stretch>
                      <a:fillRect/>
                    </a:stretch>
                  </pic:blipFill>
                  <pic:spPr bwMode="auto">
                    <a:xfrm>
                      <a:off x="0" y="0"/>
                      <a:ext cx="3085465" cy="8255"/>
                    </a:xfrm>
                    <a:prstGeom prst="rect">
                      <a:avLst/>
                    </a:prstGeom>
                    <a:noFill/>
                  </pic:spPr>
                </pic:pic>
              </a:graphicData>
            </a:graphic>
          </wp:anchor>
        </w:drawing>
      </w:r>
    </w:p>
    <w:p>
      <w:pPr>
        <w:spacing w:after="0" w:line="24"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8"/>
          <w:szCs w:val="18"/>
          <w:b w:val="1"/>
          <w:bCs w:val="1"/>
          <w:color w:val="auto"/>
        </w:rPr>
        <w:t>George E. Kilguss, III</w:t>
      </w:r>
    </w:p>
    <w:p>
      <w:pPr>
        <w:spacing w:after="0" w:line="27"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9"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291"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32.01</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320" w:lineRule="exact"/>
        <w:rPr>
          <w:sz w:val="20"/>
          <w:szCs w:val="20"/>
          <w:color w:val="auto"/>
        </w:rPr>
      </w:pPr>
    </w:p>
    <w:p>
      <w:pPr>
        <w:ind w:right="240" w:firstLine="639"/>
        <w:spacing w:after="0" w:line="276" w:lineRule="auto"/>
        <w:rPr>
          <w:sz w:val="20"/>
          <w:szCs w:val="20"/>
          <w:color w:val="auto"/>
        </w:rPr>
      </w:pPr>
      <w:r>
        <w:rPr>
          <w:rFonts w:ascii="Times New Roman" w:cs="Times New Roman" w:eastAsia="Times New Roman" w:hAnsi="Times New Roman"/>
          <w:sz w:val="18"/>
          <w:szCs w:val="18"/>
          <w:color w:val="auto"/>
        </w:rPr>
        <w:t>I, D. James Bidzos, Chief Executive Officer of VeriSign, Inc. (the “Company”), do hereby certify, pursuant to 18 U.S.C. Section 1350, as adopted pursuant to Section 906 of the Sarbanes-Oxley Act of 2002, that, to my knowledge:</w:t>
      </w:r>
    </w:p>
    <w:p>
      <w:pPr>
        <w:spacing w:after="0" w:line="30" w:lineRule="exact"/>
        <w:rPr>
          <w:sz w:val="20"/>
          <w:szCs w:val="20"/>
          <w:color w:val="auto"/>
        </w:rPr>
      </w:pPr>
    </w:p>
    <w:p>
      <w:pPr>
        <w:jc w:val="right"/>
        <w:ind w:left="1200" w:right="320" w:hanging="235"/>
        <w:spacing w:after="0" w:line="306" w:lineRule="auto"/>
        <w:tabs>
          <w:tab w:leader="none" w:pos="113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on Form 10-K of the Company for the fiscal year ended December 31, 2022, as filed with the Securities and Exchange Commission (the “Report”), fully complies with the requirements of Section 13(a) or 15(d) of the Securities Exchange Act of 1934; and</w:t>
      </w:r>
    </w:p>
    <w:p>
      <w:pPr>
        <w:spacing w:after="0" w:line="20" w:lineRule="exact"/>
        <w:rPr>
          <w:rFonts w:ascii="Times New Roman" w:cs="Times New Roman" w:eastAsia="Times New Roman" w:hAnsi="Times New Roman"/>
          <w:sz w:val="17"/>
          <w:szCs w:val="17"/>
          <w:color w:val="auto"/>
        </w:rPr>
      </w:pPr>
    </w:p>
    <w:p>
      <w:pPr>
        <w:ind w:left="1200" w:right="620" w:hanging="235"/>
        <w:spacing w:after="0" w:line="276" w:lineRule="auto"/>
        <w:tabs>
          <w:tab w:leader="none" w:pos="113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3" w:lineRule="exact"/>
        <w:rPr>
          <w:sz w:val="20"/>
          <w:szCs w:val="20"/>
          <w:color w:val="auto"/>
        </w:rPr>
      </w:pPr>
    </w:p>
    <w:p>
      <w:pPr>
        <w:ind w:left="1000"/>
        <w:spacing w:after="0"/>
        <w:tabs>
          <w:tab w:leader="none" w:pos="7540" w:val="left"/>
        </w:tabs>
        <w:rPr>
          <w:sz w:val="20"/>
          <w:szCs w:val="20"/>
          <w:color w:val="auto"/>
        </w:rPr>
      </w:pPr>
      <w:r>
        <w:rPr>
          <w:rFonts w:ascii="Times New Roman" w:cs="Times New Roman" w:eastAsia="Times New Roman" w:hAnsi="Times New Roman"/>
          <w:sz w:val="18"/>
          <w:szCs w:val="18"/>
          <w:color w:val="auto"/>
        </w:rPr>
        <w:t>Date: February 17, 2023</w:t>
      </w:r>
      <w:r>
        <w:rPr>
          <w:sz w:val="20"/>
          <w:szCs w:val="20"/>
          <w:color w:val="auto"/>
        </w:rPr>
        <w:tab/>
      </w:r>
      <w:r>
        <w:rPr>
          <w:rFonts w:ascii="Times New Roman" w:cs="Times New Roman" w:eastAsia="Times New Roman" w:hAnsi="Times New Roman"/>
          <w:sz w:val="18"/>
          <w:szCs w:val="18"/>
          <w:color w:val="auto"/>
        </w:rPr>
        <w:t>/S/ D. J</w:t>
      </w:r>
      <w:r>
        <w:rPr>
          <w:rFonts w:ascii="Times New Roman" w:cs="Times New Roman" w:eastAsia="Times New Roman" w:hAnsi="Times New Roman"/>
          <w:sz w:val="14"/>
          <w:szCs w:val="14"/>
          <w:color w:val="auto"/>
        </w:rPr>
        <w:t>AMES</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IDZOS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24130</wp:posOffset>
            </wp:positionV>
            <wp:extent cx="2476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0">
                      <a:extLst>
                        <a:ext uri="{28A0092B-C50C-407E-A947-70E740481C1C}"/>
                      </a:extLst>
                    </a:blip>
                    <a:srcRect/>
                    <a:stretch>
                      <a:fillRect/>
                    </a:stretch>
                  </pic:blipFill>
                  <pic:spPr bwMode="auto">
                    <a:xfrm>
                      <a:off x="0" y="0"/>
                      <a:ext cx="2476500" cy="8255"/>
                    </a:xfrm>
                    <a:prstGeom prst="rect">
                      <a:avLst/>
                    </a:prstGeom>
                    <a:noFill/>
                  </pic:spPr>
                </pic:pic>
              </a:graphicData>
            </a:graphic>
          </wp:anchor>
        </w:drawing>
      </w:r>
    </w:p>
    <w:p>
      <w:pPr>
        <w:spacing w:after="0" w:line="24"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8"/>
          <w:szCs w:val="18"/>
          <w:b w:val="1"/>
          <w:bCs w:val="1"/>
          <w:color w:val="auto"/>
        </w:rPr>
        <w:t>D. James Bidzos</w:t>
      </w:r>
    </w:p>
    <w:p>
      <w:pPr>
        <w:spacing w:after="0" w:line="27"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9"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291"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32.02</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320" w:lineRule="exact"/>
        <w:rPr>
          <w:sz w:val="20"/>
          <w:szCs w:val="20"/>
          <w:color w:val="auto"/>
        </w:rPr>
      </w:pPr>
    </w:p>
    <w:p>
      <w:pPr>
        <w:ind w:right="520" w:firstLine="639"/>
        <w:spacing w:after="0" w:line="276" w:lineRule="auto"/>
        <w:rPr>
          <w:sz w:val="20"/>
          <w:szCs w:val="20"/>
          <w:color w:val="auto"/>
        </w:rPr>
      </w:pPr>
      <w:r>
        <w:rPr>
          <w:rFonts w:ascii="Times New Roman" w:cs="Times New Roman" w:eastAsia="Times New Roman" w:hAnsi="Times New Roman"/>
          <w:sz w:val="18"/>
          <w:szCs w:val="18"/>
          <w:color w:val="auto"/>
        </w:rPr>
        <w:t>I, George E. Kilguss, III, Chief Financial Officer of VeriSign, Inc. (the “Company”), do hereby certify, pursuant to 18 U.S.C. Section 1350, as adopted pursuant to Section 906 of the Sarbanes-Oxley Act of 2002, that, to my knowledge:</w:t>
      </w:r>
    </w:p>
    <w:p>
      <w:pPr>
        <w:spacing w:after="0" w:line="30" w:lineRule="exact"/>
        <w:rPr>
          <w:sz w:val="20"/>
          <w:szCs w:val="20"/>
          <w:color w:val="auto"/>
        </w:rPr>
      </w:pPr>
    </w:p>
    <w:p>
      <w:pPr>
        <w:jc w:val="right"/>
        <w:ind w:left="1200" w:right="320" w:hanging="235"/>
        <w:spacing w:after="0" w:line="306" w:lineRule="auto"/>
        <w:tabs>
          <w:tab w:leader="none" w:pos="113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on Form 10-K of the Company for the fiscal year ended December 31, 2022, as filed with the Securities and Exchange Commission (the “Report”), fully complies with the requirements of Section 13(a) or 15(d) of the Securities Exchange Act of 1934; and</w:t>
      </w:r>
    </w:p>
    <w:p>
      <w:pPr>
        <w:spacing w:after="0" w:line="20" w:lineRule="exact"/>
        <w:rPr>
          <w:rFonts w:ascii="Times New Roman" w:cs="Times New Roman" w:eastAsia="Times New Roman" w:hAnsi="Times New Roman"/>
          <w:sz w:val="17"/>
          <w:szCs w:val="17"/>
          <w:color w:val="auto"/>
        </w:rPr>
      </w:pPr>
    </w:p>
    <w:p>
      <w:pPr>
        <w:ind w:left="1200" w:right="620" w:hanging="235"/>
        <w:spacing w:after="0" w:line="276" w:lineRule="auto"/>
        <w:tabs>
          <w:tab w:leader="none" w:pos="113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3" w:lineRule="exact"/>
        <w:rPr>
          <w:sz w:val="20"/>
          <w:szCs w:val="20"/>
          <w:color w:val="auto"/>
        </w:rPr>
      </w:pPr>
    </w:p>
    <w:p>
      <w:pPr>
        <w:ind w:left="1000"/>
        <w:spacing w:after="0"/>
        <w:tabs>
          <w:tab w:leader="none" w:pos="7280" w:val="left"/>
        </w:tabs>
        <w:rPr>
          <w:sz w:val="20"/>
          <w:szCs w:val="20"/>
          <w:color w:val="auto"/>
        </w:rPr>
      </w:pPr>
      <w:r>
        <w:rPr>
          <w:rFonts w:ascii="Times New Roman" w:cs="Times New Roman" w:eastAsia="Times New Roman" w:hAnsi="Times New Roman"/>
          <w:sz w:val="18"/>
          <w:szCs w:val="18"/>
          <w:color w:val="auto"/>
        </w:rPr>
        <w:t>Date: February 17, 2023</w:t>
      </w:r>
      <w:r>
        <w:rPr>
          <w:sz w:val="20"/>
          <w:szCs w:val="20"/>
          <w:color w:val="auto"/>
        </w:rPr>
        <w:tab/>
      </w:r>
      <w:r>
        <w:rPr>
          <w:rFonts w:ascii="Times New Roman" w:cs="Times New Roman" w:eastAsia="Times New Roman" w:hAnsi="Times New Roman"/>
          <w:sz w:val="18"/>
          <w:szCs w:val="18"/>
          <w:color w:val="auto"/>
        </w:rPr>
        <w:t>/S/ G</w:t>
      </w:r>
      <w:r>
        <w:rPr>
          <w:rFonts w:ascii="Times New Roman" w:cs="Times New Roman" w:eastAsia="Times New Roman" w:hAnsi="Times New Roman"/>
          <w:sz w:val="14"/>
          <w:szCs w:val="14"/>
          <w:color w:val="auto"/>
        </w:rPr>
        <w:t>EORGE</w:t>
      </w:r>
      <w:r>
        <w:rPr>
          <w:rFonts w:ascii="Times New Roman" w:cs="Times New Roman" w:eastAsia="Times New Roman" w:hAnsi="Times New Roman"/>
          <w:sz w:val="18"/>
          <w:szCs w:val="18"/>
          <w:color w:val="auto"/>
        </w:rPr>
        <w:t xml:space="preserve"> E. K</w:t>
      </w:r>
      <w:r>
        <w:rPr>
          <w:rFonts w:ascii="Times New Roman" w:cs="Times New Roman" w:eastAsia="Times New Roman" w:hAnsi="Times New Roman"/>
          <w:sz w:val="14"/>
          <w:szCs w:val="14"/>
          <w:color w:val="auto"/>
        </w:rPr>
        <w:t>ILGUSS</w:t>
      </w:r>
      <w:r>
        <w:rPr>
          <w:rFonts w:ascii="Times New Roman" w:cs="Times New Roman" w:eastAsia="Times New Roman" w:hAnsi="Times New Roman"/>
          <w:sz w:val="18"/>
          <w:szCs w:val="18"/>
          <w:color w:val="auto"/>
        </w:rPr>
        <w: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24130</wp:posOffset>
            </wp:positionV>
            <wp:extent cx="25190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1">
                      <a:extLst>
                        <a:ext uri="{28A0092B-C50C-407E-A947-70E740481C1C}"/>
                      </a:extLst>
                    </a:blip>
                    <a:srcRect/>
                    <a:stretch>
                      <a:fillRect/>
                    </a:stretch>
                  </pic:blipFill>
                  <pic:spPr bwMode="auto">
                    <a:xfrm>
                      <a:off x="0" y="0"/>
                      <a:ext cx="2519045" cy="8255"/>
                    </a:xfrm>
                    <a:prstGeom prst="rect">
                      <a:avLst/>
                    </a:prstGeom>
                    <a:noFill/>
                  </pic:spPr>
                </pic:pic>
              </a:graphicData>
            </a:graphic>
          </wp:anchor>
        </w:drawing>
      </w:r>
    </w:p>
    <w:p>
      <w:pPr>
        <w:spacing w:after="0" w:line="24"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8"/>
          <w:szCs w:val="18"/>
          <w:b w:val="1"/>
          <w:bCs w:val="1"/>
          <w:color w:val="auto"/>
        </w:rPr>
        <w:t>George E. Kilguss, III</w:t>
      </w:r>
    </w:p>
    <w:p>
      <w:pPr>
        <w:spacing w:after="0" w:line="27"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9"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2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lvl w:ilvl="1">
      <w:lvlJc w:val="left"/>
      <w:lvlText w:val="•"/>
      <w:numFmt w:val="bullet"/>
      <w:start w:val="1"/>
    </w:lvl>
  </w:abstractNum>
  <w:abstractNum w:abstractNumId="10">
    <w:nsid w:val="7FDCC233"/>
    <w:multiLevelType w:val="hybridMultilevel"/>
    <w:lvl w:ilvl="0">
      <w:lvlJc w:val="left"/>
      <w:lvlText w:val="%1."/>
      <w:numFmt w:val="decimal"/>
      <w:start w:val="3"/>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97" Type="http://schemas.openxmlformats.org/officeDocument/2006/relationships/image" Target="media/image65.png"/><Relationship Id="rId98" Type="http://schemas.openxmlformats.org/officeDocument/2006/relationships/image" Target="media/image66.png"/><Relationship Id="rId107" Type="http://schemas.openxmlformats.org/officeDocument/2006/relationships/image" Target="media/image67.png"/><Relationship Id="rId108" Type="http://schemas.openxmlformats.org/officeDocument/2006/relationships/image" Target="media/image68.png"/><Relationship Id="rId109" Type="http://schemas.openxmlformats.org/officeDocument/2006/relationships/image" Target="media/image69.png"/><Relationship Id="rId110" Type="http://schemas.openxmlformats.org/officeDocument/2006/relationships/image" Target="media/image70.png"/><Relationship Id="rId111" Type="http://schemas.openxmlformats.org/officeDocument/2006/relationships/image" Target="media/image71.png"/><Relationship Id="rId70" Type="http://schemas.openxmlformats.org/officeDocument/2006/relationships/hyperlink" Target="http://www.sec.gov/Archives/edgar/data/1014473/000101287000001253/0001012870-00-001253.txt" TargetMode="External"/><Relationship Id="rId71" Type="http://schemas.openxmlformats.org/officeDocument/2006/relationships/hyperlink" Target="http://www.sec.gov/Archives/edgar/data/1014473/000101447317000004/vrsn-20161231x10kxex301.htm" TargetMode="External"/><Relationship Id="rId72" Type="http://schemas.openxmlformats.org/officeDocument/2006/relationships/hyperlink" Target="http://www.sec.gov/Archives/edgar/data/1014473/000101447321000005/vrsn-20201231x10kxex302.htm" TargetMode="External"/><Relationship Id="rId73" Type="http://schemas.openxmlformats.org/officeDocument/2006/relationships/hyperlink" Target="http://www.sec.gov/Archives/edgar/data/1014473/000119312513158777/d522120dex41.htm" TargetMode="External"/><Relationship Id="rId74" Type="http://schemas.openxmlformats.org/officeDocument/2006/relationships/hyperlink" Target="http://www.sec.gov/Archives/edgar/data/1014473/000101447315000035/ex41.htm" TargetMode="External"/><Relationship Id="rId75" Type="http://schemas.openxmlformats.org/officeDocument/2006/relationships/hyperlink" Target="http://www.sec.gov/Archives/edgar/data/1014473/000101447317000021/form8-k7517xex41.htm" TargetMode="External"/><Relationship Id="rId76" Type="http://schemas.openxmlformats.org/officeDocument/2006/relationships/hyperlink" Target="http://www.sec.gov/Archives/edgar/data/1014473/000114036121020169/brhc10025490_ex4-1.htm" TargetMode="External"/><Relationship Id="rId79" Type="http://schemas.openxmlformats.org/officeDocument/2006/relationships/hyperlink" Target="http://www.sec.gov/Archives/edgar/data/1014473/000114036121020169/brhc10025490_ex4-2.htm" TargetMode="External"/><Relationship Id="rId80" Type="http://schemas.openxmlformats.org/officeDocument/2006/relationships/hyperlink" Target="http://www.sec.gov/Archives/edgar/data/1014473/000101447321000005/vrsn-20201231x10kxex404.htm" TargetMode="External"/><Relationship Id="rId81" Type="http://schemas.openxmlformats.org/officeDocument/2006/relationships/hyperlink" Target="http://www.sec.gov/Archives/edgar/data/1014473/000101447317000007/a2017definitiveproxystatem.htm#sA765FD5437645CB4B0540407AE312D7C" TargetMode="External"/><Relationship Id="rId82" Type="http://schemas.openxmlformats.org/officeDocument/2006/relationships/hyperlink" Target="http://www.sec.gov/Archives/edgar/data/1014473/000119312507154202/dex1027.htm" TargetMode="External"/><Relationship Id="rId83" Type="http://schemas.openxmlformats.org/officeDocument/2006/relationships/hyperlink" Target="http://www.sec.gov/Archives/edgar/data/1014473/000101447317000029/vrsn-2017630x10qxex1001.htm" TargetMode="External"/><Relationship Id="rId84" Type="http://schemas.openxmlformats.org/officeDocument/2006/relationships/hyperlink" Target="http://www.sec.gov/Archives/edgar/data/1014473/000101447317000029/vrsn-2017630x10qxex1002.htm" TargetMode="External"/><Relationship Id="rId85" Type="http://schemas.openxmlformats.org/officeDocument/2006/relationships/hyperlink" Target="http://www.sec.gov/Archives/edgar/data/1014473/000101447312000011/vrsn-2012630x10qxex1003.htm" TargetMode="External"/><Relationship Id="rId86" Type="http://schemas.openxmlformats.org/officeDocument/2006/relationships/hyperlink" Target="http://www.sec.gov/Archives/edgar/data/1014473/000119312511241850/dex101.htm" TargetMode="External"/><Relationship Id="rId87" Type="http://schemas.openxmlformats.org/officeDocument/2006/relationships/hyperlink" Target="http://www.sec.gov/Archives/edgar/data/1014473/000101447312000030/exhibit101.htm" TargetMode="External"/><Relationship Id="rId88" Type="http://schemas.openxmlformats.org/officeDocument/2006/relationships/hyperlink" Target="http://www.sec.gov/Archives/edgar/data/1014473/000101447312000030/exhibit102.htm" TargetMode="External"/><Relationship Id="rId89" Type="http://schemas.openxmlformats.org/officeDocument/2006/relationships/hyperlink" Target="http://www.sec.gov/Archives/edgar/data/1014473/000101447316000101/vrsn-2016630x10qxex1001.htm" TargetMode="External"/><Relationship Id="rId90" Type="http://schemas.openxmlformats.org/officeDocument/2006/relationships/hyperlink" Target="http://www.sec.gov/Archives/edgar/data/1014473/000101447316000086/vrsn-20151231x10kxex1070.htm" TargetMode="External"/><Relationship Id="rId91" Type="http://schemas.openxmlformats.org/officeDocument/2006/relationships/hyperlink" Target="http://www.sec.gov/Archives/edgar/data/1014473/000101447316000113/a101-amendmenttocomregistr.htm" TargetMode="External"/><Relationship Id="rId92" Type="http://schemas.openxmlformats.org/officeDocument/2006/relationships/hyperlink" Target="http://www.sec.gov/Archives/edgar/data/1014473/000101447316000113/a102-amendment32tocooperat.htm" TargetMode="External"/><Relationship Id="rId93" Type="http://schemas.openxmlformats.org/officeDocument/2006/relationships/hyperlink" Target="http://www.sec.gov/Archives/edgar/data/1014473/000101447316000113/a103-amendment34tocooperat.htm" TargetMode="External"/><Relationship Id="rId94" Type="http://schemas.openxmlformats.org/officeDocument/2006/relationships/hyperlink" Target="http://www.sec.gov/Archives/edgar/data/1014473/000101447316000102/a2016definitiveproxystatem.htm#s92812585CB5CECADF5E033E2599C6057" TargetMode="External"/><Relationship Id="rId95" Type="http://schemas.openxmlformats.org/officeDocument/2006/relationships/hyperlink" Target="http://www.sec.gov/Archives/edgar/data/1014473/000101447317000018/exhibit101.htm" TargetMode="External"/><Relationship Id="rId96" Type="http://schemas.openxmlformats.org/officeDocument/2006/relationships/hyperlink" Target="http://www.sec.gov/Archives/edgar/data/1014473/000101447318000042/exhibit101-amendment35.htm" TargetMode="External"/><Relationship Id="rId99" Type="http://schemas.openxmlformats.org/officeDocument/2006/relationships/hyperlink" Target="http://www.sec.gov/Archives/edgar/data/1014473/000101447319000005/vrsn-20181231x10kxex1020.htm" TargetMode="External"/><Relationship Id="rId100" Type="http://schemas.openxmlformats.org/officeDocument/2006/relationships/hyperlink" Target="http://www.sec.gov/Archives/edgar/data/1014473/000101447320000006/vrsn-20191231x10kxex1021.htm" TargetMode="External"/><Relationship Id="rId101" Type="http://schemas.openxmlformats.org/officeDocument/2006/relationships/hyperlink" Target="http://www.sec.gov/Archives/edgar/data/1014473/000101447320000006/vrsn-20191231x10kxex1022.htm" TargetMode="External"/><Relationship Id="rId102" Type="http://schemas.openxmlformats.org/officeDocument/2006/relationships/hyperlink" Target="http://www.sec.gov/Archives/edgar/data/1014473/000101447320000010/vrsn8-k32720xex101.htm" TargetMode="External"/><Relationship Id="rId103" Type="http://schemas.openxmlformats.org/officeDocument/2006/relationships/hyperlink" Target="http://www.sec.gov/Archives/edgar/data/1014473/000101447320000034/vrsn-2020930x10qxex1001.htm" TargetMode="External"/><Relationship Id="rId104" Type="http://schemas.openxmlformats.org/officeDocument/2006/relationships/hyperlink" Target="http://www.sec.gov/Archives/edgar/data/1014473/000101447322000007/vrsn-20211231x10kxex1022.htm" TargetMode="External"/><Relationship Id="rId105" Type="http://schemas.openxmlformats.org/officeDocument/2006/relationships/hyperlink" Target="http://www.sec.gov/Archives/edgar/data/1014473/000119312510096731/dex1001.htm" TargetMode="External"/><Relationship Id="rId106" Type="http://schemas.openxmlformats.org/officeDocument/2006/relationships/hyperlink" Target="http://www.sec.gov/Archives/edgar/data/1014473/000101447320000006/vrsn-20191231x10kx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2023-02-17T15:23:40Z</dcterms:created>
  <dcterms:modified xsi:type="dcterms:W3CDTF">2023-02-17T15:23:40Z</dcterms:modified>
</cp:coreProperties>
</file>