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6687.xml.htm"/>
      <w:bookmarkStart w:id="1" w:name="kswkform4_178708668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CALYS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71"/>
        <w:gridCol w:w="899"/>
        <w:gridCol w:w="771"/>
        <w:gridCol w:w="597"/>
        <w:gridCol w:w="337"/>
        <w:gridCol w:w="992"/>
        <w:gridCol w:w="423"/>
        <w:gridCol w:w="829"/>
        <w:gridCol w:w="1422"/>
        <w:gridCol w:w="958"/>
        <w:gridCol w:w="90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55.8702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284.24</w:t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31,069.801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72.4133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284.24</w:t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30,997.3877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70.3378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284.24</w:t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30,927.0499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Disposition of shares exempt under Rule 16b-3 as payment of tax liability to Company by delivery or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Reporting Person's total direct holdings disclosed in Table I, Item 5 under Amount of Securities Beneficially Owned Following Reported Transaction(s) includes 39 shares acquired July 31, 2026 under the Amended and Restated 2007 Employee Stock Purchase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John Calys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0819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651</Words>
  <Characters>3566</Characters>
  <CharactersWithSpaces>4132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