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91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BERKSHIRE HATHAWAY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3555 FARNAM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VERISIGN INC/CA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917"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68131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91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10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12/26/2024</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6,745</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201.7477</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13,200,094</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12/26/2024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11,060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202.7136</w:t>
            </w:r>
            <w:r>
              <w:rPr>
                <w:rFonts w:ascii="Times New Roman" w:cs="Times New Roman" w:eastAsia="Times New Roman" w:hAnsi="Times New Roman"/>
                <w:sz w:val="22"/>
                <w:szCs w:val="22"/>
                <w:color w:val="008000"/>
                <w:w w:val="95"/>
                <w:vertAlign w:val="superscript"/>
              </w:rPr>
              <w:t>(4)</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13,211,154</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12/26/2024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106</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203.13</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13,211,260</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12/27/2024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6,619</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202.5082</w:t>
            </w:r>
            <w:r>
              <w:rPr>
                <w:rFonts w:ascii="Times New Roman" w:cs="Times New Roman" w:eastAsia="Times New Roman" w:hAnsi="Times New Roman"/>
                <w:sz w:val="22"/>
                <w:szCs w:val="22"/>
                <w:color w:val="008000"/>
                <w:w w:val="95"/>
                <w:vertAlign w:val="superscript"/>
              </w:rPr>
              <w:t>(5)</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13,217,879</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12/27/2024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17,932</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203.787</w:t>
            </w:r>
            <w:r>
              <w:rPr>
                <w:rFonts w:ascii="Times New Roman" w:cs="Times New Roman" w:eastAsia="Times New Roman" w:hAnsi="Times New Roman"/>
                <w:sz w:val="22"/>
                <w:szCs w:val="22"/>
                <w:color w:val="008000"/>
                <w:w w:val="95"/>
                <w:vertAlign w:val="superscript"/>
              </w:rPr>
              <w:t>(6)</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13,235,811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12/27/2024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4,751</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204.1902</w:t>
            </w:r>
            <w:r>
              <w:rPr>
                <w:rFonts w:ascii="Times New Roman" w:cs="Times New Roman" w:eastAsia="Times New Roman" w:hAnsi="Times New Roman"/>
                <w:sz w:val="22"/>
                <w:szCs w:val="22"/>
                <w:color w:val="008000"/>
                <w:w w:val="95"/>
                <w:vertAlign w:val="superscript"/>
              </w:rPr>
              <w:t>(7)</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13,240,562</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12/27/2024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2,498</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205.3999</w:t>
            </w:r>
            <w:r>
              <w:rPr>
                <w:rFonts w:ascii="Times New Roman" w:cs="Times New Roman" w:eastAsia="Times New Roman" w:hAnsi="Times New Roman"/>
                <w:sz w:val="22"/>
                <w:szCs w:val="22"/>
                <w:color w:val="008000"/>
                <w:w w:val="95"/>
                <w:vertAlign w:val="superscript"/>
              </w:rPr>
              <w:t>(8)</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13,243,060</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12/27/2024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305</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206.0378</w:t>
            </w:r>
            <w:r>
              <w:rPr>
                <w:rFonts w:ascii="Times New Roman" w:cs="Times New Roman" w:eastAsia="Times New Roman" w:hAnsi="Times New Roman"/>
                <w:sz w:val="22"/>
                <w:szCs w:val="22"/>
                <w:color w:val="008000"/>
                <w:w w:val="95"/>
                <w:vertAlign w:val="superscript"/>
              </w:rPr>
              <w:t>(9)</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13,243,365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12/30/2024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203.2741</w:t>
            </w:r>
            <w:r>
              <w:rPr>
                <w:rFonts w:ascii="Times New Roman" w:cs="Times New Roman" w:eastAsia="Times New Roman" w:hAnsi="Times New Roman"/>
                <w:sz w:val="22"/>
                <w:szCs w:val="22"/>
                <w:color w:val="008000"/>
                <w:w w:val="96"/>
                <w:vertAlign w:val="superscript"/>
              </w:rPr>
              <w:t>(10)</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13,248,365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12/30/2024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11,730</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204.402</w:t>
            </w:r>
            <w:r>
              <w:rPr>
                <w:rFonts w:ascii="Times New Roman" w:cs="Times New Roman" w:eastAsia="Times New Roman" w:hAnsi="Times New Roman"/>
                <w:sz w:val="22"/>
                <w:szCs w:val="22"/>
                <w:color w:val="008000"/>
                <w:w w:val="94"/>
                <w:vertAlign w:val="superscript"/>
              </w:rPr>
              <w:t>(11)</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13,260,095</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12/30/2024</w:t>
            </w:r>
          </w:p>
        </w:tc>
        <w:tc>
          <w:tcPr>
            <w:tcW w:w="8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9,741</w:t>
            </w: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10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204.8507</w:t>
            </w:r>
            <w:r>
              <w:rPr>
                <w:rFonts w:ascii="Times New Roman" w:cs="Times New Roman" w:eastAsia="Times New Roman" w:hAnsi="Times New Roman"/>
                <w:sz w:val="22"/>
                <w:szCs w:val="22"/>
                <w:color w:val="008000"/>
                <w:w w:val="96"/>
                <w:vertAlign w:val="superscript"/>
              </w:rPr>
              <w:t>(12)</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13,269,836</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40" w:type="dxa"/>
            <w:vAlign w:val="bottom"/>
            <w:gridSpan w:val="14"/>
          </w:tcPr>
          <w:p>
            <w:pPr>
              <w:jc w:val="right"/>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gridSpan w:val="11"/>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108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4"/>
          <w:szCs w:val="24"/>
          <w:color w:val="auto"/>
        </w:rPr>
      </w:pPr>
    </w:p>
    <w:p>
      <w:pPr>
        <w:spacing w:after="0"/>
        <w:rPr>
          <w:sz w:val="20"/>
          <w:szCs w:val="20"/>
          <w:color w:val="auto"/>
        </w:rPr>
      </w:pPr>
      <w:r>
        <w:rPr>
          <w:sz w:val="1"/>
          <w:szCs w:val="1"/>
          <w:color w:val="auto"/>
        </w:rPr>
        <w:drawing>
          <wp:inline distT="0" distB="0" distL="0" distR="0">
            <wp:extent cx="33655" cy="2495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2495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17"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BERKSHIRE HATHAWAY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3134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31349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3555 FARNAM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NE</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68131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BUFFETT WARREN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3555 FARNAM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OMAHA</w:t>
            </w: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NE</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68131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$201.1200 to $202.1150. The Reporting Persons undertake to provide Verisign, Inc. ("Verisign"), any security holder of Verisign,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7,996,889 of the total reported securities are owned as of December 30, 2024 by the following subsidiary of Berkshire Hathaway Inc. ("Berkshire"): Government Employees Insurance Company (7,996,889). As Berkshire is in the chain of ownership of the subsidiary, it may be deemed presently to both beneficially own and have a pecuniary interest in all shares presently directly owned by the subsidiary. Warren E. Buffett, as the controlling stockholder of Berkshire, may be deemed presently to beneficially own, but only to the extent he has a pecuniary interest in, the shares presently owned by the subsidiary. Mr. Buffett disclaims beneficial ownership of the reported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5,272,947 of the total reported securities are owned as of December 30, 2024 by the following pension plans of Berkshire's subsidiaries: Berkshire Hathaway Consolidated Pension Plan (1,015,032), Precision CastParts Corp Master Trust (362,815), Scott Fetzer Collective Investment Trust (95,100) and BNSF Master Retirement Trust (3,800,000). Each of Berkshire, Mr. Buffett and these pension plans disclaims beneficial ownership in such shares.</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$202.1200 to $203.0600. The Reporting Persons undertake to provide Verisign, any security holder of Verisign, or the staff of the Securities and Exchange Commission, upon request, full information regarding the number of shares purchased at each separate price within the range set forth in footnote 4 to this Form 4.</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$201.9800 to $202.9600. The Reporting Persons undertake to provide Verisign, any security holder of Verisign, or the staff of the Securities and Exchange Commission, upon request, full information regarding the number of shares purchased at each separate price within the range set forth in footnote 5 to this Form 4.</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$203.0100 to $203.9700. The Reporting Persons undertake to provide Verisign, any security holder of Verisign, or the staff of the Securities and Exchange Commission, upon request, full information regarding the number of shares purchased at each separate price within the range set forth in footnote 6 to this Form 4.</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$203.9800 to $204.9700. The Reporting Persons undertake to provide Verisign, any security holder of Verisign, or the staff of the Securities and Exchange Commission, upon request, full information regarding the number of shares purchased at each separate price within the range set forth in footnote 7 to this Form 4.</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$204.9800 to $205.9250. The Reporting Persons undertake to provide Verisign, any security holder of Verisign, or the staff of the Securities and Exchange Commission, upon request, full information regarding the number of shares purchased at each separate price within the range set forth in footnote 8 to this Form 4.</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$206.0000 to $206.1100. The Reporting Persons undertake to provide Verisign, any security holder of Verisign, or the staff of the Securities and Exchange Commission, upon request, full information regarding the number of shares purchased at each separate price within the range set forth in footnote 9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$202.7300 to $203.7100. The Reporting Persons undertake to provide Verisign, any security holder of Verisign, or the staff of the Securities and Exchange Commission, upon request, full information regarding the number of shares purchased at each separate price within the range set forth in footnote 10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$203.7600 to $204.7250. The Reporting Persons undertake to provide Verisign, any security holder of Verisign, or the staff of the Securities and Exchange Commission, upon request, full information regarding the number of shares purchased at each separate price within the range set forth in footnote 11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$204.7300 to $205.0000. The Reporting Persons undertake to provide Verisign, any security holder of Verisign, or the staff of the Securities and Exchange Commission, upon request, full information regarding the number of shares purchased at each separate price within the range set forth in footnote 12 to this Form 4.</w:t>
      </w:r>
    </w:p>
    <w:p>
      <w:pPr>
        <w:sectPr>
          <w:pgSz w:w="11900" w:h="16838" w:orient="portrait"/>
          <w:cols w:equalWidth="0" w:num="1">
            <w:col w:w="10920"/>
          </w:cols>
          <w:pgMar w:left="480" w:top="111" w:right="49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Warren E. Buffett,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76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behalf of himself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6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other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7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39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39420"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12/30/2024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00" w:space="260"/>
            <w:col w:w="2160"/>
          </w:cols>
          <w:pgMar w:left="480" w:top="111" w:right="49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1067983" TargetMode="External"/><Relationship Id="rId14" Type="http://schemas.openxmlformats.org/officeDocument/2006/relationships/hyperlink" Target="http://www.sec.gov/cgi-bin/browse-edgar?action=getcompany&amp;CIK=0001014473" TargetMode="External"/><Relationship Id="rId18" Type="http://schemas.openxmlformats.org/officeDocument/2006/relationships/hyperlink" Target="http://www.sec.gov/cgi-bin/browse-edgar?action=getcompany&amp;CIK=0000315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2024-12-30T19:29:24Z</dcterms:created>
  <dcterms:modified xsi:type="dcterms:W3CDTF">2024-12-30T19:29:24Z</dcterms:modified>
</cp:coreProperties>
</file>