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BERKSHIRE HATHAWAY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3555 FARNAM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VERISIGN INC/CA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611"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68131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61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00" w:type="dxa"/>
            <w:vAlign w:val="bottom"/>
          </w:tcPr>
          <w:p>
            <w:pPr>
              <w:jc w:val="center"/>
              <w:ind w:left="31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10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12/20/2024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194.9811</w:t>
            </w:r>
            <w:r>
              <w:rPr>
                <w:rFonts w:ascii="Times New Roman" w:cs="Times New Roman" w:eastAsia="Times New Roman" w:hAnsi="Times New Roman"/>
                <w:sz w:val="22"/>
                <w:szCs w:val="22"/>
                <w:color w:val="008000"/>
                <w:w w:val="95"/>
                <w:vertAlign w:val="superscript"/>
              </w:rPr>
              <w:t>(1)</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13,056,125</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12/20/2024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196.7953</w:t>
            </w:r>
            <w:r>
              <w:rPr>
                <w:rFonts w:ascii="Times New Roman" w:cs="Times New Roman" w:eastAsia="Times New Roman" w:hAnsi="Times New Roman"/>
                <w:sz w:val="22"/>
                <w:szCs w:val="22"/>
                <w:color w:val="008000"/>
                <w:w w:val="95"/>
                <w:vertAlign w:val="superscript"/>
              </w:rPr>
              <w:t>(4)</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13,056,445</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12/20/2024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1,079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197.6124</w:t>
            </w:r>
            <w:r>
              <w:rPr>
                <w:rFonts w:ascii="Times New Roman" w:cs="Times New Roman" w:eastAsia="Times New Roman" w:hAnsi="Times New Roman"/>
                <w:sz w:val="22"/>
                <w:szCs w:val="22"/>
                <w:color w:val="008000"/>
                <w:w w:val="95"/>
                <w:vertAlign w:val="superscript"/>
              </w:rPr>
              <w:t>(5)</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13,057,524</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12/20/2024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73,389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198.8047</w:t>
            </w:r>
            <w:r>
              <w:rPr>
                <w:rFonts w:ascii="Times New Roman" w:cs="Times New Roman" w:eastAsia="Times New Roman" w:hAnsi="Times New Roman"/>
                <w:sz w:val="22"/>
                <w:szCs w:val="22"/>
                <w:color w:val="008000"/>
                <w:w w:val="95"/>
                <w:vertAlign w:val="superscript"/>
              </w:rPr>
              <w:t>(6)</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13,130,913</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12/20/2024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9,590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199.3486</w:t>
            </w:r>
            <w:r>
              <w:rPr>
                <w:rFonts w:ascii="Times New Roman" w:cs="Times New Roman" w:eastAsia="Times New Roman" w:hAnsi="Times New Roman"/>
                <w:sz w:val="22"/>
                <w:szCs w:val="22"/>
                <w:color w:val="008000"/>
                <w:w w:val="95"/>
                <w:vertAlign w:val="superscript"/>
              </w:rPr>
              <w:t>(7)</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13,140,503</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12/20/2024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3,159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200.3882</w:t>
            </w:r>
            <w:r>
              <w:rPr>
                <w:rFonts w:ascii="Times New Roman" w:cs="Times New Roman" w:eastAsia="Times New Roman" w:hAnsi="Times New Roman"/>
                <w:sz w:val="22"/>
                <w:szCs w:val="22"/>
                <w:color w:val="008000"/>
                <w:w w:val="95"/>
                <w:vertAlign w:val="superscript"/>
              </w:rPr>
              <w:t>(8)</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13,143,662</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12/20/2024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201</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13,143,762</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0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12/23/2024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10,527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198.4286</w:t>
            </w:r>
            <w:r>
              <w:rPr>
                <w:rFonts w:ascii="Times New Roman" w:cs="Times New Roman" w:eastAsia="Times New Roman" w:hAnsi="Times New Roman"/>
                <w:sz w:val="22"/>
                <w:szCs w:val="22"/>
                <w:color w:val="008000"/>
                <w:w w:val="95"/>
                <w:vertAlign w:val="superscript"/>
              </w:rPr>
              <w:t>(9)</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13,154,289</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12/23/2024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9,478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199.2779</w:t>
            </w:r>
            <w:r>
              <w:rPr>
                <w:rFonts w:ascii="Times New Roman" w:cs="Times New Roman" w:eastAsia="Times New Roman" w:hAnsi="Times New Roman"/>
                <w:sz w:val="22"/>
                <w:szCs w:val="22"/>
                <w:color w:val="008000"/>
                <w:w w:val="96"/>
                <w:vertAlign w:val="superscript"/>
              </w:rPr>
              <w:t>(10)</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13,163,767</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12/23/2024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14,461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200.0077</w:t>
            </w:r>
            <w:r>
              <w:rPr>
                <w:rFonts w:ascii="Times New Roman" w:cs="Times New Roman" w:eastAsia="Times New Roman" w:hAnsi="Times New Roman"/>
                <w:sz w:val="22"/>
                <w:szCs w:val="22"/>
                <w:color w:val="008000"/>
                <w:w w:val="96"/>
                <w:vertAlign w:val="superscript"/>
              </w:rPr>
              <w:t>(11)</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13,178,228</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12/23/2024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201.14</w:t>
            </w:r>
            <w:r>
              <w:rPr>
                <w:rFonts w:ascii="Times New Roman" w:cs="Times New Roman" w:eastAsia="Times New Roman" w:hAnsi="Times New Roman"/>
                <w:sz w:val="22"/>
                <w:szCs w:val="22"/>
                <w:color w:val="008000"/>
                <w:w w:val="91"/>
                <w:vertAlign w:val="superscript"/>
              </w:rPr>
              <w:t>(12)</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13,178,428</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12/24/2024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3,238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200.2733</w:t>
            </w:r>
            <w:r>
              <w:rPr>
                <w:rFonts w:ascii="Times New Roman" w:cs="Times New Roman" w:eastAsia="Times New Roman" w:hAnsi="Times New Roman"/>
                <w:sz w:val="22"/>
                <w:szCs w:val="22"/>
                <w:color w:val="008000"/>
                <w:w w:val="96"/>
                <w:vertAlign w:val="superscript"/>
              </w:rPr>
              <w:t>(13)</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13,181,666</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12/24/2024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11,483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201.0707</w:t>
            </w:r>
            <w:r>
              <w:rPr>
                <w:rFonts w:ascii="Times New Roman" w:cs="Times New Roman" w:eastAsia="Times New Roman" w:hAnsi="Times New Roman"/>
                <w:sz w:val="22"/>
                <w:szCs w:val="22"/>
                <w:color w:val="008000"/>
                <w:w w:val="96"/>
                <w:vertAlign w:val="superscript"/>
              </w:rPr>
              <w:t>(14)</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13,193,149</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00" w:type="dxa"/>
            <w:vAlign w:val="bottom"/>
            <w:vMerge w:val="restart"/>
          </w:tcPr>
          <w:p>
            <w:pPr>
              <w:jc w:val="center"/>
              <w:ind w:left="318"/>
              <w:spacing w:after="0"/>
              <w:rPr>
                <w:sz w:val="20"/>
                <w:szCs w:val="20"/>
                <w:color w:val="auto"/>
              </w:rPr>
            </w:pPr>
            <w:r>
              <w:rPr>
                <w:rFonts w:ascii="Times New Roman" w:cs="Times New Roman" w:eastAsia="Times New Roman" w:hAnsi="Times New Roman"/>
                <w:sz w:val="17"/>
                <w:szCs w:val="17"/>
                <w:color w:val="0000FF"/>
              </w:rPr>
              <w:t>12/24/2024</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201.62</w:t>
            </w:r>
            <w:r>
              <w:rPr>
                <w:rFonts w:ascii="Times New Roman" w:cs="Times New Roman" w:eastAsia="Times New Roman" w:hAnsi="Times New Roman"/>
                <w:sz w:val="22"/>
                <w:szCs w:val="22"/>
                <w:color w:val="008000"/>
                <w:w w:val="91"/>
                <w:vertAlign w:val="superscript"/>
              </w:rPr>
              <w:t>(15)</w:t>
            </w: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13,193,349</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vMerge w:val="continue"/>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00" w:type="dxa"/>
            <w:vAlign w:val="bottom"/>
            <w:tcBorders>
              <w:top w:val="single" w:sz="8" w:color="808080"/>
            </w:tcBorders>
            <w:shd w:val="clear" w:color="auto" w:fill="2C2C2C"/>
          </w:tcPr>
          <w:p>
            <w:pPr>
              <w:spacing w:after="0" w:line="20" w:lineRule="exact"/>
              <w:rPr>
                <w:sz w:val="1"/>
                <w:szCs w:val="1"/>
                <w:color w:val="auto"/>
              </w:rPr>
            </w:pPr>
          </w:p>
        </w:tc>
        <w:tc>
          <w:tcPr>
            <w:tcW w:w="15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611" w:gutter="0" w:footer="0" w:header="0"/>
          <w:type w:val="continuous"/>
        </w:sectPr>
      </w:pPr>
    </w:p>
    <w:bookmarkStart w:id="1" w:name="page2"/>
    <w:bookmarkEnd w:id="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776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7764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 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5"/>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tcPr>
          <w:p>
            <w:pPr>
              <w:ind w:left="4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Security</w:t>
            </w:r>
          </w:p>
        </w:tc>
        <w:tc>
          <w:tcPr>
            <w:tcW w:w="700" w:type="dxa"/>
            <w:vAlign w:val="bottom"/>
          </w:tcPr>
          <w:p>
            <w:pPr>
              <w:spacing w:after="0"/>
              <w:rPr>
                <w:sz w:val="20"/>
                <w:szCs w:val="20"/>
                <w:color w:val="auto"/>
              </w:rPr>
            </w:pPr>
            <w:r>
              <w:rPr>
                <w:rFonts w:ascii="Arial" w:cs="Arial" w:eastAsia="Arial" w:hAnsi="Arial"/>
                <w:sz w:val="2"/>
                <w:szCs w:val="2"/>
                <w:b w:val="1"/>
                <w:bCs w:val="1"/>
                <w:color w:val="auto"/>
              </w:rPr>
              <w:t>or Exercise</w:t>
            </w:r>
          </w:p>
        </w:tc>
        <w:tc>
          <w:tcPr>
            <w:tcW w:w="1180" w:type="dxa"/>
            <w:vAlign w:val="bottom"/>
            <w:gridSpan w:val="3"/>
          </w:tcPr>
          <w:p>
            <w:pPr>
              <w:ind w:left="100"/>
              <w:spacing w:after="0"/>
              <w:rPr>
                <w:sz w:val="20"/>
                <w:szCs w:val="20"/>
                <w:color w:val="auto"/>
              </w:rPr>
            </w:pPr>
            <w:r>
              <w:rPr>
                <w:rFonts w:ascii="Arial" w:cs="Arial" w:eastAsia="Arial" w:hAnsi="Arial"/>
                <w:sz w:val="2"/>
                <w:szCs w:val="2"/>
                <w:b w:val="1"/>
                <w:bCs w:val="1"/>
                <w:color w:val="auto"/>
              </w:rPr>
              <w:t>(Month/Day/Year)</w:t>
            </w:r>
          </w:p>
        </w:tc>
        <w:tc>
          <w:tcPr>
            <w:tcW w:w="5260" w:type="dxa"/>
            <w:vAlign w:val="bottom"/>
            <w:gridSpan w:val="12"/>
          </w:tcPr>
          <w:p>
            <w:pPr>
              <w:ind w:left="40"/>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380" w:type="dxa"/>
            <w:vAlign w:val="bottom"/>
          </w:tcPr>
          <w:p>
            <w:pPr>
              <w:spacing w:after="0"/>
              <w:rPr>
                <w:sz w:val="8"/>
                <w:szCs w:val="8"/>
                <w:color w:val="auto"/>
              </w:rPr>
            </w:pPr>
          </w:p>
        </w:tc>
        <w:tc>
          <w:tcPr>
            <w:tcW w:w="680" w:type="dxa"/>
            <w:vAlign w:val="bottom"/>
            <w:gridSpan w:val="2"/>
          </w:tcPr>
          <w:p>
            <w:pPr>
              <w:ind w:left="80"/>
              <w:spacing w:after="0" w:line="100" w:lineRule="exact"/>
              <w:rPr>
                <w:sz w:val="20"/>
                <w:szCs w:val="20"/>
                <w:color w:val="auto"/>
              </w:rPr>
            </w:pPr>
            <w:r>
              <w:rPr>
                <w:rFonts w:ascii="Arial" w:cs="Arial" w:eastAsia="Arial" w:hAnsi="Arial"/>
                <w:sz w:val="11"/>
                <w:szCs w:val="11"/>
                <w:b w:val="1"/>
                <w:bCs w:val="1"/>
                <w:color w:val="auto"/>
              </w:rPr>
              <w:t>Amount</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7. Title and</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6"/>
                <w:szCs w:val="6"/>
                <w:color w:val="auto"/>
              </w:rPr>
            </w:pPr>
          </w:p>
        </w:tc>
        <w:tc>
          <w:tcPr>
            <w:tcW w:w="11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6"/>
                <w:szCs w:val="6"/>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Amount of</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vMerge w:val="restart"/>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Date</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gridSpan w:val="2"/>
            <w:vMerge w:val="continue"/>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Underlying</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Code</w:t>
            </w:r>
          </w:p>
        </w:tc>
        <w:tc>
          <w:tcPr>
            <w:tcW w:w="320" w:type="dxa"/>
            <w:vAlign w:val="bottom"/>
            <w:gridSpan w:val="2"/>
            <w:vMerge w:val="continue"/>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w:t>
            </w:r>
          </w:p>
        </w:tc>
        <w:tc>
          <w:tcPr>
            <w:tcW w:w="300" w:type="dxa"/>
            <w:vAlign w:val="bottom"/>
          </w:tcPr>
          <w:p>
            <w:pPr>
              <w:spacing w:after="0" w:line="80" w:lineRule="exact"/>
              <w:rPr>
                <w:sz w:val="20"/>
                <w:szCs w:val="20"/>
                <w:color w:val="auto"/>
              </w:rPr>
            </w:pPr>
            <w:r>
              <w:rPr>
                <w:rFonts w:ascii="Arial" w:cs="Arial" w:eastAsia="Arial" w:hAnsi="Arial"/>
                <w:sz w:val="8"/>
                <w:szCs w:val="8"/>
                <w:b w:val="1"/>
                <w:bCs w:val="1"/>
                <w:color w:val="auto"/>
              </w:rPr>
              <w:t>(D)</w:t>
            </w: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8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Title</w:t>
            </w: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Shares</w:t>
            </w:r>
          </w:p>
        </w:tc>
        <w:tc>
          <w:tcPr>
            <w:tcW w:w="64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2"/>
          </w:tcPr>
          <w:p>
            <w:pPr>
              <w:ind w:left="80"/>
              <w:spacing w:after="0" w:line="80" w:lineRule="exact"/>
              <w:rPr>
                <w:sz w:val="20"/>
                <w:szCs w:val="20"/>
                <w:color w:val="auto"/>
              </w:rPr>
            </w:pPr>
            <w:r>
              <w:rPr>
                <w:rFonts w:ascii="Arial" w:cs="Arial" w:eastAsia="Arial" w:hAnsi="Arial"/>
                <w:sz w:val="8"/>
                <w:szCs w:val="8"/>
                <w:b w:val="1"/>
                <w:bCs w:val="1"/>
                <w:color w:val="auto"/>
              </w:rPr>
              <w:t>Acquired</w:t>
            </w: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6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line="80" w:lineRule="exact"/>
              <w:rPr>
                <w:sz w:val="20"/>
                <w:szCs w:val="20"/>
                <w:color w:val="auto"/>
              </w:rPr>
            </w:pPr>
            <w:r>
              <w:rPr>
                <w:rFonts w:ascii="Arial" w:cs="Arial" w:eastAsia="Arial" w:hAnsi="Arial"/>
                <w:sz w:val="8"/>
                <w:szCs w:val="8"/>
                <w:b w:val="1"/>
                <w:bCs w:val="1"/>
                <w:color w:val="auto"/>
              </w:rPr>
              <w:t>Security</w:t>
            </w: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 or</w:t>
            </w: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Security (Instr.</w:t>
            </w:r>
          </w:p>
        </w:tc>
        <w:tc>
          <w:tcPr>
            <w:tcW w:w="640" w:type="dxa"/>
            <w:vAlign w:val="bottom"/>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Following</w:t>
            </w:r>
          </w:p>
        </w:tc>
        <w:tc>
          <w:tcPr>
            <w:tcW w:w="7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(I) (Instr. 4)</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60" w:type="dxa"/>
            <w:vAlign w:val="bottom"/>
            <w:gridSpan w:val="6"/>
          </w:tcPr>
          <w:p>
            <w:pPr>
              <w:ind w:left="60"/>
              <w:spacing w:after="0" w:line="160" w:lineRule="exact"/>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60" w:type="dxa"/>
            <w:vAlign w:val="bottom"/>
            <w:gridSpan w:val="7"/>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BERKSHIRE HATHAWAY INC</w:t>
              </w:r>
            </w:hyperlink>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gridSpan w:val="7"/>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15"/>
                <w:szCs w:val="15"/>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15"/>
                <w:szCs w:val="15"/>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3555 FARNAM STREET</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9A9A9A"/>
            </w:tcBorders>
            <w:shd w:val="clear" w:color="auto" w:fill="EEEEEE"/>
          </w:tcPr>
          <w:p>
            <w:pPr>
              <w:spacing w:after="0" w:line="20" w:lineRule="exact"/>
              <w:rPr>
                <w:sz w:val="1"/>
                <w:szCs w:val="1"/>
                <w:color w:val="auto"/>
              </w:rPr>
            </w:pPr>
          </w:p>
        </w:tc>
        <w:tc>
          <w:tcPr>
            <w:tcW w:w="700" w:type="dxa"/>
            <w:vAlign w:val="bottom"/>
            <w:tcBorders>
              <w:top w:val="single" w:sz="8" w:color="9A9A9A"/>
            </w:tcBorders>
            <w:shd w:val="clear" w:color="auto" w:fill="EEEEEE"/>
          </w:tcPr>
          <w:p>
            <w:pPr>
              <w:spacing w:after="0" w:line="20" w:lineRule="exact"/>
              <w:rPr>
                <w:sz w:val="1"/>
                <w:szCs w:val="1"/>
                <w:color w:val="auto"/>
              </w:rPr>
            </w:pPr>
          </w:p>
        </w:tc>
        <w:tc>
          <w:tcPr>
            <w:tcW w:w="680" w:type="dxa"/>
            <w:vAlign w:val="bottom"/>
            <w:tcBorders>
              <w:top w:val="single" w:sz="8" w:color="9A9A9A"/>
            </w:tcBorders>
            <w:shd w:val="clear" w:color="auto" w:fill="EEEEEE"/>
          </w:tcPr>
          <w:p>
            <w:pPr>
              <w:spacing w:after="0" w:line="20" w:lineRule="exact"/>
              <w:rPr>
                <w:sz w:val="1"/>
                <w:szCs w:val="1"/>
                <w:color w:val="auto"/>
              </w:rPr>
            </w:pPr>
          </w:p>
        </w:tc>
        <w:tc>
          <w:tcPr>
            <w:tcW w:w="240" w:type="dxa"/>
            <w:vAlign w:val="bottom"/>
            <w:tcBorders>
              <w:top w:val="single" w:sz="8" w:color="9A9A9A"/>
            </w:tcBorders>
            <w:shd w:val="clear" w:color="auto" w:fill="EEEEEE"/>
          </w:tcPr>
          <w:p>
            <w:pPr>
              <w:spacing w:after="0" w:line="20" w:lineRule="exact"/>
              <w:rPr>
                <w:sz w:val="1"/>
                <w:szCs w:val="1"/>
                <w:color w:val="auto"/>
              </w:rPr>
            </w:pPr>
          </w:p>
        </w:tc>
        <w:tc>
          <w:tcPr>
            <w:tcW w:w="260" w:type="dxa"/>
            <w:vAlign w:val="bottom"/>
            <w:tcBorders>
              <w:top w:val="single" w:sz="8" w:color="9A9A9A"/>
            </w:tcBorders>
            <w:shd w:val="clear" w:color="auto" w:fill="EEEEEE"/>
          </w:tcPr>
          <w:p>
            <w:pPr>
              <w:spacing w:after="0" w:line="20" w:lineRule="exact"/>
              <w:rPr>
                <w:sz w:val="1"/>
                <w:szCs w:val="1"/>
                <w:color w:val="auto"/>
              </w:rPr>
            </w:pPr>
          </w:p>
        </w:tc>
        <w:tc>
          <w:tcPr>
            <w:tcW w:w="280" w:type="dxa"/>
            <w:vAlign w:val="bottom"/>
            <w:tcBorders>
              <w:top w:val="single" w:sz="8" w:color="9A9A9A"/>
            </w:tcBorders>
            <w:shd w:val="clear" w:color="auto" w:fill="EEEEEE"/>
          </w:tcPr>
          <w:p>
            <w:pPr>
              <w:spacing w:after="0" w:line="20" w:lineRule="exact"/>
              <w:rPr>
                <w:sz w:val="1"/>
                <w:szCs w:val="1"/>
                <w:color w:val="auto"/>
              </w:rPr>
            </w:pPr>
          </w:p>
        </w:tc>
        <w:tc>
          <w:tcPr>
            <w:tcW w:w="820" w:type="dxa"/>
            <w:vAlign w:val="bottom"/>
            <w:tcBorders>
              <w:top w:val="single" w:sz="8" w:color="9A9A9A"/>
            </w:tcBorders>
            <w:shd w:val="clear" w:color="auto" w:fill="EEEEEE"/>
          </w:tcPr>
          <w:p>
            <w:pPr>
              <w:spacing w:after="0" w:line="20" w:lineRule="exact"/>
              <w:rPr>
                <w:sz w:val="1"/>
                <w:szCs w:val="1"/>
                <w:color w:val="auto"/>
              </w:rPr>
            </w:pPr>
          </w:p>
        </w:tc>
        <w:tc>
          <w:tcPr>
            <w:tcW w:w="500" w:type="dxa"/>
            <w:vAlign w:val="bottom"/>
            <w:tcBorders>
              <w:top w:val="single" w:sz="8" w:color="9A9A9A"/>
              <w:right w:val="single" w:sz="8" w:color="EEEEEE"/>
            </w:tcBorders>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7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t>
            </w:r>
          </w:p>
        </w:tc>
        <w:tc>
          <w:tcPr>
            <w:tcW w:w="26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68131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BUFFETT WARREN E</w:t>
              </w:r>
            </w:hyperlink>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3555 FARNAM STREET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7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t>
            </w:r>
          </w:p>
        </w:tc>
        <w:tc>
          <w:tcPr>
            <w:tcW w:w="26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68131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$194.9800 to $195.0500. The Reporting Persons undertake to provide Verisign, Inc. ("Verisign"), any security holder of Verisign,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7,920,402 of the total reported securities are owned as of December 24, 2024 by the following subsidiary of Berkshire Hathaway Inc. ("Berkshire"): Government Employees Insurance Company (7,920,402). As Berkshire is in the chain of ownership of the subsidiary, it may be deemed presently to both beneficially own and have a pecuniary interest in all shares presently directly owned by the subsidiary. Warren E. Buffett, as the controlling stockholder of Berkshire, may be deemed presently to beneficially own, but only to the extent he has a pecuniary interest in, the shares presently owned by the subsidiary. Mr. Buffett disclaims beneficial ownership of the reported securities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5,272,947 of the total reported securities are owned as of December 24, 2024 by the following pension plans of Berkshire's subsidiaries: Berkshire Hathaway Consolidated Pension Plan (1,015,032), Precision CastParts Corp Master Trust (362,815), Scott Fetzer Collective Investment Trust (95,100) and BNSF Master Retirement Trust (3,800,000). Each of Berkshire, Mr. Buffett and these pension plans disclaims beneficial ownership in such shares.</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$196.7250 to $196.9400. The Reporting Persons undertake to provide Verisign, any security holder of Verisign, or the staff of the Securities and Exchange Commission, upon request, full information regarding the number of shares purchased at each separate price within the range set forth in footnote 4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$196.9800 to $197.9650. The Reporting Persons undertake to provide Verisign, any security holder of Verisign, or the staff of the Securities and Exchange Commission, upon request, full information regarding the number of shares purchased at each separate price within the range set forth in footnote 5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$197.9800 to $198.9750. The Reporting Persons undertake to provide Verisign, any security holder of Verisign, or the staff of the Securities and Exchange Commission, upon request, full information regarding the number of shares purchased at each separate price within the range set forth in footnote 6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$198.9950 to $199.9700. The Reporting Persons undertake to provide Verisign, any security holder of Verisign, or the staff of the Securities and Exchange Commission, upon request, full information regarding the number of shares purchased at each separate price within the range set forth in footnote 7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$199.9800 to $200.9300. The Reporting Persons undertake to provide Verisign, any security holder of Verisign, or the staff of the Securities and Exchange Commission, upon request, full information regarding the number of shares purchased at each separate price within the range set forth in footnote 8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$197.8400 to $198.8350. The Reporting Persons undertake to provide Verisign, any security holder of Verisign, or the staff of the Securities and Exchange Commission, upon request, full information regarding the number of shares purchased at each separate price within the range set forth in footnote 9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$198.8400 to $199.8150. The Reporting Persons undertake to provide Verisign, any security holder of Verisign, or the staff of the Securities and Exchange Commission, upon request, full information regarding the number of shares purchased at each separate price within the range set forth in footnote 10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$199.8800 to $200.7800. The Reporting Persons undertake to provide Verisign, any security holder of Verisign, or the staff of the Securities and Exchange Commission, upon request, full information regarding the number of shares purchased at each separate price within the range set forth in footnote 11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$201.0100 to $201.2700. The Reporting Persons undertake to provide Verisign, any security holder of Verisign, or the staff of the Securities and Exchange Commission, upon request, full information regarding the number of shares purchased at each separate price within the range set forth in footnote 12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$199.5400 to $200.5300. The Reporting Persons undertake to provide Verisign, any security holder of Verisign, or the staff of the Securities and Exchange Commission, upon request, full information regarding the number of shares purchased at each separate price within the range set forth in footnote 13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$200.5400 to $201.5300. The Reporting Persons undertake to provide Verisign, any security holder of Verisign, or the staff of the Securities and Exchange Commission, upon request, full information regarding the number of shares purchased at each separate price within the range set forth in footnote 14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$201.5700 to $201.6700. The Reporting Persons undertake to provide Verisign, any security holder of Verisign, or the staff of the Securities and Exchange Commission, upon request, full information regarding the number of shares purchased at each separate price within the range set forth in footnote 15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E. Buffett,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behalf of himself and each</w:t>
      </w:r>
      <w:r>
        <w:rPr>
          <w:sz w:val="20"/>
          <w:szCs w:val="20"/>
          <w:color w:val="auto"/>
        </w:rPr>
        <w:tab/>
      </w:r>
      <w:r>
        <w:rPr>
          <w:rFonts w:ascii="Times New Roman" w:cs="Times New Roman" w:eastAsia="Times New Roman" w:hAnsi="Times New Roman"/>
          <w:sz w:val="26"/>
          <w:szCs w:val="26"/>
          <w:color w:val="0000FF"/>
          <w:vertAlign w:val="subscript"/>
        </w:rPr>
        <w:t>12/26/2024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66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77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39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394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94" w:orient="portrait"/>
          <w:cols w:equalWidth="0" w:num="1">
            <w:col w:w="11080"/>
          </w:cols>
          <w:pgMar w:left="460" w:top="175" w:right="35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067983" TargetMode="External"/><Relationship Id="rId14" Type="http://schemas.openxmlformats.org/officeDocument/2006/relationships/hyperlink" Target="http://www.sec.gov/cgi-bin/browse-edgar?action=getcompany&amp;CIK=0001014473" TargetMode="External"/><Relationship Id="rId17"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2024-12-26T18:03:03Z</dcterms:created>
  <dcterms:modified xsi:type="dcterms:W3CDTF">2024-12-26T18:03:03Z</dcterms:modified>
</cp:coreProperties>
</file>