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CALYS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12061 BLUEMONT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VERISIGN INC/CA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VRSN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RESTON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289.751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272.96  31,586.6712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 of shares exempt under Rule 16b-3 as payment of tax liability to Company by delivery or withholding securities incident to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34.3620 dividend equivalent restricted stock units acquired on May 27, 2026, in respect of previously granted restricted stock units under the Company's Amended and Restated 2006 Equity Incentive Plan.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Terence E. Kaden by Power of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8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John Calys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598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30819" TargetMode="External"/><Relationship Id="rId14" Type="http://schemas.openxmlformats.org/officeDocument/2006/relationships/hyperlink" Target="http://www.sec.gov/cgi-bin/browse-edgar?action=getcompany&amp;CIK=0001014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2026-06-16T17:58:31Z</dcterms:created>
  <dcterms:modified xsi:type="dcterms:W3CDTF">2026-06-16T17:58:31Z</dcterms:modified>
</cp:coreProperties>
</file>