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Times New Roman" w:cs="Times New Roman" w:eastAsia="Times New Roman" w:hAnsi="Times New Roman"/>
          <w:sz w:val="18"/>
          <w:szCs w:val="18"/>
          <w:b w:val="1"/>
          <w:bCs w:val="1"/>
          <w:color w:val="auto"/>
        </w:rPr>
        <w:t>Filed Pursuant to Rule 433</w:t>
      </w:r>
    </w:p>
    <w:p>
      <w:pPr>
        <w:spacing w:after="0" w:line="3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Statement No. 333-285483</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Issuer Free Writing Prospectus dated June 18, 2026</w:t>
      </w:r>
    </w:p>
    <w:p>
      <w:pPr>
        <w:spacing w:after="0" w:line="203" w:lineRule="exact"/>
        <w:rPr>
          <w:sz w:val="24"/>
          <w:szCs w:val="24"/>
          <w:color w:val="auto"/>
        </w:rPr>
      </w:pPr>
    </w:p>
    <w:p>
      <w:pPr>
        <w:ind w:left="5100"/>
        <w:spacing w:after="0"/>
        <w:rPr>
          <w:sz w:val="20"/>
          <w:szCs w:val="20"/>
          <w:color w:val="auto"/>
        </w:rPr>
      </w:pPr>
      <w:r>
        <w:rPr>
          <w:rFonts w:ascii="Times New Roman" w:cs="Times New Roman" w:eastAsia="Times New Roman" w:hAnsi="Times New Roman"/>
          <w:sz w:val="18"/>
          <w:szCs w:val="18"/>
          <w:b w:val="1"/>
          <w:bCs w:val="1"/>
          <w:color w:val="auto"/>
        </w:rPr>
        <w:t>VeriSign, Inc.</w:t>
      </w:r>
    </w:p>
    <w:p>
      <w:pPr>
        <w:spacing w:after="0" w:line="31" w:lineRule="exact"/>
        <w:rPr>
          <w:sz w:val="24"/>
          <w:szCs w:val="24"/>
          <w:color w:val="auto"/>
        </w:rPr>
      </w:pPr>
    </w:p>
    <w:p>
      <w:pPr>
        <w:ind w:left="5120"/>
        <w:spacing w:after="0"/>
        <w:rPr>
          <w:sz w:val="20"/>
          <w:szCs w:val="20"/>
          <w:color w:val="auto"/>
        </w:rPr>
      </w:pPr>
      <w:r>
        <w:rPr>
          <w:rFonts w:ascii="Times New Roman" w:cs="Times New Roman" w:eastAsia="Times New Roman" w:hAnsi="Times New Roman"/>
          <w:sz w:val="18"/>
          <w:szCs w:val="18"/>
          <w:b w:val="1"/>
          <w:bCs w:val="1"/>
          <w:color w:val="auto"/>
        </w:rPr>
        <w:t>$550,000,000</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5.100</w:t>
      </w:r>
      <w:r>
        <w:rPr>
          <w:rFonts w:ascii="Times New Roman" w:cs="Times New Roman" w:eastAsia="Times New Roman" w:hAnsi="Times New Roman"/>
          <w:sz w:val="18"/>
          <w:szCs w:val="18"/>
          <w:b w:val="1"/>
          <w:bCs w:val="1"/>
          <w:color w:val="auto"/>
        </w:rPr>
        <w:t>% Senior Notes due 2031</w:t>
      </w:r>
    </w:p>
    <w:p>
      <w:pPr>
        <w:spacing w:after="0" w:line="2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June 18, 2026</w:t>
      </w:r>
    </w:p>
    <w:p>
      <w:pPr>
        <w:spacing w:after="0" w:line="225" w:lineRule="exact"/>
        <w:rPr>
          <w:sz w:val="24"/>
          <w:szCs w:val="24"/>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This pricing term sheet relates only to VeriSign, Inc.’s offering of its 5.100% Senior Notes due 2031 and should be read together with the Preliminary Prospectus Supplement dated June 18, 2026 (the “Preliminary Prospectus Supplement”) and the accompanying Prospectus dated June 18, 2026. Terms used and not defined herein have the meanings assigned in the Preliminary Prospectus Supplement.</w:t>
      </w:r>
    </w:p>
    <w:p>
      <w:pPr>
        <w:spacing w:after="0" w:line="176"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Issuer:</w:t>
            </w:r>
          </w:p>
        </w:tc>
        <w:tc>
          <w:tcPr>
            <w:tcW w:w="7220" w:type="dxa"/>
            <w:vAlign w:val="bottom"/>
          </w:tcPr>
          <w:p>
            <w:pPr>
              <w:ind w:left="1260"/>
              <w:spacing w:after="0"/>
              <w:rPr>
                <w:sz w:val="20"/>
                <w:szCs w:val="20"/>
                <w:color w:val="auto"/>
              </w:rPr>
            </w:pPr>
            <w:r>
              <w:rPr>
                <w:rFonts w:ascii="Times New Roman" w:cs="Times New Roman" w:eastAsia="Times New Roman" w:hAnsi="Times New Roman"/>
                <w:sz w:val="18"/>
                <w:szCs w:val="18"/>
                <w:color w:val="auto"/>
              </w:rPr>
              <w:t>VeriSign, Inc.</w:t>
            </w:r>
          </w:p>
        </w:tc>
      </w:tr>
      <w:tr>
        <w:trPr>
          <w:trHeight w:val="432"/>
        </w:trPr>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Security:</w:t>
            </w:r>
          </w:p>
        </w:tc>
        <w:tc>
          <w:tcPr>
            <w:tcW w:w="7220" w:type="dxa"/>
            <w:vAlign w:val="bottom"/>
          </w:tcPr>
          <w:p>
            <w:pPr>
              <w:ind w:left="1260"/>
              <w:spacing w:after="0"/>
              <w:rPr>
                <w:sz w:val="20"/>
                <w:szCs w:val="20"/>
                <w:color w:val="auto"/>
              </w:rPr>
            </w:pPr>
            <w:r>
              <w:rPr>
                <w:rFonts w:ascii="Times New Roman" w:cs="Times New Roman" w:eastAsia="Times New Roman" w:hAnsi="Times New Roman"/>
                <w:sz w:val="18"/>
                <w:szCs w:val="18"/>
                <w:color w:val="auto"/>
              </w:rPr>
              <w:t>5.100% Senior Notes due 2031</w:t>
            </w:r>
          </w:p>
        </w:tc>
      </w:tr>
      <w:tr>
        <w:trPr>
          <w:trHeight w:val="432"/>
        </w:trPr>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Anticipated Ratings (Moody’s/S&amp;P)*:</w:t>
            </w:r>
          </w:p>
        </w:tc>
        <w:tc>
          <w:tcPr>
            <w:tcW w:w="7220" w:type="dxa"/>
            <w:vAlign w:val="bottom"/>
          </w:tcPr>
          <w:p>
            <w:pPr>
              <w:ind w:left="1260"/>
              <w:spacing w:after="0"/>
              <w:rPr>
                <w:sz w:val="20"/>
                <w:szCs w:val="20"/>
                <w:color w:val="auto"/>
              </w:rPr>
            </w:pPr>
            <w:r>
              <w:rPr>
                <w:rFonts w:ascii="Times New Roman" w:cs="Times New Roman" w:eastAsia="Times New Roman" w:hAnsi="Times New Roman"/>
                <w:sz w:val="18"/>
                <w:szCs w:val="18"/>
                <w:color w:val="auto"/>
              </w:rPr>
              <w:t>Baa2 / BBB</w:t>
            </w:r>
          </w:p>
        </w:tc>
      </w:tr>
      <w:tr>
        <w:trPr>
          <w:trHeight w:val="432"/>
        </w:trPr>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Principal Amount:</w:t>
            </w:r>
          </w:p>
        </w:tc>
        <w:tc>
          <w:tcPr>
            <w:tcW w:w="7220" w:type="dxa"/>
            <w:vAlign w:val="bottom"/>
          </w:tcPr>
          <w:p>
            <w:pPr>
              <w:ind w:left="1260"/>
              <w:spacing w:after="0"/>
              <w:rPr>
                <w:sz w:val="20"/>
                <w:szCs w:val="20"/>
                <w:color w:val="auto"/>
              </w:rPr>
            </w:pPr>
            <w:r>
              <w:rPr>
                <w:rFonts w:ascii="Times New Roman" w:cs="Times New Roman" w:eastAsia="Times New Roman" w:hAnsi="Times New Roman"/>
                <w:sz w:val="18"/>
                <w:szCs w:val="18"/>
                <w:color w:val="auto"/>
              </w:rPr>
              <w:t>$550,000,000</w:t>
            </w:r>
          </w:p>
        </w:tc>
      </w:tr>
      <w:tr>
        <w:trPr>
          <w:trHeight w:val="432"/>
        </w:trPr>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Maturity Date:</w:t>
            </w:r>
          </w:p>
        </w:tc>
        <w:tc>
          <w:tcPr>
            <w:tcW w:w="7220" w:type="dxa"/>
            <w:vAlign w:val="bottom"/>
          </w:tcPr>
          <w:p>
            <w:pPr>
              <w:ind w:left="1260"/>
              <w:spacing w:after="0"/>
              <w:rPr>
                <w:sz w:val="20"/>
                <w:szCs w:val="20"/>
                <w:color w:val="auto"/>
              </w:rPr>
            </w:pPr>
            <w:r>
              <w:rPr>
                <w:rFonts w:ascii="Times New Roman" w:cs="Times New Roman" w:eastAsia="Times New Roman" w:hAnsi="Times New Roman"/>
                <w:sz w:val="18"/>
                <w:szCs w:val="18"/>
                <w:color w:val="auto"/>
              </w:rPr>
              <w:t>July 15, 2031</w:t>
            </w:r>
          </w:p>
        </w:tc>
      </w:tr>
      <w:tr>
        <w:trPr>
          <w:trHeight w:val="432"/>
        </w:trPr>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Interest Rate:</w:t>
            </w:r>
          </w:p>
        </w:tc>
        <w:tc>
          <w:tcPr>
            <w:tcW w:w="7220" w:type="dxa"/>
            <w:vAlign w:val="bottom"/>
          </w:tcPr>
          <w:p>
            <w:pPr>
              <w:ind w:left="1260"/>
              <w:spacing w:after="0"/>
              <w:rPr>
                <w:sz w:val="20"/>
                <w:szCs w:val="20"/>
                <w:color w:val="auto"/>
              </w:rPr>
            </w:pPr>
            <w:r>
              <w:rPr>
                <w:rFonts w:ascii="Times New Roman" w:cs="Times New Roman" w:eastAsia="Times New Roman" w:hAnsi="Times New Roman"/>
                <w:sz w:val="18"/>
                <w:szCs w:val="18"/>
                <w:color w:val="auto"/>
              </w:rPr>
              <w:t>5.100%</w:t>
            </w:r>
          </w:p>
        </w:tc>
      </w:tr>
      <w:tr>
        <w:trPr>
          <w:trHeight w:val="432"/>
        </w:trPr>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Interest Payment Dates:</w:t>
            </w:r>
          </w:p>
        </w:tc>
        <w:tc>
          <w:tcPr>
            <w:tcW w:w="7220" w:type="dxa"/>
            <w:vAlign w:val="bottom"/>
          </w:tcPr>
          <w:p>
            <w:pPr>
              <w:ind w:left="1260"/>
              <w:spacing w:after="0"/>
              <w:rPr>
                <w:sz w:val="20"/>
                <w:szCs w:val="20"/>
                <w:color w:val="auto"/>
              </w:rPr>
            </w:pPr>
            <w:r>
              <w:rPr>
                <w:rFonts w:ascii="Times New Roman" w:cs="Times New Roman" w:eastAsia="Times New Roman" w:hAnsi="Times New Roman"/>
                <w:sz w:val="18"/>
                <w:szCs w:val="18"/>
                <w:color w:val="auto"/>
              </w:rPr>
              <w:t>January 15 and July 15, commencing January 15, 2027</w:t>
            </w:r>
          </w:p>
        </w:tc>
      </w:tr>
      <w:tr>
        <w:trPr>
          <w:trHeight w:val="432"/>
        </w:trPr>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Public Offering Price:</w:t>
            </w:r>
          </w:p>
        </w:tc>
        <w:tc>
          <w:tcPr>
            <w:tcW w:w="7220" w:type="dxa"/>
            <w:vAlign w:val="bottom"/>
          </w:tcPr>
          <w:p>
            <w:pPr>
              <w:ind w:left="1260"/>
              <w:spacing w:after="0"/>
              <w:rPr>
                <w:sz w:val="20"/>
                <w:szCs w:val="20"/>
                <w:color w:val="auto"/>
              </w:rPr>
            </w:pPr>
            <w:r>
              <w:rPr>
                <w:rFonts w:ascii="Times New Roman" w:cs="Times New Roman" w:eastAsia="Times New Roman" w:hAnsi="Times New Roman"/>
                <w:sz w:val="18"/>
                <w:szCs w:val="18"/>
                <w:color w:val="auto"/>
              </w:rPr>
              <w:t>99.961% of principal amount</w:t>
            </w:r>
          </w:p>
        </w:tc>
      </w:tr>
      <w:tr>
        <w:trPr>
          <w:trHeight w:val="432"/>
        </w:trPr>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Yield to Maturity:</w:t>
            </w:r>
          </w:p>
        </w:tc>
        <w:tc>
          <w:tcPr>
            <w:tcW w:w="7220" w:type="dxa"/>
            <w:vAlign w:val="bottom"/>
          </w:tcPr>
          <w:p>
            <w:pPr>
              <w:ind w:left="1260"/>
              <w:spacing w:after="0"/>
              <w:rPr>
                <w:sz w:val="20"/>
                <w:szCs w:val="20"/>
                <w:color w:val="auto"/>
              </w:rPr>
            </w:pPr>
            <w:r>
              <w:rPr>
                <w:rFonts w:ascii="Times New Roman" w:cs="Times New Roman" w:eastAsia="Times New Roman" w:hAnsi="Times New Roman"/>
                <w:sz w:val="18"/>
                <w:szCs w:val="18"/>
                <w:color w:val="auto"/>
              </w:rPr>
              <w:t>5.108%</w:t>
            </w:r>
          </w:p>
        </w:tc>
      </w:tr>
      <w:tr>
        <w:trPr>
          <w:trHeight w:val="432"/>
        </w:trPr>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Spread to Benchmark Treasury:</w:t>
            </w:r>
          </w:p>
        </w:tc>
        <w:tc>
          <w:tcPr>
            <w:tcW w:w="7220" w:type="dxa"/>
            <w:vAlign w:val="bottom"/>
          </w:tcPr>
          <w:p>
            <w:pPr>
              <w:ind w:left="1260"/>
              <w:spacing w:after="0"/>
              <w:rPr>
                <w:sz w:val="20"/>
                <w:szCs w:val="20"/>
                <w:color w:val="auto"/>
              </w:rPr>
            </w:pPr>
            <w:r>
              <w:rPr>
                <w:rFonts w:ascii="Times New Roman" w:cs="Times New Roman" w:eastAsia="Times New Roman" w:hAnsi="Times New Roman"/>
                <w:sz w:val="18"/>
                <w:szCs w:val="18"/>
                <w:color w:val="auto"/>
              </w:rPr>
              <w:t>+90 bps</w:t>
            </w:r>
          </w:p>
        </w:tc>
      </w:tr>
      <w:tr>
        <w:trPr>
          <w:trHeight w:val="432"/>
        </w:trPr>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Benchmark Treasury:</w:t>
            </w:r>
          </w:p>
        </w:tc>
        <w:tc>
          <w:tcPr>
            <w:tcW w:w="7220" w:type="dxa"/>
            <w:vAlign w:val="bottom"/>
          </w:tcPr>
          <w:p>
            <w:pPr>
              <w:ind w:left="1260"/>
              <w:spacing w:after="0"/>
              <w:rPr>
                <w:sz w:val="20"/>
                <w:szCs w:val="20"/>
                <w:color w:val="auto"/>
              </w:rPr>
            </w:pPr>
            <w:r>
              <w:rPr>
                <w:rFonts w:ascii="Times New Roman" w:cs="Times New Roman" w:eastAsia="Times New Roman" w:hAnsi="Times New Roman"/>
                <w:sz w:val="18"/>
                <w:szCs w:val="18"/>
                <w:color w:val="auto"/>
              </w:rPr>
              <w:t>UST 4.125% due May 31, 2031</w:t>
            </w:r>
          </w:p>
        </w:tc>
      </w:tr>
      <w:tr>
        <w:trPr>
          <w:trHeight w:val="432"/>
        </w:trPr>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Benchmark Treasury Price / Yield:</w:t>
            </w:r>
          </w:p>
        </w:tc>
        <w:tc>
          <w:tcPr>
            <w:tcW w:w="7220" w:type="dxa"/>
            <w:vAlign w:val="bottom"/>
          </w:tcPr>
          <w:p>
            <w:pPr>
              <w:ind w:left="1260"/>
              <w:spacing w:after="0"/>
              <w:rPr>
                <w:sz w:val="20"/>
                <w:szCs w:val="20"/>
                <w:color w:val="auto"/>
              </w:rPr>
            </w:pPr>
            <w:r>
              <w:rPr>
                <w:rFonts w:ascii="Times New Roman" w:cs="Times New Roman" w:eastAsia="Times New Roman" w:hAnsi="Times New Roman"/>
                <w:sz w:val="18"/>
                <w:szCs w:val="18"/>
                <w:color w:val="auto"/>
              </w:rPr>
              <w:t>99-20 ¼ / 4.208%</w:t>
            </w:r>
          </w:p>
        </w:tc>
      </w:tr>
      <w:tr>
        <w:trPr>
          <w:trHeight w:val="432"/>
        </w:trPr>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Make-Whole Call:</w:t>
            </w:r>
          </w:p>
        </w:tc>
        <w:tc>
          <w:tcPr>
            <w:tcW w:w="7220" w:type="dxa"/>
            <w:vAlign w:val="bottom"/>
          </w:tcPr>
          <w:p>
            <w:pPr>
              <w:ind w:left="1260"/>
              <w:spacing w:after="0"/>
              <w:rPr>
                <w:sz w:val="20"/>
                <w:szCs w:val="20"/>
                <w:color w:val="auto"/>
              </w:rPr>
            </w:pPr>
            <w:r>
              <w:rPr>
                <w:rFonts w:ascii="Times New Roman" w:cs="Times New Roman" w:eastAsia="Times New Roman" w:hAnsi="Times New Roman"/>
                <w:sz w:val="18"/>
                <w:szCs w:val="18"/>
                <w:color w:val="auto"/>
              </w:rPr>
              <w:t>T+15 bps prior to June 15, 2031</w:t>
            </w:r>
          </w:p>
        </w:tc>
      </w:tr>
      <w:tr>
        <w:trPr>
          <w:trHeight w:val="432"/>
        </w:trPr>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Par Call:</w:t>
            </w:r>
          </w:p>
        </w:tc>
        <w:tc>
          <w:tcPr>
            <w:tcW w:w="7220" w:type="dxa"/>
            <w:vAlign w:val="bottom"/>
          </w:tcPr>
          <w:p>
            <w:pPr>
              <w:ind w:left="1260"/>
              <w:spacing w:after="0"/>
              <w:rPr>
                <w:sz w:val="20"/>
                <w:szCs w:val="20"/>
                <w:color w:val="auto"/>
              </w:rPr>
            </w:pPr>
            <w:r>
              <w:rPr>
                <w:rFonts w:ascii="Times New Roman" w:cs="Times New Roman" w:eastAsia="Times New Roman" w:hAnsi="Times New Roman"/>
                <w:sz w:val="18"/>
                <w:szCs w:val="18"/>
                <w:color w:val="auto"/>
              </w:rPr>
              <w:t>On or after June 15, 2031</w:t>
            </w:r>
          </w:p>
        </w:tc>
      </w:tr>
      <w:tr>
        <w:trPr>
          <w:trHeight w:val="432"/>
        </w:trPr>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Change of Control Repurchase Event:</w:t>
            </w:r>
          </w:p>
        </w:tc>
        <w:tc>
          <w:tcPr>
            <w:tcW w:w="7220" w:type="dxa"/>
            <w:vAlign w:val="bottom"/>
          </w:tcPr>
          <w:p>
            <w:pPr>
              <w:ind w:left="1260"/>
              <w:spacing w:after="0"/>
              <w:rPr>
                <w:sz w:val="20"/>
                <w:szCs w:val="20"/>
                <w:color w:val="auto"/>
              </w:rPr>
            </w:pPr>
            <w:r>
              <w:rPr>
                <w:rFonts w:ascii="Times New Roman" w:cs="Times New Roman" w:eastAsia="Times New Roman" w:hAnsi="Times New Roman"/>
                <w:sz w:val="18"/>
                <w:szCs w:val="18"/>
                <w:color w:val="auto"/>
              </w:rPr>
              <w:t>Put @ 101% of principal plus accrued and unpaid interest</w:t>
            </w:r>
          </w:p>
        </w:tc>
      </w:tr>
      <w:tr>
        <w:trPr>
          <w:trHeight w:val="432"/>
        </w:trPr>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Trade Date:</w:t>
            </w:r>
          </w:p>
        </w:tc>
        <w:tc>
          <w:tcPr>
            <w:tcW w:w="7220" w:type="dxa"/>
            <w:vAlign w:val="bottom"/>
          </w:tcPr>
          <w:p>
            <w:pPr>
              <w:ind w:left="1260"/>
              <w:spacing w:after="0"/>
              <w:rPr>
                <w:sz w:val="20"/>
                <w:szCs w:val="20"/>
                <w:color w:val="auto"/>
              </w:rPr>
            </w:pPr>
            <w:r>
              <w:rPr>
                <w:rFonts w:ascii="Times New Roman" w:cs="Times New Roman" w:eastAsia="Times New Roman" w:hAnsi="Times New Roman"/>
                <w:sz w:val="18"/>
                <w:szCs w:val="18"/>
                <w:color w:val="auto"/>
              </w:rPr>
              <w:t>June 18, 2026</w:t>
            </w:r>
          </w:p>
        </w:tc>
      </w:tr>
      <w:tr>
        <w:trPr>
          <w:trHeight w:val="614"/>
        </w:trPr>
        <w:tc>
          <w:tcPr>
            <w:tcW w:w="4020" w:type="dxa"/>
            <w:vAlign w:val="bottom"/>
            <w:tcBorders>
              <w:bottom w:val="single" w:sz="8" w:color="auto"/>
            </w:tcBorders>
          </w:tcPr>
          <w:p>
            <w:pPr>
              <w:spacing w:after="0"/>
              <w:rPr>
                <w:sz w:val="24"/>
                <w:szCs w:val="24"/>
                <w:color w:val="auto"/>
              </w:rPr>
            </w:pPr>
          </w:p>
        </w:tc>
        <w:tc>
          <w:tcPr>
            <w:tcW w:w="72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225"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color w:val="auto"/>
        </w:rPr>
        <w:t>Settlement 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T+5; June 26, 2026</w:t>
      </w:r>
    </w:p>
    <w:p>
      <w:pPr>
        <w:spacing w:after="0" w:line="211" w:lineRule="exact"/>
        <w:rPr>
          <w:sz w:val="20"/>
          <w:szCs w:val="20"/>
          <w:color w:val="auto"/>
        </w:rPr>
      </w:pPr>
    </w:p>
    <w:p>
      <w:pPr>
        <w:sectPr>
          <w:pgSz w:w="11900" w:h="16838" w:orient="portrait"/>
          <w:cols w:equalWidth="0" w:num="2">
            <w:col w:w="4560" w:space="720"/>
            <w:col w:w="5960"/>
          </w:cols>
          <w:pgMar w:left="320" w:top="337" w:right="339" w:bottom="1440" w:gutter="0" w:footer="0" w:header="0"/>
        </w:sectPr>
      </w:pPr>
    </w:p>
    <w:p>
      <w:pPr>
        <w:spacing w:after="0" w:line="25" w:lineRule="exact"/>
        <w:rPr>
          <w:sz w:val="20"/>
          <w:szCs w:val="20"/>
          <w:color w:val="auto"/>
        </w:rPr>
      </w:pPr>
    </w:p>
    <w:p>
      <w:pPr>
        <w:ind w:left="5280" w:right="20"/>
        <w:spacing w:after="0" w:line="254" w:lineRule="auto"/>
        <w:rPr>
          <w:sz w:val="20"/>
          <w:szCs w:val="20"/>
          <w:color w:val="auto"/>
        </w:rPr>
      </w:pPr>
      <w:r>
        <w:rPr>
          <w:rFonts w:ascii="Times New Roman" w:cs="Times New Roman" w:eastAsia="Times New Roman" w:hAnsi="Times New Roman"/>
          <w:sz w:val="18"/>
          <w:szCs w:val="18"/>
          <w:color w:val="auto"/>
        </w:rPr>
        <w:t>We expect that delivery of the notes will be made against payment therefor on or about June 26, 2026, which is the fifth business day following the date of pricing of the notes (such settlement cycle being referred to as “T+5”). Under Rule 15c6-1 under the Securities Exchange Act of 1934, as amended, trades in the secondary market generally are required to settle in one business day unless the parties to any such trade expressly agree otherwise. Accordingly, purchasers who wish to trade the notes prior to the business day immediately before settlement will be required to specify an alternative settlement cycle at the time of any such trade to prevent failed settlement and should consult their own advisors.</w:t>
      </w:r>
    </w:p>
    <w:p>
      <w:pPr>
        <w:sectPr>
          <w:pgSz w:w="11900" w:h="16838" w:orient="portrait"/>
          <w:cols w:equalWidth="0" w:num="1">
            <w:col w:w="11240"/>
          </w:cols>
          <w:pgMar w:left="320" w:top="337" w:right="339" w:bottom="1440" w:gutter="0" w:footer="0" w:header="0"/>
          <w:type w:val="continuous"/>
        </w:sectPr>
      </w:pP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Denominations/Multiple:</w:t>
      </w:r>
    </w:p>
    <w:p>
      <w:pPr>
        <w:spacing w:after="0" w:line="20" w:lineRule="exact"/>
        <w:rPr>
          <w:sz w:val="20"/>
          <w:szCs w:val="20"/>
          <w:color w:val="auto"/>
        </w:rPr>
      </w:pPr>
      <w:r>
        <w:rPr>
          <w:sz w:val="20"/>
          <w:szCs w:val="20"/>
          <w:color w:val="auto"/>
        </w:rPr>
        <w:br w:type="column"/>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$2,000 x $1,000</w:t>
      </w:r>
    </w:p>
    <w:p>
      <w:pPr>
        <w:spacing w:after="0" w:line="200" w:lineRule="exact"/>
        <w:rPr>
          <w:sz w:val="20"/>
          <w:szCs w:val="20"/>
          <w:color w:val="auto"/>
        </w:rPr>
      </w:pPr>
    </w:p>
    <w:p>
      <w:pPr>
        <w:sectPr>
          <w:pgSz w:w="11900" w:h="16838" w:orient="portrait"/>
          <w:cols w:equalWidth="0" w:num="2">
            <w:col w:w="4560" w:space="720"/>
            <w:col w:w="5960"/>
          </w:cols>
          <w:pgMar w:left="320" w:top="337" w:right="339" w:bottom="1440" w:gutter="0" w:footer="0" w:header="0"/>
          <w:type w:val="continuous"/>
        </w:sectPr>
      </w:pP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CUSIP / ISIN:</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92343E AR3 / US92343EAR36</w:t>
      </w:r>
    </w:p>
    <w:p>
      <w:pPr>
        <w:spacing w:after="0" w:line="211" w:lineRule="exact"/>
        <w:rPr>
          <w:sz w:val="20"/>
          <w:szCs w:val="20"/>
          <w:color w:val="auto"/>
        </w:rPr>
      </w:pPr>
    </w:p>
    <w:p>
      <w:pPr>
        <w:sectPr>
          <w:pgSz w:w="11900" w:h="16838" w:orient="portrait"/>
          <w:cols w:equalWidth="0" w:num="2">
            <w:col w:w="4560" w:space="720"/>
            <w:col w:w="5960"/>
          </w:cols>
          <w:pgMar w:left="320" w:top="337" w:right="339" w:bottom="1440" w:gutter="0" w:footer="0" w:header="0"/>
          <w:type w:val="continuous"/>
        </w:sectPr>
      </w:pP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Joint Book-Running Managers:</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J.P. Morgan Securities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BofA Securities,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U.S. Bancorp Investments, Inc.</w:t>
      </w:r>
    </w:p>
    <w:p>
      <w:pPr>
        <w:spacing w:after="0" w:line="200" w:lineRule="exact"/>
        <w:rPr>
          <w:sz w:val="20"/>
          <w:szCs w:val="20"/>
          <w:color w:val="auto"/>
        </w:rPr>
      </w:pPr>
    </w:p>
    <w:p>
      <w:pPr>
        <w:sectPr>
          <w:pgSz w:w="11900" w:h="16838" w:orient="portrait"/>
          <w:cols w:equalWidth="0" w:num="2">
            <w:col w:w="4560" w:space="720"/>
            <w:col w:w="5960"/>
          </w:cols>
          <w:pgMar w:left="320" w:top="337" w:right="339" w:bottom="1440" w:gutter="0" w:footer="0" w:header="0"/>
          <w:type w:val="continuous"/>
        </w:sectPr>
      </w:pP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Use of Proceeds: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358775</wp:posOffset>
            </wp:positionV>
            <wp:extent cx="71120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20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82" w:lineRule="auto"/>
        <w:rPr>
          <w:sz w:val="20"/>
          <w:szCs w:val="20"/>
          <w:color w:val="auto"/>
        </w:rPr>
      </w:pPr>
      <w:r>
        <w:rPr>
          <w:rFonts w:ascii="Times New Roman" w:cs="Times New Roman" w:eastAsia="Times New Roman" w:hAnsi="Times New Roman"/>
          <w:sz w:val="18"/>
          <w:szCs w:val="18"/>
          <w:color w:val="auto"/>
        </w:rPr>
        <w:t>The Issuer intends to use the net proceeds from this offering, together with cash on hand, to fund the redemption of all of the outstanding 2027 Notes.</w:t>
      </w:r>
    </w:p>
    <w:p>
      <w:pPr>
        <w:spacing w:after="0" w:line="200" w:lineRule="exact"/>
        <w:rPr>
          <w:sz w:val="20"/>
          <w:szCs w:val="20"/>
          <w:color w:val="auto"/>
        </w:rPr>
      </w:pPr>
    </w:p>
    <w:p>
      <w:pPr>
        <w:sectPr>
          <w:pgSz w:w="11900" w:h="16838" w:orient="portrait"/>
          <w:cols w:equalWidth="0" w:num="2">
            <w:col w:w="4560" w:space="720"/>
            <w:col w:w="5960"/>
          </w:cols>
          <w:pgMar w:left="320" w:top="337" w:right="339" w:bottom="1440" w:gutter="0" w:footer="0" w:header="0"/>
          <w:type w:val="continuous"/>
        </w:sectPr>
      </w:pPr>
    </w:p>
    <w:p>
      <w:pPr>
        <w:spacing w:after="0" w:line="174"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color w:val="auto"/>
        </w:rPr>
        <w:t>This communication does not constitute an offer to sell or the solicitation of an offer to buy any securities in any jurisdiction to any person to whom it is unlawful to make such offer or solicitation in such jurisdiction.</w:t>
      </w:r>
    </w:p>
    <w:p>
      <w:pPr>
        <w:spacing w:after="0" w:line="155" w:lineRule="exact"/>
        <w:rPr>
          <w:sz w:val="20"/>
          <w:szCs w:val="20"/>
          <w:color w:val="auto"/>
        </w:rPr>
      </w:pPr>
    </w:p>
    <w:p>
      <w:pPr>
        <w:ind w:right="20"/>
        <w:spacing w:after="0" w:line="257" w:lineRule="auto"/>
        <w:rPr>
          <w:sz w:val="20"/>
          <w:szCs w:val="20"/>
          <w:color w:val="auto"/>
        </w:rPr>
      </w:pPr>
      <w:r>
        <w:rPr>
          <w:rFonts w:ascii="Times New Roman" w:cs="Times New Roman" w:eastAsia="Times New Roman" w:hAnsi="Times New Roman"/>
          <w:sz w:val="18"/>
          <w:szCs w:val="18"/>
          <w:b w:val="1"/>
          <w:bCs w:val="1"/>
          <w:color w:val="auto"/>
        </w:rPr>
        <w:t>The issuer has filed a registration statement (including a prospectus) with the Securities and Exchange Commission (the “SEC”) to which this communication relates. Before you invest in any offering, you should read the prospectus in that registration statement and other documents the issuer has filed with the SEC for more complete information about Verisign and the offering. You may get these documents for free by visiting EDGAR on the SEC web site at www.sec.gov. Alternatively, the issuer or any underwriter participating in the offering will arrange to send you the prospectus if you request it by calling J.P. Morgan Securities LLC at (212) 834-4533, BofA Securities, Inc. at (800) 294-1322 or U.S. Bancorp Investments, Inc. at (877) 558-2607.</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securities rating is not a recommendation to buy, sell or hold securities and may be subject to revision or withdrawal at any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351790</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337"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2026-06-18T16:37:57Z</dcterms:created>
  <dcterms:modified xsi:type="dcterms:W3CDTF">2026-06-18T16:37:57Z</dcterms:modified>
</cp:coreProperties>
</file>