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386080</wp:posOffset>
            </wp:positionV>
            <wp:extent cx="70548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412115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26"/>
          <w:szCs w:val="26"/>
          <w:b w:val="1"/>
          <w:bCs w:val="1"/>
          <w:color w:val="auto"/>
        </w:rPr>
        <w:t>SECURITIES AND EXCHANGE COMMISSION</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SCHEDULE 14A INFORMATION</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18"/>
          <w:szCs w:val="18"/>
          <w:color w:val="auto"/>
        </w:rPr>
      </w:pPr>
    </w:p>
    <w:p>
      <w:pPr>
        <w:ind w:left="20" w:right="3039" w:firstLine="6"/>
        <w:spacing w:after="0" w:line="295" w:lineRule="auto"/>
        <w:tabs>
          <w:tab w:leader="none" w:pos="3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Arial" w:cs="Arial" w:eastAsia="Arial" w:hAnsi="Arial"/>
          <w:sz w:val="18"/>
          <w:szCs w:val="18"/>
          <w:color w:val="auto"/>
        </w:rPr>
        <w:t>Definitive Proxy Statement</w:t>
      </w:r>
    </w:p>
    <w:p>
      <w:pPr>
        <w:spacing w:after="0" w:line="31"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437515</wp:posOffset>
            </wp:positionV>
            <wp:extent cx="174879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VeriSign,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90" w:lineRule="exact"/>
        <w:rPr>
          <w:sz w:val="24"/>
          <w:szCs w:val="24"/>
          <w:color w:val="auto"/>
        </w:rPr>
      </w:pPr>
    </w:p>
    <w:p>
      <w:pPr>
        <w:ind w:left="340" w:hanging="314"/>
        <w:spacing w:after="0"/>
        <w:tabs>
          <w:tab w:leader="none" w:pos="34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40" w:hanging="31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340" w:hanging="31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1097280" cy="1020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spacing w:after="0"/>
        <w:rPr>
          <w:sz w:val="20"/>
          <w:szCs w:val="20"/>
          <w:color w:val="auto"/>
        </w:rPr>
      </w:pPr>
      <w:r>
        <w:rPr>
          <w:rFonts w:ascii="Arial" w:cs="Arial" w:eastAsia="Arial" w:hAnsi="Arial"/>
          <w:sz w:val="72"/>
          <w:szCs w:val="72"/>
          <w:color w:val="004A98"/>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5486400" cy="186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1860550"/>
                    </a:xfrm>
                    <a:prstGeom prst="rect">
                      <a:avLst/>
                    </a:prstGeom>
                    <a:noFill/>
                  </pic:spPr>
                </pic:pic>
              </a:graphicData>
            </a:graphic>
          </wp:anchor>
        </w:drawing>
      </w:r>
    </w:p>
    <w:p>
      <w:pPr>
        <w:ind w:left="680"/>
        <w:spacing w:after="0" w:line="207" w:lineRule="auto"/>
        <w:rPr>
          <w:sz w:val="20"/>
          <w:szCs w:val="20"/>
          <w:color w:val="auto"/>
        </w:rPr>
      </w:pPr>
      <w:r>
        <w:rPr>
          <w:rFonts w:ascii="Arial" w:cs="Arial" w:eastAsia="Arial" w:hAnsi="Arial"/>
          <w:sz w:val="72"/>
          <w:szCs w:val="72"/>
          <w:color w:val="004A98"/>
        </w:rPr>
        <w:t>2024 ANNUAL</w:t>
      </w:r>
    </w:p>
    <w:p>
      <w:pPr>
        <w:spacing w:after="0" w:line="1" w:lineRule="exact"/>
        <w:rPr>
          <w:sz w:val="20"/>
          <w:szCs w:val="20"/>
          <w:color w:val="auto"/>
        </w:rPr>
      </w:pPr>
    </w:p>
    <w:p>
      <w:pPr>
        <w:ind w:left="680" w:right="2499"/>
        <w:spacing w:after="0"/>
        <w:rPr>
          <w:sz w:val="20"/>
          <w:szCs w:val="20"/>
          <w:color w:val="auto"/>
        </w:rPr>
      </w:pPr>
      <w:r>
        <w:rPr>
          <w:rFonts w:ascii="Arial" w:cs="Arial" w:eastAsia="Arial" w:hAnsi="Arial"/>
          <w:sz w:val="70"/>
          <w:szCs w:val="70"/>
          <w:color w:val="004A98"/>
        </w:rPr>
        <w:t>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097280" cy="102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VeriSign,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12061 Bluemont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Reston, Virginia 20190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April 10,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You are cordially invited to attend the 2024 Annual Meeting of Stockholders (the “Annual Meeting”) of VeriSign, Inc. (“we,” “our,” “us,” or the “Company”) to be held at our corporate offices located at 12061 Bluemont Way, Reston, Virginia 20190 on Thursday, May 23, 2024, at 10:00 a.m., Eastern Time.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matters expected to be acted upon at the Annual Meeting are described in detail on the following pages.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are using a U.S. Securities and Exchange Commission rule that allows us to furnish our proxy materials over the internet. As a result, we are mailing to our stockholders a Notice Regarding the Availability of Proxy Materials instead of a paper copy of the following Proxy Statement, together with our 2023 Annual Report. The Notice Regarding the Availability of Proxy Materials contains instructions on how to access those documents over the internet or receive a paper copy of those documents. We believe that this process will conserve natural resources and reduce the costs of printing and distributing our proxy materials.</w:t>
      </w:r>
    </w:p>
    <w:p>
      <w:pPr>
        <w:spacing w:after="0" w:line="8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It is important that you use this opportunity to take part in the affairs of the Company by voting on the business to come before the Annual Meeting. Whether or not you plan to attend the Annual Meeting, please vote electronically via the internet or by telephone as described in the Notice Regarding the Availability of Proxy Materials and under “Information About the Meeting—Internet and Telephone Voting” within the following Proxy Statement, or alternatively, if you have received paper copies of our proxy materials, please complete, date, sign, and promptly return the accompanying proxy card or voting instruction form by mail using the enclosed envelope so that your shares may be represented at the Annual Meeting. Returning or completing the proxy card does not deprive you of your right to attend the Annual Meeting and vote your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the Company.</w:t>
      </w:r>
    </w:p>
    <w:p>
      <w:pPr>
        <w:spacing w:after="0" w:line="154"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Sincerely,</w:t>
      </w:r>
    </w:p>
    <w:p>
      <w:pPr>
        <w:spacing w:after="0" w:line="289"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 D. James Bidzos</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D. James Bidzos</w:t>
      </w:r>
    </w:p>
    <w:p>
      <w:pPr>
        <w:spacing w:after="0" w:line="175"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Chairman of the Board of Directors,</w:t>
      </w:r>
    </w:p>
    <w:p>
      <w:pPr>
        <w:ind w:left="6500"/>
        <w:spacing w:after="0"/>
        <w:rPr>
          <w:sz w:val="20"/>
          <w:szCs w:val="20"/>
          <w:color w:val="auto"/>
        </w:rPr>
      </w:pPr>
      <w:r>
        <w:rPr>
          <w:rFonts w:ascii="Arial" w:cs="Arial" w:eastAsia="Arial" w:hAnsi="Arial"/>
          <w:sz w:val="16"/>
          <w:szCs w:val="16"/>
          <w:color w:val="auto"/>
        </w:rPr>
        <w:t>Executive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420"/>
        <w:spacing w:after="0" w:line="284" w:lineRule="auto"/>
        <w:rPr>
          <w:sz w:val="20"/>
          <w:szCs w:val="20"/>
          <w:color w:val="auto"/>
        </w:rPr>
      </w:pPr>
      <w:r>
        <w:rPr>
          <w:rFonts w:ascii="Arial" w:cs="Arial" w:eastAsia="Arial" w:hAnsi="Arial"/>
          <w:sz w:val="59"/>
          <w:szCs w:val="59"/>
          <w:color w:val="004A98"/>
        </w:rPr>
        <w:t>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19960" cy="263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9960" cy="26314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Date and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2024 Annual Meeting of Stockholders (the “Annual Meeting”) will be held for the following purposes:</w:t>
      </w:r>
    </w:p>
    <w:p>
      <w:pPr>
        <w:spacing w:after="0" w:line="382" w:lineRule="exact"/>
        <w:rPr>
          <w:sz w:val="20"/>
          <w:szCs w:val="20"/>
          <w:color w:val="auto"/>
        </w:rPr>
      </w:pPr>
    </w:p>
    <w:p>
      <w:pPr>
        <w:sectPr>
          <w:pgSz w:w="11900" w:h="16838" w:orient="portrait"/>
          <w:cols w:equalWidth="0" w:num="2">
            <w:col w:w="3040" w:space="720"/>
            <w:col w:w="7460"/>
          </w:cols>
          <w:pgMar w:left="320" w:top="122" w:right="359" w:bottom="1440" w:gutter="0" w:footer="0" w:header="0"/>
          <w:type w:val="continuous"/>
        </w:sectPr>
      </w:pPr>
    </w:p>
    <w:p>
      <w:pPr>
        <w:ind w:left="140"/>
        <w:spacing w:after="0" w:line="304" w:lineRule="auto"/>
        <w:rPr>
          <w:sz w:val="20"/>
          <w:szCs w:val="20"/>
          <w:color w:val="auto"/>
        </w:rPr>
      </w:pPr>
      <w:r>
        <w:rPr>
          <w:rFonts w:ascii="Arial" w:cs="Arial" w:eastAsia="Arial" w:hAnsi="Arial"/>
          <w:sz w:val="16"/>
          <w:szCs w:val="16"/>
          <w:color w:val="auto"/>
        </w:rPr>
        <w:t>May 23, 2024 (Thursday) 10:00 a.m. (Eastern Time)</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Location</w:t>
      </w:r>
    </w:p>
    <w:p>
      <w:pPr>
        <w:spacing w:after="0" w:line="68" w:lineRule="exact"/>
        <w:rPr>
          <w:sz w:val="20"/>
          <w:szCs w:val="20"/>
          <w:color w:val="auto"/>
        </w:rPr>
      </w:pPr>
    </w:p>
    <w:p>
      <w:pPr>
        <w:ind w:left="140" w:right="100"/>
        <w:spacing w:after="0" w:line="301" w:lineRule="auto"/>
        <w:rPr>
          <w:sz w:val="20"/>
          <w:szCs w:val="20"/>
          <w:color w:val="auto"/>
        </w:rPr>
      </w:pPr>
      <w:r>
        <w:rPr>
          <w:rFonts w:ascii="Arial" w:cs="Arial" w:eastAsia="Arial" w:hAnsi="Arial"/>
          <w:sz w:val="16"/>
          <w:szCs w:val="16"/>
          <w:color w:val="auto"/>
        </w:rPr>
        <w:t>The Annual Meeting will be held at our corporate offices located at 12061 Bluemont Way, Reston, Virginia 20190.</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Who Can Vote</w:t>
      </w:r>
    </w:p>
    <w:p>
      <w:pPr>
        <w:spacing w:after="0" w:line="68" w:lineRule="exact"/>
        <w:rPr>
          <w:sz w:val="20"/>
          <w:szCs w:val="20"/>
          <w:color w:val="auto"/>
        </w:rPr>
      </w:pPr>
    </w:p>
    <w:p>
      <w:pPr>
        <w:ind w:left="140" w:right="180"/>
        <w:spacing w:after="0" w:line="282" w:lineRule="auto"/>
        <w:rPr>
          <w:sz w:val="20"/>
          <w:szCs w:val="20"/>
          <w:color w:val="auto"/>
        </w:rPr>
      </w:pPr>
      <w:r>
        <w:rPr>
          <w:rFonts w:ascii="Arial" w:cs="Arial" w:eastAsia="Arial" w:hAnsi="Arial"/>
          <w:sz w:val="16"/>
          <w:szCs w:val="16"/>
          <w:color w:val="auto"/>
        </w:rPr>
        <w:t>Only stockholders of record at the close of business on March 28, 2024, which is the record date, are entitled to notice of, and to vote at, the Annual Meeting or any adjournment or postponement thereof.</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223710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7105" cy="240030"/>
                    </a:xfrm>
                    <a:prstGeom prst="rect">
                      <a:avLst/>
                    </a:prstGeom>
                    <a:noFill/>
                  </pic:spPr>
                </pic:pic>
              </a:graphicData>
            </a:graphic>
          </wp:anchor>
        </w:drawing>
      </w:r>
    </w:p>
    <w:p>
      <w:pPr>
        <w:spacing w:after="0" w:line="104" w:lineRule="exact"/>
        <w:rPr>
          <w:sz w:val="20"/>
          <w:szCs w:val="20"/>
          <w:color w:val="auto"/>
        </w:rPr>
      </w:pPr>
    </w:p>
    <w:p>
      <w:pPr>
        <w:ind w:left="560" w:right="100" w:hanging="535"/>
        <w:spacing w:after="0" w:line="183" w:lineRule="auto"/>
        <w:tabs>
          <w:tab w:leader="none" w:pos="560" w:val="left"/>
        </w:tabs>
        <w:numPr>
          <w:ilvl w:val="0"/>
          <w:numId w:val="4"/>
        </w:numPr>
        <w:rPr>
          <w:rFonts w:ascii="Arial" w:cs="Arial" w:eastAsia="Arial" w:hAnsi="Arial"/>
          <w:sz w:val="32"/>
          <w:szCs w:val="32"/>
          <w:b w:val="1"/>
          <w:bCs w:val="1"/>
          <w:color w:val="004A98"/>
          <w:vertAlign w:val="subscript"/>
        </w:rPr>
      </w:pPr>
      <w:r>
        <w:rPr>
          <w:rFonts w:ascii="Arial" w:cs="Arial" w:eastAsia="Arial" w:hAnsi="Arial"/>
          <w:sz w:val="14"/>
          <w:szCs w:val="14"/>
          <w:color w:val="auto"/>
        </w:rPr>
        <w:t>Election of Eight Directors Named in the Proxy Statement</w:t>
      </w:r>
    </w:p>
    <w:p>
      <w:pPr>
        <w:spacing w:after="0" w:line="164" w:lineRule="exact"/>
        <w:rPr>
          <w:sz w:val="20"/>
          <w:szCs w:val="20"/>
          <w:color w:val="auto"/>
        </w:rPr>
      </w:pPr>
    </w:p>
    <w:p>
      <w:pPr>
        <w:ind w:left="560" w:right="400" w:hanging="535"/>
        <w:spacing w:after="0" w:line="182" w:lineRule="auto"/>
        <w:tabs>
          <w:tab w:leader="none" w:pos="560" w:val="left"/>
        </w:tabs>
        <w:numPr>
          <w:ilvl w:val="0"/>
          <w:numId w:val="5"/>
        </w:numPr>
        <w:rPr>
          <w:rFonts w:ascii="Arial" w:cs="Arial" w:eastAsia="Arial" w:hAnsi="Arial"/>
          <w:sz w:val="30"/>
          <w:szCs w:val="30"/>
          <w:b w:val="1"/>
          <w:bCs w:val="1"/>
          <w:color w:val="004A98"/>
          <w:vertAlign w:val="subscript"/>
        </w:rPr>
      </w:pPr>
      <w:r>
        <w:rPr>
          <w:rFonts w:ascii="Arial" w:cs="Arial" w:eastAsia="Arial" w:hAnsi="Arial"/>
          <w:sz w:val="13"/>
          <w:szCs w:val="13"/>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237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2237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004A98"/>
              </w:rPr>
              <w:t>3</w:t>
            </w:r>
          </w:p>
        </w:tc>
        <w:tc>
          <w:tcPr>
            <w:tcW w:w="3160" w:type="dxa"/>
            <w:vAlign w:val="bottom"/>
          </w:tcPr>
          <w:p>
            <w:pPr>
              <w:ind w:left="180"/>
              <w:spacing w:after="0"/>
              <w:rPr>
                <w:sz w:val="20"/>
                <w:szCs w:val="20"/>
                <w:color w:val="auto"/>
              </w:rPr>
            </w:pPr>
            <w:r>
              <w:rPr>
                <w:rFonts w:ascii="Arial" w:cs="Arial" w:eastAsia="Arial" w:hAnsi="Arial"/>
                <w:sz w:val="16"/>
                <w:szCs w:val="16"/>
                <w:color w:val="auto"/>
                <w:w w:val="98"/>
              </w:rPr>
              <w:t>Ratification of Selection of KPMG   LLP as</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160" w:type="dxa"/>
            <w:vAlign w:val="bottom"/>
          </w:tcPr>
          <w:p>
            <w:pPr>
              <w:ind w:left="180"/>
              <w:spacing w:after="0" w:line="162" w:lineRule="exact"/>
              <w:rPr>
                <w:sz w:val="20"/>
                <w:szCs w:val="20"/>
                <w:color w:val="auto"/>
              </w:rPr>
            </w:pPr>
            <w:r>
              <w:rPr>
                <w:rFonts w:ascii="Arial" w:cs="Arial" w:eastAsia="Arial" w:hAnsi="Arial"/>
                <w:sz w:val="16"/>
                <w:szCs w:val="16"/>
                <w:color w:val="auto"/>
              </w:rPr>
              <w:t>Independent Registered Public</w:t>
            </w:r>
          </w:p>
        </w:tc>
        <w:tc>
          <w:tcPr>
            <w:tcW w:w="0" w:type="dxa"/>
            <w:vAlign w:val="bottom"/>
          </w:tcPr>
          <w:p>
            <w:pPr>
              <w:spacing w:after="0"/>
              <w:rPr>
                <w:sz w:val="1"/>
                <w:szCs w:val="1"/>
                <w:color w:val="auto"/>
              </w:rPr>
            </w:pPr>
          </w:p>
        </w:tc>
      </w:tr>
      <w:tr>
        <w:trPr>
          <w:trHeight w:val="215"/>
        </w:trPr>
        <w:tc>
          <w:tcPr>
            <w:tcW w:w="380" w:type="dxa"/>
            <w:vAlign w:val="bottom"/>
            <w:vMerge w:val="continue"/>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6"/>
                <w:szCs w:val="16"/>
                <w:color w:val="auto"/>
              </w:rPr>
              <w:t>Accounting Firm for 2024</w:t>
            </w:r>
          </w:p>
        </w:tc>
        <w:tc>
          <w:tcPr>
            <w:tcW w:w="0" w:type="dxa"/>
            <w:vAlign w:val="bottom"/>
          </w:tcPr>
          <w:p>
            <w:pPr>
              <w:spacing w:after="0"/>
              <w:rPr>
                <w:sz w:val="1"/>
                <w:szCs w:val="1"/>
                <w:color w:val="auto"/>
              </w:rPr>
            </w:pPr>
          </w:p>
        </w:tc>
      </w:tr>
      <w:tr>
        <w:trPr>
          <w:trHeight w:val="55"/>
        </w:trPr>
        <w:tc>
          <w:tcPr>
            <w:tcW w:w="380" w:type="dxa"/>
            <w:vAlign w:val="bottom"/>
            <w:tcBorders>
              <w:bottom w:val="single" w:sz="8" w:color="939598"/>
            </w:tcBorders>
          </w:tcPr>
          <w:p>
            <w:pPr>
              <w:spacing w:after="0"/>
              <w:rPr>
                <w:sz w:val="4"/>
                <w:szCs w:val="4"/>
                <w:color w:val="auto"/>
              </w:rPr>
            </w:pPr>
          </w:p>
        </w:tc>
        <w:tc>
          <w:tcPr>
            <w:tcW w:w="316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BOARD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-108585</wp:posOffset>
            </wp:positionV>
            <wp:extent cx="150050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0505"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RECOMMENDATION</w:t>
      </w:r>
    </w:p>
    <w:p>
      <w:pPr>
        <w:spacing w:after="0" w:line="72"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15005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45720</wp:posOffset>
            </wp:positionV>
            <wp:extent cx="1500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114300</wp:posOffset>
            </wp:positionV>
            <wp:extent cx="1500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wp:posOffset>
            </wp:positionV>
            <wp:extent cx="88265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2650" cy="2400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DETAILS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149225</wp:posOffset>
            </wp:positionV>
            <wp:extent cx="882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36"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89535</wp:posOffset>
            </wp:positionV>
            <wp:extent cx="8826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36"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158115</wp:posOffset>
            </wp:positionV>
            <wp:extent cx="8826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353" w:lineRule="exact"/>
        <w:rPr>
          <w:sz w:val="20"/>
          <w:szCs w:val="20"/>
          <w:color w:val="auto"/>
        </w:rPr>
      </w:pPr>
    </w:p>
    <w:p>
      <w:pPr>
        <w:sectPr>
          <w:pgSz w:w="11900" w:h="16838" w:orient="portrait"/>
          <w:cols w:equalWidth="0" w:num="4">
            <w:col w:w="3420" w:space="320"/>
            <w:col w:w="3540" w:space="120"/>
            <w:col w:w="1780" w:space="680"/>
            <w:col w:w="1360"/>
          </w:cols>
          <w:pgMar w:left="320" w:top="122" w:right="35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760" w:right="20"/>
        <w:spacing w:after="0" w:line="304" w:lineRule="auto"/>
        <w:rPr>
          <w:sz w:val="20"/>
          <w:szCs w:val="20"/>
          <w:color w:val="auto"/>
        </w:rPr>
      </w:pPr>
      <w:r>
        <w:rPr>
          <w:rFonts w:ascii="Arial" w:cs="Arial" w:eastAsia="Arial" w:hAnsi="Arial"/>
          <w:sz w:val="16"/>
          <w:szCs w:val="16"/>
          <w:color w:val="auto"/>
        </w:rPr>
        <w:t>Stockholders will also transact such other business as may properly come before the Annual Meeting or any adjournment or postponement thereof.</w:t>
      </w:r>
    </w:p>
    <w:p>
      <w:pPr>
        <w:spacing w:after="0" w:line="47" w:lineRule="exact"/>
        <w:rPr>
          <w:sz w:val="20"/>
          <w:szCs w:val="20"/>
          <w:color w:val="auto"/>
        </w:rPr>
      </w:pPr>
    </w:p>
    <w:p>
      <w:pPr>
        <w:ind w:left="3760" w:right="320"/>
        <w:spacing w:after="0" w:line="304"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47" w:lineRule="exact"/>
        <w:rPr>
          <w:sz w:val="20"/>
          <w:szCs w:val="20"/>
          <w:color w:val="auto"/>
        </w:rPr>
      </w:pPr>
    </w:p>
    <w:p>
      <w:pPr>
        <w:ind w:left="3760" w:right="60"/>
        <w:spacing w:after="0" w:line="274" w:lineRule="auto"/>
        <w:rPr>
          <w:sz w:val="20"/>
          <w:szCs w:val="20"/>
          <w:color w:val="auto"/>
        </w:rPr>
      </w:pPr>
      <w:r>
        <w:rPr>
          <w:rFonts w:ascii="Arial" w:cs="Arial" w:eastAsia="Arial" w:hAnsi="Arial"/>
          <w:sz w:val="16"/>
          <w:szCs w:val="16"/>
          <w:color w:val="auto"/>
        </w:rPr>
        <w:t>If you hold your shares as of the record date as a stockholder of record or as a beneficial owner, you or your proxyholder may participate, vote, or submit questions during the meeting. A list of stockholders of record entitled to vote shall be available to any stockholder for any purpose relevant to the 2024 Meeting during the 10 days prior to the Annual Meeting upon request to the Office of the Corporate Secretary. In addition, the list of stockholders of record will also be available during the Annual Meeting.</w:t>
      </w:r>
    </w:p>
    <w:p>
      <w:pPr>
        <w:spacing w:after="0" w:line="200" w:lineRule="exact"/>
        <w:rPr>
          <w:sz w:val="20"/>
          <w:szCs w:val="20"/>
          <w:color w:val="auto"/>
        </w:rPr>
      </w:pPr>
    </w:p>
    <w:p>
      <w:pPr>
        <w:spacing w:after="0" w:line="2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004A98"/>
        </w:rPr>
        <w:t>Reston, Virginia</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April 10, 2024</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Order of the Board of Directors,</w:t>
      </w:r>
    </w:p>
    <w:p>
      <w:pPr>
        <w:spacing w:after="0" w:line="24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Thomas C. Indelicarto</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004A98"/>
        </w:rPr>
        <w:t>Thomas C. Indelicarto</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Secretary</w:t>
      </w:r>
    </w:p>
    <w:p>
      <w:pPr>
        <w:spacing w:after="0" w:line="331"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Notice of 2024 Annual Meeting of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4A98"/>
        </w:rPr>
        <w:t>How to Vote</w:t>
      </w:r>
    </w:p>
    <w:p>
      <w:pPr>
        <w:spacing w:after="0" w:line="14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Whether or not you plan to attend the Annual Meeting, please vote electronically via the internet or by telephone as described on the Notice Regarding the Availability of Proxy Materials and under “Information About the Meeting—Internet and Telephone Voting” in the Proxy Statement, or alternatively, if you have received paper copies of proxy materials, complete, date, sign, and promptly return the accompanying proxy card or voting instruction form by mail using the enclosed envelope so that your shares may be represented at the Annual Meeting.</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903"/>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Internet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Telephone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Mail</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Attending the Meeting</w:t>
            </w:r>
          </w:p>
        </w:tc>
      </w:tr>
      <w:tr>
        <w:trPr>
          <w:trHeight w:val="19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Visit the website listed on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Call the telephone number on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Sign, date, and return your</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Attend and vote at the</w:t>
            </w:r>
          </w:p>
        </w:tc>
      </w:tr>
      <w:tr>
        <w:trPr>
          <w:trHeight w:val="17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your proxy card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your proxy card</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proxy card in the enclosed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Annual Meeting</w:t>
            </w:r>
          </w:p>
        </w:tc>
      </w:tr>
      <w:tr>
        <w:trPr>
          <w:trHeight w:val="194"/>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envelope</w:t>
            </w:r>
          </w:p>
        </w:tc>
        <w:tc>
          <w:tcPr>
            <w:tcW w:w="280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-873760</wp:posOffset>
            </wp:positionV>
            <wp:extent cx="24828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-856615</wp:posOffset>
            </wp:positionV>
            <wp:extent cx="22288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-873760</wp:posOffset>
            </wp:positionV>
            <wp:extent cx="25717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-873760</wp:posOffset>
            </wp:positionV>
            <wp:extent cx="257175"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89" w:lineRule="exact"/>
        <w:rPr>
          <w:sz w:val="20"/>
          <w:szCs w:val="20"/>
          <w:color w:val="auto"/>
        </w:rPr>
      </w:pPr>
    </w:p>
    <w:p>
      <w:pPr>
        <w:jc w:val="both"/>
        <w:ind w:left="140" w:right="420"/>
        <w:spacing w:after="0" w:line="230" w:lineRule="auto"/>
        <w:rPr>
          <w:sz w:val="20"/>
          <w:szCs w:val="20"/>
          <w:color w:val="auto"/>
        </w:rPr>
      </w:pPr>
      <w:r>
        <w:rPr>
          <w:rFonts w:ascii="Arial" w:cs="Arial" w:eastAsia="Arial" w:hAnsi="Arial"/>
          <w:sz w:val="22"/>
          <w:szCs w:val="22"/>
          <w:b w:val="1"/>
          <w:bCs w:val="1"/>
          <w:color w:val="004A98"/>
        </w:rPr>
        <w:t>Important Notice Regarding the Availability of Proxy Materials for the Annual Meeting of Stockholders to be Held on May 23, 2024: The 2024 Proxy Statement, together with the 2023 Annual Report, are available at www.edocumentview.com/vrsn.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-451485</wp:posOffset>
            </wp:positionV>
            <wp:extent cx="7054850" cy="506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506095"/>
                    </a:xfrm>
                    <a:prstGeom prst="rect">
                      <a:avLst/>
                    </a:prstGeom>
                    <a:noFill/>
                  </pic:spPr>
                </pic:pic>
              </a:graphicData>
            </a:graphic>
          </wp:anchor>
        </w:drawing>
      </w:r>
    </w:p>
    <w:p>
      <w:pPr>
        <w:spacing w:after="0" w:line="23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 Notice Regarding the Availability of Proxy Materials or the Proxy Statement and related proxy materials were first sent or made available to stockholders on April 10, 2024.</w:t>
      </w:r>
    </w:p>
    <w:p>
      <w:pPr>
        <w:spacing w:after="0" w:line="200" w:lineRule="exact"/>
        <w:rPr>
          <w:sz w:val="20"/>
          <w:szCs w:val="20"/>
          <w:color w:val="auto"/>
        </w:rPr>
      </w:pPr>
    </w:p>
    <w:p>
      <w:pPr>
        <w:spacing w:after="0" w:line="216" w:lineRule="exact"/>
        <w:rPr>
          <w:sz w:val="20"/>
          <w:szCs w:val="20"/>
          <w:color w:val="auto"/>
        </w:rPr>
      </w:pPr>
    </w:p>
    <w:p>
      <w:pPr>
        <w:ind w:left="460" w:hanging="434"/>
        <w:spacing w:after="0"/>
        <w:tabs>
          <w:tab w:leader="none" w:pos="460" w:val="left"/>
        </w:tabs>
        <w:numPr>
          <w:ilvl w:val="0"/>
          <w:numId w:val="6"/>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Table of Contents</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Notice of 2024 Annual Meeting of Stockholders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2023 Business Highlights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Verisign’s Mission, Values, and Strategic Framework</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294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 cy="145415"/>
                    </a:xfrm>
                    <a:prstGeom prst="rect">
                      <a:avLst/>
                    </a:prstGeom>
                    <a:noFill/>
                  </pic:spPr>
                </pic:pic>
              </a:graphicData>
            </a:graphic>
          </wp:anchor>
        </w:drawing>
      </w:r>
    </w:p>
    <w:p>
      <w:pPr>
        <w:spacing w:after="0" w:line="3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4"/>
          <w:szCs w:val="14"/>
          <w:b w:val="1"/>
          <w:bCs w:val="1"/>
          <w:color w:val="FFFFFF"/>
        </w:rPr>
        <w:t>Proposal 1</w:t>
      </w:r>
      <w:r>
        <w:rPr>
          <w:sz w:val="20"/>
          <w:szCs w:val="20"/>
          <w:color w:val="auto"/>
        </w:rPr>
        <w:tab/>
      </w:r>
      <w:r>
        <w:rPr>
          <w:rFonts w:ascii="Arial" w:cs="Arial" w:eastAsia="Arial" w:hAnsi="Arial"/>
          <w:sz w:val="14"/>
          <w:szCs w:val="14"/>
          <w:b w:val="1"/>
          <w:bCs w:val="1"/>
          <w:color w:val="004A98"/>
        </w:rPr>
        <w:t>Election of Directors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Independence, Skills, Experience and Diversity</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Director Nominees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Governance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Board Structure and Operations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Board Responsibilities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Governance and Ethics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294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145415"/>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4"/>
          <w:szCs w:val="14"/>
          <w:b w:val="1"/>
          <w:bCs w:val="1"/>
          <w:color w:val="FFFFFF"/>
        </w:rPr>
        <w:t>Proposal 2</w:t>
      </w:r>
      <w:r>
        <w:rPr>
          <w:sz w:val="20"/>
          <w:szCs w:val="20"/>
          <w:color w:val="auto"/>
        </w:rPr>
        <w:tab/>
      </w:r>
      <w:r>
        <w:rPr>
          <w:rFonts w:ascii="Arial" w:cs="Arial" w:eastAsia="Arial" w:hAnsi="Arial"/>
          <w:sz w:val="14"/>
          <w:szCs w:val="14"/>
          <w:b w:val="1"/>
          <w:bCs w:val="1"/>
          <w:color w:val="004A98"/>
        </w:rPr>
        <w:t>Advisory Vote to Approve Executive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Executive Compensation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Discussion and Analysis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Committee Report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Committee Interlocks and Insider Participation</w:t>
      </w:r>
    </w:p>
    <w:p>
      <w:pPr>
        <w:spacing w:after="0" w:line="55" w:lineRule="exact"/>
        <w:rPr>
          <w:sz w:val="20"/>
          <w:szCs w:val="20"/>
          <w:color w:val="auto"/>
        </w:rPr>
      </w:pPr>
    </w:p>
    <w:p>
      <w:pPr>
        <w:jc w:val="right"/>
        <w:ind w:right="8120"/>
        <w:spacing w:after="0"/>
        <w:rPr>
          <w:sz w:val="20"/>
          <w:szCs w:val="20"/>
          <w:color w:val="auto"/>
        </w:rPr>
      </w:pPr>
      <w:r>
        <w:rPr>
          <w:rFonts w:ascii="Arial" w:cs="Arial" w:eastAsia="Arial" w:hAnsi="Arial"/>
          <w:sz w:val="14"/>
          <w:szCs w:val="14"/>
          <w:b w:val="1"/>
          <w:bCs w:val="1"/>
          <w:color w:val="auto"/>
        </w:rPr>
        <w:t>Executive Compensation Tables</w:t>
      </w:r>
    </w:p>
    <w:p>
      <w:pPr>
        <w:spacing w:after="0" w:line="55" w:lineRule="exact"/>
        <w:rPr>
          <w:sz w:val="20"/>
          <w:szCs w:val="20"/>
          <w:color w:val="auto"/>
        </w:rPr>
      </w:pPr>
    </w:p>
    <w:p>
      <w:pPr>
        <w:jc w:val="right"/>
        <w:ind w:right="8160"/>
        <w:spacing w:after="0"/>
        <w:rPr>
          <w:sz w:val="20"/>
          <w:szCs w:val="20"/>
          <w:color w:val="auto"/>
        </w:rPr>
      </w:pPr>
      <w:r>
        <w:rPr>
          <w:rFonts w:ascii="Arial" w:cs="Arial" w:eastAsia="Arial" w:hAnsi="Arial"/>
          <w:sz w:val="14"/>
          <w:szCs w:val="14"/>
          <w:color w:val="auto"/>
        </w:rPr>
        <w:t>Summary Compensation Table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Grants of Plan-Based Awards in 2023</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Outstanding Equity Awards at 2023 Year-End</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Vested in 2023</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Equity Compensation Plan Information</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CEO Pay Ratio</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Pay Versus Performance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 of Directors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Non-Employee Director Retainer Fees and Equity Compensation Information</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Non-Employee Director Compensation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0294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 cy="146050"/>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4"/>
          <w:szCs w:val="14"/>
          <w:b w:val="1"/>
          <w:bCs w:val="1"/>
          <w:color w:val="FFFFFF"/>
        </w:rPr>
        <w:t>Proposal 3</w:t>
      </w:r>
      <w:r>
        <w:rPr>
          <w:sz w:val="20"/>
          <w:szCs w:val="20"/>
          <w:color w:val="auto"/>
        </w:rPr>
        <w:tab/>
      </w:r>
      <w:r>
        <w:rPr>
          <w:rFonts w:ascii="Arial" w:cs="Arial" w:eastAsia="Arial" w:hAnsi="Arial"/>
          <w:sz w:val="14"/>
          <w:szCs w:val="14"/>
          <w:b w:val="1"/>
          <w:bCs w:val="1"/>
          <w:color w:val="004A98"/>
        </w:rPr>
        <w:t>Ratification of Selection of Independent Registered Public Accounting Firm</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Principal Accountant Fees and Services</w:t>
      </w:r>
    </w:p>
    <w:p>
      <w:pPr>
        <w:spacing w:after="0" w:line="69" w:lineRule="exact"/>
        <w:rPr>
          <w:sz w:val="20"/>
          <w:szCs w:val="20"/>
          <w:color w:val="auto"/>
        </w:rPr>
      </w:pPr>
    </w:p>
    <w:p>
      <w:pPr>
        <w:ind w:left="200" w:right="3140"/>
        <w:spacing w:after="0" w:line="332" w:lineRule="auto"/>
        <w:rPr>
          <w:sz w:val="20"/>
          <w:szCs w:val="20"/>
          <w:color w:val="auto"/>
        </w:rPr>
      </w:pPr>
      <w:r>
        <w:rPr>
          <w:rFonts w:ascii="Arial" w:cs="Arial" w:eastAsia="Arial" w:hAnsi="Arial"/>
          <w:sz w:val="14"/>
          <w:szCs w:val="14"/>
          <w:color w:val="auto"/>
        </w:rPr>
        <w:t>Policy on Audit Committee Pre-Approval of Audit and Permissible Non-Audit Services of Independent Auditors Report of the Audit Committee</w:t>
      </w:r>
    </w:p>
    <w:p>
      <w:pPr>
        <w:ind w:left="20"/>
        <w:spacing w:after="0"/>
        <w:rPr>
          <w:sz w:val="20"/>
          <w:szCs w:val="20"/>
          <w:color w:val="auto"/>
        </w:rPr>
      </w:pPr>
      <w:r>
        <w:rPr>
          <w:rFonts w:ascii="Arial" w:cs="Arial" w:eastAsia="Arial" w:hAnsi="Arial"/>
          <w:sz w:val="14"/>
          <w:szCs w:val="14"/>
          <w:b w:val="1"/>
          <w:bCs w:val="1"/>
          <w:color w:val="auto"/>
        </w:rPr>
        <w:t>Stock Ownership Information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Delinquent Section 16(a) Reports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Ownership Policies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Information About the Meeting</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Voting Rights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Quorum, Effect of Abstentions and Broker Non-Votes, Vote Required to Approve the Proposals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Adjournment of Annual Meeting</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Expenses of Soliciting Proxies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Internet and Telephone Voting</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Revocability of Proxies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Householding</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Information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Stockholder Proposals and Nominations for the 2025 Annual Meeting of Stockholders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Business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Communicating with Verisign</w:t>
      </w:r>
    </w:p>
    <w:p>
      <w:pPr>
        <w:spacing w:after="0" w:line="35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jc w:val="right"/>
        <w:ind w:right="236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9</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4A98"/>
        </w:rPr>
        <w:t>23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004A98"/>
        </w:rPr>
        <w:t>44</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2">
            <w:col w:w="10340" w:space="720"/>
            <w:col w:w="16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2023 Business Highlights</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2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$1.49 billion</w:t>
            </w:r>
          </w:p>
        </w:tc>
        <w:tc>
          <w:tcPr>
            <w:tcW w:w="2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$1.0 billion</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99"/>
              </w:rPr>
              <w:t>172.7 million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39.4 million</w:t>
            </w:r>
          </w:p>
        </w:tc>
        <w:tc>
          <w:tcPr>
            <w:tcW w:w="0" w:type="dxa"/>
            <w:vAlign w:val="bottom"/>
          </w:tcPr>
          <w:p>
            <w:pPr>
              <w:spacing w:after="0"/>
              <w:rPr>
                <w:sz w:val="1"/>
                <w:szCs w:val="1"/>
                <w:color w:val="auto"/>
              </w:rPr>
            </w:pPr>
          </w:p>
        </w:tc>
      </w:tr>
      <w:tr>
        <w:trPr>
          <w:trHeight w:val="189"/>
        </w:trPr>
        <w:tc>
          <w:tcPr>
            <w:tcW w:w="2740" w:type="dxa"/>
            <w:vAlign w:val="bottom"/>
            <w:tcBorders>
              <w:left w:val="single" w:sz="8" w:color="auto"/>
              <w:right w:val="single" w:sz="8" w:color="auto"/>
            </w:tcBorders>
            <w:vMerge w:val="continue"/>
          </w:tcPr>
          <w:p>
            <w:pPr>
              <w:spacing w:after="0"/>
              <w:rPr>
                <w:sz w:val="16"/>
                <w:szCs w:val="16"/>
                <w:color w:val="auto"/>
              </w:rPr>
            </w:pPr>
          </w:p>
        </w:tc>
        <w:tc>
          <w:tcPr>
            <w:tcW w:w="2960" w:type="dxa"/>
            <w:vAlign w:val="bottom"/>
            <w:tcBorders>
              <w:right w:val="single" w:sz="8" w:color="auto"/>
            </w:tcBorders>
            <w:vMerge w:val="continue"/>
          </w:tcPr>
          <w:p>
            <w:pPr>
              <w:spacing w:after="0"/>
              <w:rPr>
                <w:sz w:val="16"/>
                <w:szCs w:val="16"/>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 and .net Domain Name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New Domain Name Registrations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Operating Income</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Registrations in Domain Name Base at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Processed for .com and .net</w:t>
            </w: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right w:val="single" w:sz="8" w:color="auto"/>
            </w:tcBorders>
            <w:vMerge w:val="restart"/>
          </w:tcPr>
          <w:p>
            <w:pPr>
              <w:ind w:left="660"/>
              <w:spacing w:after="0"/>
              <w:rPr>
                <w:sz w:val="20"/>
                <w:szCs w:val="20"/>
                <w:color w:val="auto"/>
              </w:rPr>
            </w:pPr>
            <w:r>
              <w:rPr>
                <w:rFonts w:ascii="Arial" w:cs="Arial" w:eastAsia="Arial" w:hAnsi="Arial"/>
                <w:sz w:val="14"/>
                <w:szCs w:val="14"/>
                <w:color w:val="auto"/>
              </w:rPr>
              <w:t>4.8% increase compared</w:t>
            </w:r>
          </w:p>
        </w:tc>
        <w:tc>
          <w:tcPr>
            <w:tcW w:w="2960" w:type="dxa"/>
            <w:vAlign w:val="bottom"/>
            <w:tcBorders>
              <w:right w:val="single" w:sz="8" w:color="auto"/>
            </w:tcBorders>
            <w:vMerge w:val="restart"/>
          </w:tcPr>
          <w:p>
            <w:pPr>
              <w:ind w:left="760"/>
              <w:spacing w:after="0"/>
              <w:rPr>
                <w:sz w:val="20"/>
                <w:szCs w:val="20"/>
                <w:color w:val="auto"/>
              </w:rPr>
            </w:pPr>
            <w:r>
              <w:rPr>
                <w:rFonts w:ascii="Arial" w:cs="Arial" w:eastAsia="Arial" w:hAnsi="Arial"/>
                <w:sz w:val="14"/>
                <w:szCs w:val="14"/>
                <w:color w:val="auto"/>
              </w:rPr>
              <w:t>6.1% increase compared</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End of 2023</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2023</w:t>
            </w:r>
          </w:p>
        </w:tc>
        <w:tc>
          <w:tcPr>
            <w:tcW w:w="0" w:type="dxa"/>
            <w:vAlign w:val="bottom"/>
          </w:tcPr>
          <w:p>
            <w:pPr>
              <w:spacing w:after="0"/>
              <w:rPr>
                <w:sz w:val="1"/>
                <w:szCs w:val="1"/>
                <w:color w:val="auto"/>
              </w:rPr>
            </w:pPr>
          </w:p>
        </w:tc>
      </w:tr>
      <w:tr>
        <w:trPr>
          <w:trHeight w:val="47"/>
        </w:trPr>
        <w:tc>
          <w:tcPr>
            <w:tcW w:w="2740" w:type="dxa"/>
            <w:vAlign w:val="bottom"/>
            <w:tcBorders>
              <w:left w:val="single" w:sz="8" w:color="auto"/>
              <w:right w:val="single" w:sz="8" w:color="auto"/>
            </w:tcBorders>
            <w:vMerge w:val="continue"/>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2720" w:type="dxa"/>
            <w:vAlign w:val="bottom"/>
            <w:tcBorders>
              <w:right w:val="single" w:sz="8" w:color="auto"/>
            </w:tcBorders>
            <w:vMerge w:val="continue"/>
          </w:tcPr>
          <w:p>
            <w:pPr>
              <w:spacing w:after="0"/>
              <w:rPr>
                <w:sz w:val="4"/>
                <w:szCs w:val="4"/>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compared to</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to 2022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to 2022</w:t>
            </w:r>
          </w:p>
        </w:tc>
        <w:tc>
          <w:tcPr>
            <w:tcW w:w="2720" w:type="dxa"/>
            <w:vAlign w:val="bottom"/>
            <w:tcBorders>
              <w:right w:val="single" w:sz="8" w:color="auto"/>
            </w:tcBorders>
          </w:tcPr>
          <w:p>
            <w:pPr>
              <w:ind w:left="780"/>
              <w:spacing w:after="0"/>
              <w:rPr>
                <w:sz w:val="20"/>
                <w:szCs w:val="20"/>
                <w:color w:val="auto"/>
              </w:rPr>
            </w:pPr>
            <w:r>
              <w:rPr>
                <w:rFonts w:ascii="Arial" w:cs="Arial" w:eastAsia="Arial" w:hAnsi="Arial"/>
                <w:sz w:val="14"/>
                <w:szCs w:val="14"/>
                <w:color w:val="auto"/>
              </w:rPr>
              <w:t>0.6% decrease from</w:t>
            </w:r>
          </w:p>
        </w:tc>
        <w:tc>
          <w:tcPr>
            <w:tcW w:w="2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December 31, 2022</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39.9 million in 2022</w:t>
            </w:r>
          </w:p>
        </w:tc>
        <w:tc>
          <w:tcPr>
            <w:tcW w:w="0" w:type="dxa"/>
            <w:vAlign w:val="bottom"/>
          </w:tcPr>
          <w:p>
            <w:pPr>
              <w:spacing w:after="0"/>
              <w:rPr>
                <w:sz w:val="1"/>
                <w:szCs w:val="1"/>
                <w:color w:val="auto"/>
              </w:rPr>
            </w:pPr>
          </w:p>
        </w:tc>
      </w:tr>
      <w:tr>
        <w:trPr>
          <w:trHeight w:val="130"/>
        </w:trPr>
        <w:tc>
          <w:tcPr>
            <w:tcW w:w="2740" w:type="dxa"/>
            <w:vAlign w:val="bottom"/>
            <w:tcBorders>
              <w:left w:val="single" w:sz="8" w:color="auto"/>
              <w:bottom w:val="single" w:sz="8" w:color="auto"/>
              <w:right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27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-471170</wp:posOffset>
            </wp:positionV>
            <wp:extent cx="8572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-471170</wp:posOffset>
            </wp:positionV>
            <wp:extent cx="85725" cy="77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-334010</wp:posOffset>
            </wp:positionV>
            <wp:extent cx="7747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127" w:lineRule="exact"/>
        <w:rPr>
          <w:sz w:val="20"/>
          <w:szCs w:val="20"/>
          <w:color w:val="auto"/>
        </w:rPr>
      </w:pPr>
    </w:p>
    <w:p>
      <w:pPr>
        <w:ind w:right="620"/>
        <w:spacing w:after="0" w:line="291" w:lineRule="auto"/>
        <w:rPr>
          <w:sz w:val="20"/>
          <w:szCs w:val="20"/>
          <w:color w:val="auto"/>
        </w:rPr>
      </w:pPr>
      <w:r>
        <w:rPr>
          <w:rFonts w:ascii="Arial" w:cs="Arial" w:eastAsia="Arial" w:hAnsi="Arial"/>
          <w:sz w:val="59"/>
          <w:szCs w:val="59"/>
          <w:color w:val="004A98"/>
        </w:rPr>
        <w:t>Verisign’s Mission, Values, and Strategic Framework</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mission and values are at the center of everything we do. They are the principles under which we perform our primary responsibility: helping to enable the security, stability, and resiliency of key internet infrastructure and services. Every year, we develop our corporate goals to support this strategy, which are organized around three strategic framework principles: Protect Unconditionally, Grow Responsibly, and Manage Continuously.</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Mission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Verisign enables the world to connect online with reliability and confidence, anytime, anywhere.</w:t>
      </w:r>
    </w:p>
    <w:p>
      <w:pPr>
        <w:sectPr>
          <w:pgSz w:w="11900" w:h="16838" w:orient="portrait"/>
          <w:cols w:equalWidth="0" w:num="1">
            <w:col w:w="11260"/>
          </w:cols>
          <w:pgMar w:left="320" w:top="121" w:right="31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Values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We are stewards of the internet and our Company</w:t>
      </w:r>
    </w:p>
    <w:p>
      <w:pPr>
        <w:spacing w:after="0" w:line="113"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Billions of people and a significant portion of the world’s economy rely on the internet infrastructure we help to manage and operate. As stewards of the internet and our Company, we work to ensure every decision and action preserves the trust people place in us and creates value for our stockholders.</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We are passionate about technology and continuous improvement</w:t>
      </w:r>
    </w:p>
    <w:p>
      <w:pPr>
        <w:spacing w:after="0" w:line="100" w:lineRule="exact"/>
        <w:rPr>
          <w:sz w:val="20"/>
          <w:szCs w:val="20"/>
          <w:color w:val="auto"/>
        </w:rPr>
      </w:pPr>
    </w:p>
    <w:p>
      <w:pPr>
        <w:ind w:left="20" w:right="180"/>
        <w:spacing w:after="0" w:line="253" w:lineRule="auto"/>
        <w:rPr>
          <w:sz w:val="20"/>
          <w:szCs w:val="20"/>
          <w:color w:val="auto"/>
        </w:rPr>
      </w:pPr>
      <w:r>
        <w:rPr>
          <w:rFonts w:ascii="Arial" w:cs="Arial" w:eastAsia="Arial" w:hAnsi="Arial"/>
          <w:sz w:val="16"/>
          <w:szCs w:val="16"/>
          <w:color w:val="auto"/>
        </w:rPr>
        <w:t>We embrace new technologies, ideas, and the potential they promise. We also challenge past assumptions and do not accept that what works today will work tomorrow. This enables us to continue building, sustaining, and improving on the internet’s infrastructure.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We respect others and exhibit integrity in our actions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internet has made the world a smaller place, so the way we do business is more important now than ever. That’s why we demonstrate respect and integrity in all of our interactions with our stakeholders — customers, stockholders, business partners, internet users, and each other.</w:t>
      </w:r>
    </w:p>
    <w:p>
      <w:pPr>
        <w:spacing w:after="0" w:line="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004A98"/>
        </w:rPr>
        <w:t>We take responsibility for our actions and hold ourselves to a higher standard</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understand that the role we play in supporting the global internet is a privilege and with that privilege comes great responsibility. We appreciate that our decisions and actions have consequences far beyond our own Company. Therefore, we hold ourselves to a higher standard in all we do.</w:t>
      </w:r>
    </w:p>
    <w:p>
      <w:pPr>
        <w:spacing w:after="0" w:line="200" w:lineRule="exact"/>
        <w:rPr>
          <w:sz w:val="20"/>
          <w:szCs w:val="20"/>
          <w:color w:val="auto"/>
        </w:rPr>
      </w:pPr>
    </w:p>
    <w:p>
      <w:pPr>
        <w:sectPr>
          <w:pgSz w:w="11900" w:h="16838" w:orient="portrait"/>
          <w:cols w:equalWidth="0" w:num="2">
            <w:col w:w="5500" w:space="300"/>
            <w:col w:w="5460"/>
          </w:cols>
          <w:pgMar w:left="320" w:top="121" w:right="31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Strategic Framework</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362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protect unconditionally</w:t>
            </w:r>
            <w:r>
              <w:rPr>
                <w:rFonts w:ascii="Arial" w:cs="Arial" w:eastAsia="Arial" w:hAnsi="Arial"/>
                <w:sz w:val="18"/>
                <w:szCs w:val="18"/>
                <w:color w:val="auto"/>
              </w:rPr>
              <w:t>.</w:t>
            </w:r>
          </w:p>
        </w:tc>
        <w:tc>
          <w:tcPr>
            <w:tcW w:w="354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grow responsibly</w:t>
            </w:r>
            <w:r>
              <w:rPr>
                <w:rFonts w:ascii="Arial" w:cs="Arial" w:eastAsia="Arial" w:hAnsi="Arial"/>
                <w:sz w:val="18"/>
                <w:szCs w:val="18"/>
                <w:color w:val="auto"/>
              </w:rPr>
              <w:t>.</w:t>
            </w:r>
          </w:p>
        </w:tc>
        <w:tc>
          <w:tcPr>
            <w:tcW w:w="41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manage continuously</w:t>
            </w:r>
            <w:r>
              <w:rPr>
                <w:rFonts w:ascii="Arial" w:cs="Arial" w:eastAsia="Arial" w:hAnsi="Arial"/>
                <w:sz w:val="18"/>
                <w:szCs w:val="18"/>
                <w:color w:val="auto"/>
              </w:rPr>
              <w:t>.</w:t>
            </w:r>
          </w:p>
        </w:tc>
      </w:tr>
      <w:tr>
        <w:trPr>
          <w:trHeight w:val="123"/>
        </w:trPr>
        <w:tc>
          <w:tcPr>
            <w:tcW w:w="3620" w:type="dxa"/>
            <w:vAlign w:val="bottom"/>
            <w:tcBorders>
              <w:left w:val="single" w:sz="8" w:color="auto"/>
              <w:bottom w:val="single" w:sz="8" w:color="auto"/>
              <w:right w:val="single" w:sz="8" w:color="auto"/>
            </w:tcBorders>
          </w:tcPr>
          <w:p>
            <w:pPr>
              <w:spacing w:after="0"/>
              <w:rPr>
                <w:sz w:val="10"/>
                <w:szCs w:val="10"/>
                <w:color w:val="auto"/>
              </w:rPr>
            </w:pPr>
          </w:p>
        </w:tc>
        <w:tc>
          <w:tcPr>
            <w:tcW w:w="35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this Proxy Statement, the terms “we,” “our,” “us,” “Verisign” or the “Company” refer to VeriSign, Inc.</w:t>
      </w:r>
    </w:p>
    <w:p>
      <w:pPr>
        <w:spacing w:after="0" w:line="386" w:lineRule="exact"/>
        <w:rPr>
          <w:sz w:val="20"/>
          <w:szCs w:val="20"/>
          <w:color w:val="auto"/>
        </w:rPr>
      </w:pPr>
    </w:p>
    <w:p>
      <w:pPr>
        <w:ind w:left="460" w:hanging="434"/>
        <w:spacing w:after="0"/>
        <w:tabs>
          <w:tab w:leader="none" w:pos="460" w:val="left"/>
        </w:tabs>
        <w:numPr>
          <w:ilvl w:val="0"/>
          <w:numId w:val="7"/>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Voting Roadmap</w:t>
      </w:r>
    </w:p>
    <w:p>
      <w:pPr>
        <w:spacing w:after="0" w:line="335"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accompanying proxy is solicited on behalf of our Board of Directors (the “Board”) for use at the 2024 Annual Meeting of Stockholders (the “Annual Meeting”) to be held at our corporate offices located at 12061 Bluemont Way, Reston, Virginia 20190 on Thursday, May 23, 2024 at 10:00 a.m., Eastern Time.</w:t>
      </w:r>
    </w:p>
    <w:p>
      <w:pPr>
        <w:spacing w:after="0" w:line="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summary highlights certain information contained elsewhere in this Proxy Statement. This summary does not contain all of the information that you should consider, and we encourage you to read the entire Proxy Statement before voting.</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4836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14605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A9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49465" cy="351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351790"/>
                    </a:xfrm>
                    <a:prstGeom prst="rect">
                      <a:avLst/>
                    </a:prstGeom>
                    <a:noFill/>
                  </pic:spPr>
                </pic:pic>
              </a:graphicData>
            </a:graphic>
          </wp:anchor>
        </w:drawing>
      </w:r>
    </w:p>
    <w:p>
      <w:pPr>
        <w:spacing w:after="0" w:line="119" w:lineRule="exact"/>
        <w:rPr>
          <w:sz w:val="20"/>
          <w:szCs w:val="20"/>
          <w:color w:val="auto"/>
        </w:rPr>
      </w:pPr>
    </w:p>
    <w:tbl>
      <w:tblPr>
        <w:tblLayout w:type="fixed"/>
        <w:tblInd w:w="720" w:type="dxa"/>
        <w:tblCellMar>
          <w:top w:w="0" w:type="dxa"/>
          <w:left w:w="0" w:type="dxa"/>
          <w:bottom w:w="0" w:type="dxa"/>
          <w:right w:w="0" w:type="dxa"/>
        </w:tblCellMar>
      </w:tblPr>
      <w:tr>
        <w:trPr>
          <w:trHeight w:val="368"/>
        </w:trPr>
        <w:tc>
          <w:tcPr>
            <w:tcW w:w="940" w:type="dxa"/>
            <w:vAlign w:val="bottom"/>
          </w:tcPr>
          <w:p>
            <w:pPr>
              <w:spacing w:after="0"/>
              <w:rPr>
                <w:sz w:val="20"/>
                <w:szCs w:val="20"/>
                <w:color w:val="auto"/>
              </w:rPr>
            </w:pPr>
            <w:r>
              <w:rPr>
                <w:rFonts w:ascii="Arial" w:cs="Arial" w:eastAsia="Arial" w:hAnsi="Arial"/>
                <w:sz w:val="32"/>
                <w:szCs w:val="32"/>
                <w:b w:val="1"/>
                <w:bCs w:val="1"/>
                <w:color w:val="004A98"/>
              </w:rPr>
              <w:t>FOR</w:t>
            </w:r>
          </w:p>
        </w:tc>
        <w:tc>
          <w:tcPr>
            <w:tcW w:w="6460" w:type="dxa"/>
            <w:vAlign w:val="bottom"/>
            <w:vMerge w:val="restart"/>
          </w:tcPr>
          <w:p>
            <w:pPr>
              <w:ind w:left="260"/>
              <w:spacing w:after="0"/>
              <w:rPr>
                <w:sz w:val="20"/>
                <w:szCs w:val="20"/>
                <w:color w:val="auto"/>
              </w:rPr>
            </w:pPr>
            <w:r>
              <w:rPr>
                <w:rFonts w:ascii="Arial" w:cs="Arial" w:eastAsia="Arial" w:hAnsi="Arial"/>
                <w:sz w:val="16"/>
                <w:szCs w:val="16"/>
                <w:b w:val="1"/>
                <w:bCs w:val="1"/>
                <w:color w:val="004A98"/>
              </w:rPr>
              <w:t>The Board recommends a vote FOR each director nominee.</w:t>
            </w:r>
          </w:p>
        </w:tc>
        <w:tc>
          <w:tcPr>
            <w:tcW w:w="2480" w:type="dxa"/>
            <w:vAlign w:val="bottom"/>
            <w:vMerge w:val="restart"/>
          </w:tcPr>
          <w:p>
            <w:pPr>
              <w:ind w:left="1640"/>
              <w:spacing w:after="0"/>
              <w:rPr>
                <w:sz w:val="20"/>
                <w:szCs w:val="20"/>
                <w:color w:val="auto"/>
              </w:rPr>
            </w:pPr>
            <w:r>
              <w:rPr>
                <w:rFonts w:ascii="Arial" w:cs="Arial" w:eastAsia="Arial" w:hAnsi="Arial"/>
                <w:sz w:val="16"/>
                <w:szCs w:val="16"/>
                <w:b w:val="1"/>
                <w:bCs w:val="1"/>
                <w:color w:val="004A98"/>
                <w:w w:val="98"/>
              </w:rPr>
              <w:t>See page 9</w:t>
            </w: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6460" w:type="dxa"/>
            <w:vAlign w:val="bottom"/>
            <w:vMerge w:val="continue"/>
          </w:tcPr>
          <w:p>
            <w:pPr>
              <w:spacing w:after="0"/>
              <w:rPr>
                <w:sz w:val="5"/>
                <w:szCs w:val="5"/>
                <w:color w:val="auto"/>
              </w:rPr>
            </w:pP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Director Nominees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each director nominee.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COMMITTEE MEMBERSHIP</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6"/>
              </w:rPr>
              <w:t>CORPORATE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DIRECTOR</w:t>
            </w:r>
          </w:p>
        </w:tc>
        <w:tc>
          <w:tcPr>
            <w:tcW w:w="5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8"/>
              </w:rPr>
              <w:t>GOVERNANCE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right w:val="single" w:sz="8" w:color="auto"/>
            </w:tcBorders>
            <w:vMerge w:val="restart"/>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AGE</w:t>
            </w:r>
          </w:p>
        </w:tc>
        <w:tc>
          <w:tcPr>
            <w:tcW w:w="120" w:type="dxa"/>
            <w:vAlign w:val="bottom"/>
            <w:tcBorders>
              <w:right w:val="single" w:sz="8" w:color="auto"/>
            </w:tcBorders>
            <w:vMerge w:val="restart"/>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AUDIT</w:t>
            </w:r>
          </w:p>
        </w:tc>
        <w:tc>
          <w:tcPr>
            <w:tcW w:w="120" w:type="dxa"/>
            <w:vAlign w:val="bottom"/>
            <w:tcBorders>
              <w:right w:val="single" w:sz="8" w:color="auto"/>
            </w:tcBorders>
            <w:vMerge w:val="restart"/>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COMPENSATION</w:t>
            </w:r>
          </w:p>
        </w:tc>
        <w:tc>
          <w:tcPr>
            <w:tcW w:w="120" w:type="dxa"/>
            <w:vAlign w:val="bottom"/>
            <w:tcBorders>
              <w:right w:val="single" w:sz="8" w:color="auto"/>
            </w:tcBorders>
            <w:vMerge w:val="restart"/>
          </w:tcPr>
          <w:p>
            <w:pPr>
              <w:spacing w:after="0"/>
              <w:rPr>
                <w:sz w:val="10"/>
                <w:szCs w:val="10"/>
                <w:color w:val="auto"/>
              </w:rPr>
            </w:pPr>
          </w:p>
        </w:tc>
        <w:tc>
          <w:tcPr>
            <w:tcW w:w="1280" w:type="dxa"/>
            <w:vAlign w:val="bottom"/>
            <w:tcBorders>
              <w:right w:val="single" w:sz="8" w:color="auto"/>
            </w:tcBorders>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9"/>
              </w:rPr>
              <w:t>AND</w:t>
            </w: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CYBERSECURITY</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SINCE</w:t>
            </w:r>
          </w:p>
        </w:tc>
        <w:tc>
          <w:tcPr>
            <w:tcW w:w="120" w:type="dxa"/>
            <w:vAlign w:val="bottom"/>
            <w:tcBorders>
              <w:right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NOMINATING</w:t>
            </w:r>
          </w:p>
        </w:tc>
        <w:tc>
          <w:tcPr>
            <w:tcW w:w="100" w:type="dxa"/>
            <w:vAlign w:val="bottom"/>
            <w:tcBorders>
              <w:right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D. James Bidzos</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Courtney D. Armstrong </w:t>
            </w:r>
            <w:r>
              <w:rPr>
                <w:rFonts w:ascii="Arial" w:cs="Arial" w:eastAsia="Arial" w:hAnsi="Arial"/>
                <w:sz w:val="14"/>
                <w:szCs w:val="14"/>
                <w:b w:val="1"/>
                <w:bCs w:val="1"/>
                <w:color w:val="000000"/>
              </w:rPr>
              <w:t>IND</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Yehuda Ari Buchalter </w:t>
            </w:r>
            <w:r>
              <w:rPr>
                <w:rFonts w:ascii="Arial" w:cs="Arial" w:eastAsia="Arial" w:hAnsi="Arial"/>
                <w:sz w:val="14"/>
                <w:szCs w:val="14"/>
                <w:b w:val="1"/>
                <w:bCs w:val="1"/>
                <w:color w:val="000000"/>
              </w:rPr>
              <w:t>IND</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4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Kathleen A. Cote </w:t>
            </w:r>
            <w:r>
              <w:rPr>
                <w:rFonts w:ascii="Arial" w:cs="Arial" w:eastAsia="Arial" w:hAnsi="Arial"/>
                <w:sz w:val="14"/>
                <w:szCs w:val="14"/>
                <w:b w:val="1"/>
                <w:bCs w:val="1"/>
                <w:color w:val="000000"/>
              </w:rPr>
              <w:t>IND</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00" w:type="dxa"/>
            <w:vAlign w:val="bottom"/>
          </w:tcPr>
          <w:p>
            <w:pPr>
              <w:spacing w:after="0"/>
              <w:rPr>
                <w:sz w:val="19"/>
                <w:szCs w:val="19"/>
                <w:color w:val="auto"/>
              </w:rPr>
            </w:pPr>
          </w:p>
        </w:tc>
        <w:tc>
          <w:tcPr>
            <w:tcW w:w="15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Thomas F. Frist III </w:t>
            </w:r>
            <w:r>
              <w:rPr>
                <w:rFonts w:ascii="Arial" w:cs="Arial" w:eastAsia="Arial" w:hAnsi="Arial"/>
                <w:sz w:val="14"/>
                <w:szCs w:val="14"/>
                <w:b w:val="1"/>
                <w:bCs w:val="1"/>
                <w:color w:val="000000"/>
              </w:rPr>
              <w:t>IND</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Jamie S. Gorelick </w:t>
            </w:r>
            <w:r>
              <w:rPr>
                <w:rFonts w:ascii="Arial" w:cs="Arial" w:eastAsia="Arial" w:hAnsi="Arial"/>
                <w:sz w:val="14"/>
                <w:szCs w:val="14"/>
                <w:b w:val="1"/>
                <w:bCs w:val="1"/>
                <w:color w:val="000000"/>
              </w:rPr>
              <w:t>IND</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4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ind w:left="20"/>
              <w:spacing w:after="0"/>
              <w:rPr>
                <w:sz w:val="20"/>
                <w:szCs w:val="20"/>
                <w:color w:val="auto"/>
              </w:rPr>
            </w:pPr>
            <w:r>
              <w:rPr>
                <w:rFonts w:ascii="Arial" w:cs="Arial" w:eastAsia="Arial" w:hAnsi="Arial"/>
                <w:sz w:val="14"/>
                <w:szCs w:val="14"/>
                <w:b w:val="1"/>
                <w:bCs w:val="1"/>
                <w:color w:val="004A98"/>
              </w:rPr>
              <w:t xml:space="preserve">Roger H. Moore </w:t>
            </w:r>
            <w:r>
              <w:rPr>
                <w:rFonts w:ascii="Arial" w:cs="Arial" w:eastAsia="Arial" w:hAnsi="Arial"/>
                <w:sz w:val="14"/>
                <w:szCs w:val="14"/>
                <w:b w:val="1"/>
                <w:bCs w:val="1"/>
                <w:color w:val="000000"/>
              </w:rPr>
              <w:t>Lead Independent Director</w:t>
            </w:r>
          </w:p>
        </w:tc>
        <w:tc>
          <w:tcPr>
            <w:tcW w:w="460" w:type="dxa"/>
            <w:vAlign w:val="bottom"/>
          </w:tcPr>
          <w:p>
            <w:pPr>
              <w:jc w:val="center"/>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M</w:t>
            </w:r>
          </w:p>
        </w:tc>
        <w:tc>
          <w:tcPr>
            <w:tcW w:w="1540" w:type="dxa"/>
            <w:vAlign w:val="bottom"/>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9"/>
        </w:trPr>
        <w:tc>
          <w:tcPr>
            <w:tcW w:w="4480" w:type="dxa"/>
            <w:vAlign w:val="bottom"/>
            <w:tcBorders>
              <w:bottom w:val="single" w:sz="8" w:color="939598"/>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939598"/>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 xml:space="preserve">Timothy Tomlinson </w:t>
            </w:r>
            <w:r>
              <w:rPr>
                <w:rFonts w:ascii="Arial" w:cs="Arial" w:eastAsia="Arial" w:hAnsi="Arial"/>
                <w:sz w:val="14"/>
                <w:szCs w:val="14"/>
                <w:b w:val="1"/>
                <w:bCs w:val="1"/>
                <w:color w:val="000000"/>
              </w:rPr>
              <w:t>IND</w:t>
            </w:r>
          </w:p>
        </w:tc>
        <w:tc>
          <w:tcPr>
            <w:tcW w:w="120" w:type="dxa"/>
            <w:vAlign w:val="bottom"/>
          </w:tcPr>
          <w:p>
            <w:pPr>
              <w:spacing w:after="0"/>
              <w:rPr>
                <w:sz w:val="18"/>
                <w:szCs w:val="18"/>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8"/>
                <w:szCs w:val="18"/>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8"/>
                <w:szCs w:val="18"/>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8"/>
                <w:szCs w:val="18"/>
                <w:color w:val="auto"/>
              </w:rPr>
            </w:pPr>
          </w:p>
        </w:tc>
        <w:tc>
          <w:tcPr>
            <w:tcW w:w="154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tabs>
          <w:tab w:leader="none" w:pos="1400" w:val="left"/>
          <w:tab w:leader="none" w:pos="2520" w:val="left"/>
        </w:tabs>
        <w:rPr>
          <w:sz w:val="20"/>
          <w:szCs w:val="20"/>
          <w:color w:val="auto"/>
        </w:rPr>
      </w:pPr>
      <w:r>
        <w:rPr>
          <w:rFonts w:ascii="Arial" w:cs="Arial" w:eastAsia="Arial" w:hAnsi="Arial"/>
          <w:sz w:val="16"/>
          <w:szCs w:val="16"/>
          <w:color w:val="auto"/>
        </w:rPr>
        <w:t>C – Chairperson</w:t>
        <w:tab/>
        <w:t>M – Member</w:t>
        <w:tab/>
        <w:t>IND – Independent</w:t>
      </w:r>
    </w:p>
    <w:p>
      <w:pPr>
        <w:spacing w:after="0" w:line="347"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966460" cy="2314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5203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25203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right="1169"/>
        <w:spacing w:after="0" w:line="384" w:lineRule="auto"/>
        <w:rPr>
          <w:sz w:val="20"/>
          <w:szCs w:val="20"/>
          <w:color w:val="auto"/>
        </w:rPr>
      </w:pPr>
      <w:r>
        <w:rPr>
          <w:rFonts w:ascii="Arial" w:cs="Arial" w:eastAsia="Arial" w:hAnsi="Arial"/>
          <w:sz w:val="16"/>
          <w:szCs w:val="16"/>
          <w:b w:val="1"/>
          <w:bCs w:val="1"/>
          <w:color w:val="004A98"/>
        </w:rPr>
        <w:t>Annual Election of Directors Majority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5203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0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2520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0"/>
          <w:szCs w:val="20"/>
          <w:color w:val="auto"/>
        </w:rPr>
      </w:pPr>
    </w:p>
    <w:p>
      <w:pPr>
        <w:ind w:left="20" w:right="1289"/>
        <w:spacing w:after="0" w:line="384" w:lineRule="auto"/>
        <w:rPr>
          <w:sz w:val="20"/>
          <w:szCs w:val="20"/>
          <w:color w:val="auto"/>
        </w:rPr>
      </w:pPr>
      <w:r>
        <w:rPr>
          <w:rFonts w:ascii="Arial" w:cs="Arial" w:eastAsia="Arial" w:hAnsi="Arial"/>
          <w:sz w:val="16"/>
          <w:szCs w:val="16"/>
          <w:b w:val="1"/>
          <w:bCs w:val="1"/>
          <w:color w:val="004A98"/>
        </w:rPr>
        <w:t>Lead Independent Director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25203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0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25203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25203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Single Voting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5203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One Share,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5203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34" w:lineRule="exact"/>
        <w:rPr>
          <w:sz w:val="20"/>
          <w:szCs w:val="20"/>
          <w:color w:val="auto"/>
        </w:rPr>
      </w:pPr>
    </w:p>
    <w:p>
      <w:pPr>
        <w:ind w:left="20" w:right="509"/>
        <w:spacing w:after="0" w:line="455" w:lineRule="auto"/>
        <w:rPr>
          <w:sz w:val="20"/>
          <w:szCs w:val="20"/>
          <w:color w:val="auto"/>
        </w:rPr>
      </w:pPr>
      <w:r>
        <w:rPr>
          <w:rFonts w:ascii="Arial" w:cs="Arial" w:eastAsia="Arial" w:hAnsi="Arial"/>
          <w:sz w:val="16"/>
          <w:szCs w:val="16"/>
          <w:b w:val="1"/>
          <w:bCs w:val="1"/>
          <w:color w:val="004A98"/>
        </w:rPr>
        <w:t>Annual Board Leadership Evaluation Annual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5203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25203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4A98"/>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5203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Annual Auditor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Stock Retention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520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Political Contributions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7 out of 8 directors are independent.</w:t>
      </w:r>
    </w:p>
    <w:p>
      <w:pPr>
        <w:spacing w:after="0" w:line="72"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2 out of 8 directors are women.</w:t>
      </w:r>
    </w:p>
    <w:p>
      <w:pPr>
        <w:spacing w:after="0" w:line="234" w:lineRule="exact"/>
        <w:rPr>
          <w:rFonts w:ascii="Arial" w:cs="Arial" w:eastAsia="Arial" w:hAnsi="Arial"/>
          <w:sz w:val="16"/>
          <w:szCs w:val="16"/>
          <w:color w:val="004A98"/>
        </w:rPr>
      </w:pPr>
    </w:p>
    <w:p>
      <w:pPr>
        <w:ind w:left="191" w:right="20" w:hanging="191"/>
        <w:spacing w:after="0" w:line="265"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2 directors self-identify as being from underrepresented communities (meaning, an individual who self-identifies as Black, African American, Hispanic, Latinx, Asian, Native American, Alaska Native, Native Hawaiian, or Pacific Islander, or who self-identifies as gay, lesbian, bisexual, or transgender).</w:t>
      </w:r>
    </w:p>
    <w:p>
      <w:pPr>
        <w:spacing w:after="0" w:line="91"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All directors are elected annually.</w:t>
      </w:r>
    </w:p>
    <w:p>
      <w:pPr>
        <w:spacing w:after="0" w:line="72" w:lineRule="exact"/>
        <w:rPr>
          <w:rFonts w:ascii="Arial" w:cs="Arial" w:eastAsia="Arial" w:hAnsi="Arial"/>
          <w:sz w:val="16"/>
          <w:szCs w:val="16"/>
          <w:color w:val="004A98"/>
        </w:rPr>
      </w:pPr>
    </w:p>
    <w:p>
      <w:pPr>
        <w:ind w:left="191" w:right="80" w:hanging="191"/>
        <w:spacing w:after="0" w:line="299"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To be elected in uncontested elections, each nominee for director must receive a majority of the votes cast.</w:t>
      </w: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We have a lead independent director with robust responsibilities.</w:t>
      </w:r>
    </w:p>
    <w:p>
      <w:pPr>
        <w:spacing w:after="0" w:line="153" w:lineRule="exact"/>
        <w:rPr>
          <w:rFonts w:ascii="Arial" w:cs="Arial" w:eastAsia="Arial" w:hAnsi="Arial"/>
          <w:sz w:val="16"/>
          <w:szCs w:val="16"/>
          <w:color w:val="004A98"/>
        </w:rPr>
      </w:pPr>
    </w:p>
    <w:p>
      <w:pPr>
        <w:ind w:left="191" w:right="580" w:hanging="191"/>
        <w:spacing w:after="0" w:line="286"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We have an Audit Committee, Corporate Governance and Nominating Committee and Compensation Committee, each of which is composed entirely of independent directors.</w:t>
      </w:r>
    </w:p>
    <w:p>
      <w:pPr>
        <w:spacing w:after="0" w:line="20" w:lineRule="exact"/>
        <w:rPr>
          <w:rFonts w:ascii="Arial" w:cs="Arial" w:eastAsia="Arial" w:hAnsi="Arial"/>
          <w:sz w:val="16"/>
          <w:szCs w:val="16"/>
          <w:color w:val="004A98"/>
        </w:rPr>
      </w:pPr>
    </w:p>
    <w:p>
      <w:pPr>
        <w:ind w:left="191" w:right="340" w:hanging="191"/>
        <w:spacing w:after="0" w:line="286"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We have a Cybersecurity Committee to assist the Board with its oversight of the Company’s cybersecurity program and risks.</w:t>
      </w:r>
    </w:p>
    <w:p>
      <w:pPr>
        <w:spacing w:after="0" w:line="169"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Stockholders have proxy access rights.</w:t>
      </w:r>
    </w:p>
    <w:p>
      <w:pPr>
        <w:spacing w:after="0" w:line="72" w:lineRule="exact"/>
        <w:rPr>
          <w:rFonts w:ascii="Arial" w:cs="Arial" w:eastAsia="Arial" w:hAnsi="Arial"/>
          <w:sz w:val="16"/>
          <w:szCs w:val="16"/>
          <w:color w:val="004A98"/>
        </w:rPr>
      </w:pPr>
    </w:p>
    <w:p>
      <w:pPr>
        <w:ind w:left="191" w:right="200" w:hanging="191"/>
        <w:spacing w:after="0" w:line="304"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Stockholders owning together as few as 10% of outstanding common stock may call a special meeting of stockholders.</w:t>
      </w:r>
    </w:p>
    <w:p>
      <w:pPr>
        <w:spacing w:after="0" w:line="60"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Our common stock is the only class of voting shares outstanding.</w:t>
      </w:r>
    </w:p>
    <w:p>
      <w:pPr>
        <w:spacing w:after="0" w:line="113"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Each share of our common stock is entitled to one vote.</w:t>
      </w:r>
    </w:p>
    <w:p>
      <w:pPr>
        <w:spacing w:after="0" w:line="113"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The Board evaluates the Board leadership structure annually.</w:t>
      </w:r>
    </w:p>
    <w:p>
      <w:pPr>
        <w:spacing w:after="0" w:line="72" w:lineRule="exact"/>
        <w:rPr>
          <w:rFonts w:ascii="Arial" w:cs="Arial" w:eastAsia="Arial" w:hAnsi="Arial"/>
          <w:sz w:val="16"/>
          <w:szCs w:val="16"/>
          <w:color w:val="004A98"/>
        </w:rPr>
      </w:pPr>
    </w:p>
    <w:p>
      <w:pPr>
        <w:ind w:left="191" w:right="240" w:hanging="191"/>
        <w:spacing w:after="0" w:line="299"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The Board conducts an annual self-evaluation to determine whether it and its committees are functioning effectively.</w:t>
      </w: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We do not have a stockholder rights plan, or “poison pill,” in place.</w:t>
      </w:r>
    </w:p>
    <w:p>
      <w:pPr>
        <w:spacing w:after="0" w:line="72" w:lineRule="exact"/>
        <w:rPr>
          <w:rFonts w:ascii="Arial" w:cs="Arial" w:eastAsia="Arial" w:hAnsi="Arial"/>
          <w:sz w:val="16"/>
          <w:szCs w:val="16"/>
          <w:color w:val="004A98"/>
        </w:rPr>
      </w:pPr>
    </w:p>
    <w:p>
      <w:pPr>
        <w:ind w:left="191" w:right="180" w:hanging="191"/>
        <w:spacing w:after="0" w:line="299" w:lineRule="auto"/>
        <w:tabs>
          <w:tab w:leader="none" w:pos="16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Stockholders have the opportunity to ratify the Audit Committee’s selection of our independent registered public accounting firm annually.</w:t>
      </w: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Directors and executives are subject to a stock retention policy.</w:t>
      </w:r>
    </w:p>
    <w:p>
      <w:pPr>
        <w:spacing w:after="0" w:line="153" w:lineRule="exact"/>
        <w:rPr>
          <w:rFonts w:ascii="Arial" w:cs="Arial" w:eastAsia="Arial" w:hAnsi="Arial"/>
          <w:sz w:val="16"/>
          <w:szCs w:val="16"/>
          <w:color w:val="004A98"/>
        </w:rPr>
      </w:pPr>
    </w:p>
    <w:p>
      <w:pPr>
        <w:ind w:left="171" w:hanging="171"/>
        <w:spacing w:after="0"/>
        <w:tabs>
          <w:tab w:leader="none" w:pos="171" w:val="left"/>
        </w:tabs>
        <w:numPr>
          <w:ilvl w:val="0"/>
          <w:numId w:val="8"/>
        </w:numPr>
        <w:rPr>
          <w:rFonts w:ascii="Arial" w:cs="Arial" w:eastAsia="Arial" w:hAnsi="Arial"/>
          <w:sz w:val="16"/>
          <w:szCs w:val="16"/>
          <w:color w:val="004A98"/>
        </w:rPr>
      </w:pPr>
      <w:r>
        <w:rPr>
          <w:rFonts w:ascii="Arial" w:cs="Arial" w:eastAsia="Arial" w:hAnsi="Arial"/>
          <w:sz w:val="16"/>
          <w:szCs w:val="16"/>
          <w:color w:val="auto"/>
        </w:rPr>
        <w:t>In response to stockholder feedback, we adopted our Political Contributions Policy,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-132715</wp:posOffset>
            </wp:positionV>
            <wp:extent cx="4551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-347345</wp:posOffset>
            </wp:positionV>
            <wp:extent cx="45516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-638810</wp:posOffset>
            </wp:positionV>
            <wp:extent cx="4551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-801370</wp:posOffset>
            </wp:positionV>
            <wp:extent cx="45516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-1092835</wp:posOffset>
            </wp:positionV>
            <wp:extent cx="45516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-1256030</wp:posOffset>
            </wp:positionV>
            <wp:extent cx="45516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-1470025</wp:posOffset>
            </wp:positionV>
            <wp:extent cx="45516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-1633220</wp:posOffset>
            </wp:positionV>
            <wp:extent cx="45516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-2181860</wp:posOffset>
            </wp:positionV>
            <wp:extent cx="45516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-2858770</wp:posOffset>
            </wp:positionV>
            <wp:extent cx="45516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-3021965</wp:posOffset>
            </wp:positionV>
            <wp:extent cx="45516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-3313430</wp:posOffset>
            </wp:positionV>
            <wp:extent cx="4551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-3475990</wp:posOffset>
            </wp:positionV>
            <wp:extent cx="45516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-4102100</wp:posOffset>
            </wp:positionV>
            <wp:extent cx="45516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3369" w:space="720"/>
            <w:col w:w="7071"/>
          </w:cols>
          <w:pgMar w:left="320" w:top="121" w:right="419" w:bottom="1440" w:gutter="0" w:footer="0" w:header="0"/>
          <w:type w:val="continuous"/>
        </w:sectPr>
      </w:pPr>
    </w:p>
    <w:p>
      <w:pPr>
        <w:ind w:left="4280"/>
        <w:spacing w:after="0" w:line="265" w:lineRule="auto"/>
        <w:rPr>
          <w:sz w:val="20"/>
          <w:szCs w:val="20"/>
          <w:color w:val="auto"/>
        </w:rPr>
      </w:pPr>
      <w:r>
        <w:rPr>
          <w:rFonts w:ascii="Arial" w:cs="Arial" w:eastAsia="Arial" w:hAnsi="Arial"/>
          <w:sz w:val="16"/>
          <w:szCs w:val="16"/>
          <w:color w:val="auto"/>
        </w:rPr>
        <w:t>formally established our general prohibition against direct political contributions by the Company to candidates, political parties, campaign committees, and political action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60" w:hanging="434"/>
        <w:spacing w:after="0"/>
        <w:tabs>
          <w:tab w:leader="none" w:pos="460" w:val="left"/>
        </w:tabs>
        <w:numPr>
          <w:ilvl w:val="0"/>
          <w:numId w:val="9"/>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9154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91540" cy="1454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49465" cy="351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b w:val="1"/>
          <w:bCs w:val="1"/>
          <w:color w:val="004A98"/>
        </w:rPr>
        <w:t>The Board recommends a vote FOR this proposal.</w:t>
      </w:r>
      <w:r>
        <w:rPr>
          <w:sz w:val="20"/>
          <w:szCs w:val="20"/>
          <w:color w:val="auto"/>
        </w:rPr>
        <w:tab/>
      </w:r>
      <w:r>
        <w:rPr>
          <w:rFonts w:ascii="Arial" w:cs="Arial" w:eastAsia="Arial" w:hAnsi="Arial"/>
          <w:sz w:val="16"/>
          <w:szCs w:val="16"/>
          <w:b w:val="1"/>
          <w:bCs w:val="1"/>
          <w:color w:val="004A98"/>
        </w:rPr>
        <w:t>See page 23</w:t>
      </w:r>
    </w:p>
    <w:p>
      <w:pPr>
        <w:spacing w:after="0" w:line="408" w:lineRule="exact"/>
        <w:rPr>
          <w:sz w:val="20"/>
          <w:szCs w:val="20"/>
          <w:color w:val="auto"/>
        </w:rPr>
      </w:pPr>
    </w:p>
    <w:p>
      <w:pPr>
        <w:sectPr>
          <w:pgSz w:w="11900" w:h="16838" w:orient="portrait"/>
          <w:cols w:equalWidth="0" w:num="2">
            <w:col w:w="1360" w:space="720"/>
            <w:col w:w="9160"/>
          </w:cols>
          <w:pgMar w:left="320" w:top="121"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Framework</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chart below shows the three main elements of our executive compensation program, including the percentage that each element comprised in our CEO’s 2023 pay mix at target and our other NEOs’ 2023 average pay mix at target, our objectives for each element of compensation, the factors we use to determine compensation amounts and performance measures.</w:t>
      </w:r>
    </w:p>
    <w:p>
      <w:pPr>
        <w:sectPr>
          <w:pgSz w:w="11900" w:h="16838" w:orient="portrait"/>
          <w:cols w:equalWidth="0" w:num="1">
            <w:col w:w="11240"/>
          </w:cols>
          <w:pgMar w:left="320" w:top="121" w:right="339" w:bottom="1440" w:gutter="0" w:footer="0" w:header="0"/>
          <w:type w:val="continuous"/>
        </w:sectPr>
      </w:pPr>
    </w:p>
    <w:p>
      <w:pPr>
        <w:spacing w:after="0" w:line="11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ELEMENT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20" w:type="dxa"/>
            <w:vAlign w:val="bottom"/>
            <w:tcBorders>
              <w:top w:val="single" w:sz="8" w:color="auto"/>
              <w:bottom w:val="single" w:sz="8" w:color="auto"/>
              <w:right w:val="single" w:sz="8" w:color="auto"/>
            </w:tcBorders>
          </w:tcPr>
          <w:p>
            <w:pPr>
              <w:ind w:left="60"/>
              <w:spacing w:after="0" w:line="177" w:lineRule="exact"/>
              <w:rPr>
                <w:sz w:val="20"/>
                <w:szCs w:val="20"/>
                <w:color w:val="auto"/>
              </w:rPr>
            </w:pPr>
            <w:r>
              <w:rPr>
                <w:rFonts w:ascii="Arial" w:cs="Arial" w:eastAsia="Arial" w:hAnsi="Arial"/>
                <w:sz w:val="13"/>
                <w:szCs w:val="13"/>
                <w:b w:val="1"/>
                <w:bCs w:val="1"/>
                <w:color w:val="auto"/>
              </w:rPr>
              <w:t xml:space="preserve">CEO </w:t>
            </w:r>
            <w:r>
              <w:rPr>
                <w:rFonts w:ascii="Arial" w:cs="Arial" w:eastAsia="Arial" w:hAnsi="Arial"/>
                <w:sz w:val="16"/>
                <w:szCs w:val="16"/>
                <w:b w:val="1"/>
                <w:bCs w:val="1"/>
                <w:color w:val="auto"/>
                <w:vertAlign w:val="superscript"/>
              </w:rPr>
              <w:t>(1)</w:t>
            </w:r>
          </w:p>
        </w:tc>
        <w:tc>
          <w:tcPr>
            <w:tcW w:w="1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Other NEOs (Average)</w:t>
            </w: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Base Salary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3"/>
          <w:szCs w:val="13"/>
          <w:color w:val="004A98"/>
        </w:rPr>
        <w:t>(% of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1808480" cy="540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8480" cy="540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2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OBJECTIVE</w:t>
            </w:r>
          </w:p>
        </w:tc>
        <w:tc>
          <w:tcPr>
            <w:tcW w:w="120" w:type="dxa"/>
            <w:vAlign w:val="bottom"/>
            <w:tcBorders>
              <w:right w:val="single" w:sz="8" w:color="auto"/>
            </w:tcBorders>
          </w:tcPr>
          <w:p>
            <w:pPr>
              <w:spacing w:after="0"/>
              <w:rPr>
                <w:sz w:val="15"/>
                <w:szCs w:val="15"/>
                <w:color w:val="auto"/>
              </w:rPr>
            </w:pPr>
          </w:p>
        </w:tc>
        <w:tc>
          <w:tcPr>
            <w:tcW w:w="29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FACTORS</w:t>
            </w:r>
          </w:p>
        </w:tc>
        <w:tc>
          <w:tcPr>
            <w:tcW w:w="120" w:type="dxa"/>
            <w:vAlign w:val="bottom"/>
            <w:tcBorders>
              <w:right w:val="single" w:sz="8" w:color="auto"/>
            </w:tcBorders>
          </w:tcPr>
          <w:p>
            <w:pPr>
              <w:spacing w:after="0"/>
              <w:rPr>
                <w:sz w:val="15"/>
                <w:szCs w:val="15"/>
                <w:color w:val="auto"/>
              </w:rPr>
            </w:pP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371"/>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Provide a guaranteed level of</w:t>
            </w:r>
          </w:p>
        </w:tc>
        <w:tc>
          <w:tcPr>
            <w:tcW w:w="120" w:type="dxa"/>
            <w:vAlign w:val="bottom"/>
          </w:tcPr>
          <w:p>
            <w:pPr>
              <w:spacing w:after="0"/>
              <w:rPr>
                <w:sz w:val="20"/>
                <w:szCs w:val="20"/>
                <w:color w:val="auto"/>
              </w:rPr>
            </w:pPr>
            <w:r>
              <w:rPr>
                <w:rFonts w:ascii="Arial" w:cs="Arial" w:eastAsia="Arial" w:hAnsi="Arial"/>
                <w:sz w:val="16"/>
                <w:szCs w:val="16"/>
                <w:color w:val="004A98"/>
              </w:rPr>
              <w:t>•</w:t>
            </w:r>
          </w:p>
        </w:tc>
        <w:tc>
          <w:tcPr>
            <w:tcW w:w="2920" w:type="dxa"/>
            <w:vAlign w:val="bottom"/>
            <w:gridSpan w:val="2"/>
          </w:tcPr>
          <w:p>
            <w:pPr>
              <w:ind w:left="40"/>
              <w:spacing w:after="0"/>
              <w:rPr>
                <w:sz w:val="20"/>
                <w:szCs w:val="20"/>
                <w:color w:val="auto"/>
              </w:rPr>
            </w:pPr>
            <w:r>
              <w:rPr>
                <w:rFonts w:ascii="Arial" w:cs="Arial" w:eastAsia="Arial" w:hAnsi="Arial"/>
                <w:sz w:val="16"/>
                <w:szCs w:val="16"/>
                <w:color w:val="auto"/>
              </w:rPr>
              <w:t>Job responsibilities and scope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annual income in order to attract</w:t>
            </w:r>
          </w:p>
        </w:tc>
        <w:tc>
          <w:tcPr>
            <w:tcW w:w="120" w:type="dxa"/>
            <w:vAlign w:val="bottom"/>
            <w:vMerge w:val="restart"/>
          </w:tcPr>
          <w:p>
            <w:pPr>
              <w:spacing w:after="0"/>
              <w:rPr>
                <w:sz w:val="20"/>
                <w:szCs w:val="20"/>
                <w:color w:val="auto"/>
              </w:rPr>
            </w:pPr>
            <w:r>
              <w:rPr>
                <w:rFonts w:ascii="Arial" w:cs="Arial" w:eastAsia="Arial" w:hAnsi="Arial"/>
                <w:sz w:val="16"/>
                <w:szCs w:val="16"/>
                <w:color w:val="004A98"/>
              </w:rPr>
              <w:t>•</w:t>
            </w:r>
          </w:p>
        </w:tc>
        <w:tc>
          <w:tcPr>
            <w:tcW w:w="2920" w:type="dxa"/>
            <w:vAlign w:val="bottom"/>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retain our executive talent.</w:t>
            </w:r>
          </w:p>
        </w:tc>
        <w:tc>
          <w:tcPr>
            <w:tcW w:w="120" w:type="dxa"/>
            <w:vAlign w:val="bottom"/>
            <w:vMerge w:val="continue"/>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580" w:type="dxa"/>
            <w:vAlign w:val="bottom"/>
            <w:gridSpan w:val="2"/>
            <w:vMerge w:val="continue"/>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004A98"/>
              </w:rPr>
              <w:t>•</w:t>
            </w:r>
          </w:p>
        </w:tc>
        <w:tc>
          <w:tcPr>
            <w:tcW w:w="2920" w:type="dxa"/>
            <w:vAlign w:val="bottom"/>
            <w:gridSpan w:val="2"/>
            <w:vMerge w:val="restart"/>
          </w:tcPr>
          <w:p>
            <w:pPr>
              <w:ind w:left="40"/>
              <w:spacing w:after="0"/>
              <w:rPr>
                <w:sz w:val="20"/>
                <w:szCs w:val="20"/>
                <w:color w:val="auto"/>
              </w:rPr>
            </w:pPr>
            <w:r>
              <w:rPr>
                <w:rFonts w:ascii="Arial" w:cs="Arial" w:eastAsia="Arial" w:hAnsi="Arial"/>
                <w:sz w:val="16"/>
                <w:szCs w:val="16"/>
                <w:color w:val="auto"/>
              </w:rPr>
              <w:t>Individual contributions</w:t>
            </w: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color w:val="auto"/>
              </w:rPr>
              <w:t>Increases are not automatic or</w:t>
            </w:r>
          </w:p>
        </w:tc>
        <w:tc>
          <w:tcPr>
            <w:tcW w:w="120" w:type="dxa"/>
            <w:vAlign w:val="bottom"/>
            <w:vMerge w:val="continue"/>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580" w:type="dxa"/>
            <w:vAlign w:val="bottom"/>
            <w:gridSpan w:val="2"/>
            <w:vMerge w:val="continue"/>
          </w:tcPr>
          <w:p>
            <w:pPr>
              <w:spacing w:after="0"/>
              <w:rPr>
                <w:sz w:val="5"/>
                <w:szCs w:val="5"/>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004A98"/>
              </w:rPr>
              <w:t>•</w:t>
            </w:r>
          </w:p>
        </w:tc>
        <w:tc>
          <w:tcPr>
            <w:tcW w:w="2920" w:type="dxa"/>
            <w:vAlign w:val="bottom"/>
            <w:gridSpan w:val="2"/>
            <w:vMerge w:val="restart"/>
          </w:tcPr>
          <w:p>
            <w:pPr>
              <w:ind w:left="40"/>
              <w:spacing w:after="0"/>
              <w:rPr>
                <w:sz w:val="20"/>
                <w:szCs w:val="20"/>
                <w:color w:val="auto"/>
              </w:rPr>
            </w:pPr>
            <w:r>
              <w:rPr>
                <w:rFonts w:ascii="Arial" w:cs="Arial" w:eastAsia="Arial" w:hAnsi="Arial"/>
                <w:sz w:val="16"/>
                <w:szCs w:val="16"/>
                <w:color w:val="auto"/>
              </w:rPr>
              <w:t>Internal pay alignment and peer and</w:t>
            </w: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58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guaranteed.</w:t>
            </w:r>
          </w:p>
        </w:tc>
        <w:tc>
          <w:tcPr>
            <w:tcW w:w="120" w:type="dxa"/>
            <w:vAlign w:val="bottom"/>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6"/>
                <w:szCs w:val="16"/>
                <w:color w:val="auto"/>
              </w:rPr>
              <w:t>industry benchmarking</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420" w:space="100"/>
            <w:col w:w="7720"/>
          </w:cols>
          <w:pgMar w:left="320" w:top="121" w:right="339" w:bottom="1440" w:gutter="0" w:footer="0" w:header="0"/>
          <w:type w:val="continuous"/>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CEO</w:t>
            </w:r>
          </w:p>
        </w:tc>
        <w:tc>
          <w:tcPr>
            <w:tcW w:w="1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Other NEOs (Average)</w:t>
            </w:r>
          </w:p>
        </w:tc>
        <w:tc>
          <w:tcPr>
            <w:tcW w:w="100" w:type="dxa"/>
            <w:vAlign w:val="bottom"/>
          </w:tcPr>
          <w:p>
            <w:pPr>
              <w:spacing w:after="0"/>
              <w:rPr>
                <w:sz w:val="16"/>
                <w:szCs w:val="16"/>
                <w:color w:val="auto"/>
              </w:rPr>
            </w:pPr>
          </w:p>
        </w:tc>
        <w:tc>
          <w:tcPr>
            <w:tcW w:w="2460" w:type="dxa"/>
            <w:vAlign w:val="bottom"/>
            <w:tcBorders>
              <w:top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939598"/>
            </w:tcBorders>
          </w:tcPr>
          <w:p>
            <w:pPr>
              <w:spacing w:after="0"/>
              <w:rPr>
                <w:sz w:val="16"/>
                <w:szCs w:val="16"/>
                <w:color w:val="auto"/>
              </w:rPr>
            </w:pPr>
          </w:p>
        </w:tc>
        <w:tc>
          <w:tcPr>
            <w:tcW w:w="2800" w:type="dxa"/>
            <w:vAlign w:val="bottom"/>
            <w:tcBorders>
              <w:top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939598"/>
            </w:tcBorders>
          </w:tcPr>
          <w:p>
            <w:pPr>
              <w:spacing w:after="0"/>
              <w:rPr>
                <w:sz w:val="16"/>
                <w:szCs w:val="16"/>
                <w:color w:val="auto"/>
              </w:rPr>
            </w:pPr>
          </w:p>
        </w:tc>
        <w:tc>
          <w:tcPr>
            <w:tcW w:w="2000" w:type="dxa"/>
            <w:vAlign w:val="bottom"/>
            <w:tcBorders>
              <w:top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20" w:type="dxa"/>
            <w:vAlign w:val="bottom"/>
          </w:tcPr>
          <w:p>
            <w:pPr>
              <w:ind w:left="60"/>
              <w:spacing w:after="0"/>
              <w:rPr>
                <w:sz w:val="20"/>
                <w:szCs w:val="20"/>
                <w:color w:val="auto"/>
              </w:rPr>
            </w:pPr>
            <w:r>
              <w:rPr>
                <w:rFonts w:ascii="Arial" w:cs="Arial" w:eastAsia="Arial" w:hAnsi="Arial"/>
                <w:sz w:val="14"/>
                <w:szCs w:val="14"/>
                <w:b w:val="1"/>
                <w:bCs w:val="1"/>
                <w:color w:val="004A98"/>
              </w:rPr>
              <w:t>Annual Incentive Bonus</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Arial" w:cs="Arial" w:eastAsia="Arial" w:hAnsi="Arial"/>
                <w:sz w:val="16"/>
                <w:szCs w:val="16"/>
                <w:color w:val="auto"/>
              </w:rPr>
              <w:t>Provide a performance-based</w:t>
            </w:r>
          </w:p>
        </w:tc>
        <w:tc>
          <w:tcPr>
            <w:tcW w:w="140" w:type="dxa"/>
            <w:vAlign w:val="bottom"/>
          </w:tcPr>
          <w:p>
            <w:pPr>
              <w:ind w:left="20"/>
              <w:spacing w:after="0"/>
              <w:rPr>
                <w:sz w:val="20"/>
                <w:szCs w:val="20"/>
                <w:color w:val="auto"/>
              </w:rPr>
            </w:pPr>
            <w:r>
              <w:rPr>
                <w:rFonts w:ascii="Arial" w:cs="Arial" w:eastAsia="Arial" w:hAnsi="Arial"/>
                <w:sz w:val="16"/>
                <w:szCs w:val="16"/>
                <w:color w:val="004A98"/>
              </w:rPr>
              <w:t>•</w:t>
            </w:r>
          </w:p>
        </w:tc>
        <w:tc>
          <w:tcPr>
            <w:tcW w:w="2900" w:type="dxa"/>
            <w:vAlign w:val="bottom"/>
            <w:gridSpan w:val="2"/>
          </w:tcPr>
          <w:p>
            <w:pPr>
              <w:jc w:val="center"/>
              <w:ind w:right="1160"/>
              <w:spacing w:after="0"/>
              <w:rPr>
                <w:sz w:val="20"/>
                <w:szCs w:val="20"/>
                <w:color w:val="auto"/>
              </w:rPr>
            </w:pPr>
            <w:r>
              <w:rPr>
                <w:rFonts w:ascii="Arial" w:cs="Arial" w:eastAsia="Arial" w:hAnsi="Arial"/>
                <w:sz w:val="16"/>
                <w:szCs w:val="16"/>
                <w:color w:val="auto"/>
              </w:rPr>
              <w:t>Company performance</w:t>
            </w:r>
          </w:p>
        </w:tc>
        <w:tc>
          <w:tcPr>
            <w:tcW w:w="120" w:type="dxa"/>
            <w:vAlign w:val="bottom"/>
          </w:tcPr>
          <w:p>
            <w:pPr>
              <w:ind w:left="20"/>
              <w:spacing w:after="0"/>
              <w:rPr>
                <w:sz w:val="20"/>
                <w:szCs w:val="20"/>
                <w:color w:val="auto"/>
              </w:rPr>
            </w:pPr>
            <w:r>
              <w:rPr>
                <w:rFonts w:ascii="Arial" w:cs="Arial" w:eastAsia="Arial" w:hAnsi="Arial"/>
                <w:sz w:val="16"/>
                <w:szCs w:val="16"/>
                <w:color w:val="004A98"/>
              </w:rPr>
              <w:t>•</w:t>
            </w:r>
          </w:p>
        </w:tc>
        <w:tc>
          <w:tcPr>
            <w:tcW w:w="2000" w:type="dxa"/>
            <w:vAlign w:val="bottom"/>
          </w:tcPr>
          <w:p>
            <w:pPr>
              <w:ind w:left="6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2"/>
        </w:trPr>
        <w:tc>
          <w:tcPr>
            <w:tcW w:w="1720" w:type="dxa"/>
            <w:vAlign w:val="bottom"/>
          </w:tcPr>
          <w:p>
            <w:pPr>
              <w:ind w:left="20"/>
              <w:spacing w:after="0"/>
              <w:rPr>
                <w:sz w:val="20"/>
                <w:szCs w:val="20"/>
                <w:color w:val="auto"/>
              </w:rPr>
            </w:pPr>
            <w:r>
              <w:rPr>
                <w:rFonts w:ascii="Arial" w:cs="Arial" w:eastAsia="Arial" w:hAnsi="Arial"/>
                <w:sz w:val="13"/>
                <w:szCs w:val="13"/>
                <w:color w:val="004A98"/>
              </w:rPr>
              <w:t>(% of Pay Mix at Target)</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2"/>
          </w:tcPr>
          <w:p>
            <w:pPr>
              <w:ind w:left="20"/>
              <w:spacing w:after="0"/>
              <w:rPr>
                <w:sz w:val="20"/>
                <w:szCs w:val="20"/>
                <w:color w:val="auto"/>
              </w:rPr>
            </w:pPr>
            <w:r>
              <w:rPr>
                <w:rFonts w:ascii="Arial" w:cs="Arial" w:eastAsia="Arial" w:hAnsi="Arial"/>
                <w:sz w:val="16"/>
                <w:szCs w:val="16"/>
                <w:color w:val="auto"/>
              </w:rPr>
              <w:t>incentive for achieving individual</w:t>
            </w:r>
          </w:p>
        </w:tc>
        <w:tc>
          <w:tcPr>
            <w:tcW w:w="140" w:type="dxa"/>
            <w:vAlign w:val="bottom"/>
            <w:vMerge w:val="restart"/>
          </w:tcPr>
          <w:p>
            <w:pPr>
              <w:ind w:left="20"/>
              <w:spacing w:after="0"/>
              <w:rPr>
                <w:sz w:val="20"/>
                <w:szCs w:val="20"/>
                <w:color w:val="auto"/>
              </w:rPr>
            </w:pPr>
            <w:r>
              <w:rPr>
                <w:rFonts w:ascii="Arial" w:cs="Arial" w:eastAsia="Arial" w:hAnsi="Arial"/>
                <w:sz w:val="16"/>
                <w:szCs w:val="16"/>
                <w:b w:val="1"/>
                <w:bCs w:val="1"/>
                <w:color w:val="004A98"/>
              </w:rPr>
              <w:t>•</w:t>
            </w:r>
          </w:p>
        </w:tc>
        <w:tc>
          <w:tcPr>
            <w:tcW w:w="2900" w:type="dxa"/>
            <w:vAlign w:val="bottom"/>
            <w:gridSpan w:val="2"/>
            <w:vMerge w:val="restart"/>
          </w:tcPr>
          <w:p>
            <w:pPr>
              <w:jc w:val="center"/>
              <w:ind w:right="1180"/>
              <w:spacing w:after="0"/>
              <w:rPr>
                <w:sz w:val="20"/>
                <w:szCs w:val="20"/>
                <w:color w:val="auto"/>
              </w:rPr>
            </w:pPr>
            <w:r>
              <w:rPr>
                <w:rFonts w:ascii="Arial" w:cs="Arial" w:eastAsia="Arial" w:hAnsi="Arial"/>
                <w:sz w:val="16"/>
                <w:szCs w:val="16"/>
                <w:color w:val="auto"/>
              </w:rPr>
              <w:t>Individual performance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004A98"/>
              </w:rPr>
              <w:t>•</w:t>
            </w:r>
          </w:p>
        </w:tc>
        <w:tc>
          <w:tcPr>
            <w:tcW w:w="2000" w:type="dxa"/>
            <w:vAlign w:val="bottom"/>
            <w:vMerge w:val="restart"/>
          </w:tcPr>
          <w:p>
            <w:pPr>
              <w:ind w:left="60"/>
              <w:spacing w:after="0"/>
              <w:rPr>
                <w:sz w:val="20"/>
                <w:szCs w:val="20"/>
                <w:color w:val="auto"/>
              </w:rPr>
            </w:pPr>
            <w:r>
              <w:rPr>
                <w:rFonts w:ascii="Arial" w:cs="Arial" w:eastAsia="Arial" w:hAnsi="Arial"/>
                <w:sz w:val="16"/>
                <w:szCs w:val="16"/>
                <w:color w:val="auto"/>
              </w:rPr>
              <w:t>Operating margin</w:t>
            </w:r>
          </w:p>
        </w:tc>
        <w:tc>
          <w:tcPr>
            <w:tcW w:w="0" w:type="dxa"/>
            <w:vAlign w:val="bottom"/>
          </w:tcPr>
          <w:p>
            <w:pPr>
              <w:spacing w:after="0"/>
              <w:rPr>
                <w:sz w:val="1"/>
                <w:szCs w:val="1"/>
                <w:color w:val="auto"/>
              </w:rPr>
            </w:pPr>
          </w:p>
        </w:tc>
      </w:tr>
      <w:tr>
        <w:trPr>
          <w:trHeight w:val="88"/>
        </w:trPr>
        <w:tc>
          <w:tcPr>
            <w:tcW w:w="17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goals and the Company’s</w:t>
            </w:r>
          </w:p>
        </w:tc>
        <w:tc>
          <w:tcPr>
            <w:tcW w:w="140" w:type="dxa"/>
            <w:vAlign w:val="bottom"/>
            <w:vMerge w:val="continue"/>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3040" w:type="dxa"/>
            <w:vAlign w:val="bottom"/>
            <w:gridSpan w:val="3"/>
            <w:vMerge w:val="restart"/>
          </w:tcPr>
          <w:p>
            <w:pPr>
              <w:ind w:left="2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Internal pay alignment and peer and</w:t>
            </w:r>
          </w:p>
        </w:tc>
        <w:tc>
          <w:tcPr>
            <w:tcW w:w="1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financial and strategic goals.</w:t>
            </w:r>
          </w:p>
        </w:tc>
        <w:tc>
          <w:tcPr>
            <w:tcW w:w="30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vMerge w:val="restart"/>
          </w:tcPr>
          <w:p>
            <w:pPr>
              <w:jc w:val="center"/>
              <w:ind w:right="1120"/>
              <w:spacing w:after="0"/>
              <w:rPr>
                <w:sz w:val="20"/>
                <w:szCs w:val="20"/>
                <w:color w:val="auto"/>
              </w:rPr>
            </w:pPr>
            <w:r>
              <w:rPr>
                <w:rFonts w:ascii="Arial" w:cs="Arial" w:eastAsia="Arial" w:hAnsi="Arial"/>
                <w:sz w:val="16"/>
                <w:szCs w:val="16"/>
                <w:color w:val="auto"/>
              </w:rPr>
              <w:t>industry benchmarking</w:t>
            </w: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395605</wp:posOffset>
            </wp:positionV>
            <wp:extent cx="4903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034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-289560</wp:posOffset>
            </wp:positionV>
            <wp:extent cx="1808480" cy="539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8480" cy="5397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CEO</w:t>
            </w:r>
          </w:p>
        </w:tc>
        <w:tc>
          <w:tcPr>
            <w:tcW w:w="1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Other NEOs (Average)</w:t>
            </w: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4A98"/>
        </w:rPr>
        <w:t>Long-Term Incentive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004A98"/>
        </w:rPr>
        <w:t>(% of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1434465</wp:posOffset>
            </wp:positionV>
            <wp:extent cx="2168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405765</wp:posOffset>
            </wp:positionV>
            <wp:extent cx="1808480" cy="539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8480" cy="539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Provide an award that both serves a retention purpose and incentivizes executives to manage the Company from the perspective of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1022350</wp:posOffset>
            </wp:positionV>
            <wp:extent cx="1568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9" w:right="80" w:hanging="199"/>
        <w:spacing w:after="0" w:line="281" w:lineRule="auto"/>
        <w:tabs>
          <w:tab w:leader="none" w:pos="169"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Importance of the NEO to Company performance</w:t>
      </w:r>
    </w:p>
    <w:p>
      <w:pPr>
        <w:spacing w:after="0" w:line="1" w:lineRule="exact"/>
        <w:rPr>
          <w:rFonts w:ascii="Arial" w:cs="Arial" w:eastAsia="Arial" w:hAnsi="Arial"/>
          <w:sz w:val="16"/>
          <w:szCs w:val="16"/>
          <w:color w:val="004A98"/>
        </w:rPr>
      </w:pPr>
    </w:p>
    <w:p>
      <w:pPr>
        <w:ind w:left="159" w:hanging="159"/>
        <w:spacing w:after="0"/>
        <w:tabs>
          <w:tab w:leader="none" w:pos="159"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Individual contributions</w:t>
      </w:r>
    </w:p>
    <w:p>
      <w:pPr>
        <w:spacing w:after="0" w:line="45" w:lineRule="exact"/>
        <w:rPr>
          <w:rFonts w:ascii="Arial" w:cs="Arial" w:eastAsia="Arial" w:hAnsi="Arial"/>
          <w:sz w:val="16"/>
          <w:szCs w:val="16"/>
          <w:color w:val="004A98"/>
        </w:rPr>
      </w:pPr>
    </w:p>
    <w:p>
      <w:pPr>
        <w:ind w:left="159" w:hanging="159"/>
        <w:spacing w:after="0"/>
        <w:tabs>
          <w:tab w:leader="none" w:pos="159"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Future potential of the NEO</w:t>
      </w:r>
    </w:p>
    <w:p>
      <w:pPr>
        <w:spacing w:after="0" w:line="45" w:lineRule="exact"/>
        <w:rPr>
          <w:rFonts w:ascii="Arial" w:cs="Arial" w:eastAsia="Arial" w:hAnsi="Arial"/>
          <w:sz w:val="16"/>
          <w:szCs w:val="16"/>
          <w:color w:val="004A98"/>
        </w:rPr>
      </w:pPr>
    </w:p>
    <w:p>
      <w:pPr>
        <w:ind w:left="199" w:hanging="199"/>
        <w:spacing w:after="0" w:line="264" w:lineRule="auto"/>
        <w:tabs>
          <w:tab w:leader="none" w:pos="169"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Value of NEO’s vested and unvested outstanding equity awards (performance-based and time-based restricted stock units)</w:t>
      </w:r>
    </w:p>
    <w:p>
      <w:pPr>
        <w:ind w:left="199" w:right="60" w:hanging="199"/>
        <w:spacing w:after="0" w:line="304" w:lineRule="auto"/>
        <w:tabs>
          <w:tab w:leader="none" w:pos="169"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261620</wp:posOffset>
            </wp:positionV>
            <wp:extent cx="1868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202" w:right="80" w:hanging="202"/>
        <w:spacing w:after="0" w:line="270" w:lineRule="auto"/>
        <w:tabs>
          <w:tab w:leader="none" w:pos="172" w:val="left"/>
        </w:tabs>
        <w:numPr>
          <w:ilvl w:val="0"/>
          <w:numId w:val="11"/>
        </w:numPr>
        <w:rPr>
          <w:rFonts w:ascii="Arial" w:cs="Arial" w:eastAsia="Arial" w:hAnsi="Arial"/>
          <w:sz w:val="16"/>
          <w:szCs w:val="16"/>
          <w:color w:val="004A98"/>
        </w:rPr>
      </w:pPr>
      <w:r>
        <w:rPr>
          <w:rFonts w:ascii="Arial" w:cs="Arial" w:eastAsia="Arial" w:hAnsi="Arial"/>
          <w:sz w:val="16"/>
          <w:szCs w:val="16"/>
          <w:color w:val="auto"/>
        </w:rPr>
        <w:t>Compound annual growth rate (CAGR) of operating income</w:t>
      </w:r>
    </w:p>
    <w:p>
      <w:pPr>
        <w:ind w:left="202" w:right="140" w:hanging="202"/>
        <w:spacing w:after="0" w:line="304" w:lineRule="auto"/>
        <w:tabs>
          <w:tab w:leader="none" w:pos="172" w:val="left"/>
        </w:tabs>
        <w:numPr>
          <w:ilvl w:val="0"/>
          <w:numId w:val="11"/>
        </w:numPr>
        <w:rPr>
          <w:rFonts w:ascii="Arial" w:cs="Arial" w:eastAsia="Arial" w:hAnsi="Arial"/>
          <w:sz w:val="16"/>
          <w:szCs w:val="16"/>
          <w:color w:val="004A98"/>
        </w:rPr>
      </w:pPr>
      <w:r>
        <w:rPr>
          <w:rFonts w:ascii="Arial" w:cs="Arial" w:eastAsia="Arial" w:hAnsi="Arial"/>
          <w:sz w:val="16"/>
          <w:szCs w:val="16"/>
          <w:color w:val="auto"/>
        </w:rPr>
        <w:t>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947420</wp:posOffset>
            </wp:positionV>
            <wp:extent cx="1346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280" w:lineRule="exact"/>
        <w:rPr>
          <w:sz w:val="20"/>
          <w:szCs w:val="20"/>
          <w:color w:val="auto"/>
        </w:rPr>
      </w:pPr>
    </w:p>
    <w:p>
      <w:pPr>
        <w:sectPr>
          <w:pgSz w:w="11900" w:h="16838" w:orient="portrait"/>
          <w:cols w:equalWidth="0" w:num="4">
            <w:col w:w="3420" w:space="120"/>
            <w:col w:w="2220" w:space="341"/>
            <w:col w:w="2819" w:space="218"/>
            <w:col w:w="2102"/>
          </w:cols>
          <w:pgMar w:left="320" w:top="121"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Due to rounding, amounts may not add up to 100%.</w:t>
      </w:r>
    </w:p>
    <w:p>
      <w:pPr>
        <w:spacing w:after="0" w:line="36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jc w:val="right"/>
        <w:ind w:right="326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Executive Compensation Highlights</w:t>
      </w:r>
    </w:p>
    <w:p>
      <w:pPr>
        <w:spacing w:after="0" w:line="1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Our executive compensation program is designed to attract and retain the executive talent we need to maintain our high performance standards and grow our business for the future. Our philosophy is to provide a mix of compensation that motivates our executives to achieve our short and long-term performance goals, which in turn will create value for our stockholders. We made no significant changes to our overall approach to executive compensation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Pay for 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3154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Compensation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3154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Responsible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31546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For the CEO, 92% of targeted total compensation is performance-based.</w:t>
      </w:r>
    </w:p>
    <w:p>
      <w:pPr>
        <w:spacing w:after="0" w:line="59" w:lineRule="exact"/>
        <w:rPr>
          <w:rFonts w:ascii="Arial" w:cs="Arial" w:eastAsia="Arial" w:hAnsi="Arial"/>
          <w:sz w:val="16"/>
          <w:szCs w:val="16"/>
          <w:color w:val="004A98"/>
        </w:rPr>
      </w:pPr>
    </w:p>
    <w:p>
      <w:pPr>
        <w:ind w:left="192" w:right="180" w:hanging="192"/>
        <w:spacing w:after="0" w:line="299" w:lineRule="auto"/>
        <w:tabs>
          <w:tab w:leader="none" w:pos="16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For other NEOs, 87% of targeted total compensation on average is performance-based.</w:t>
      </w: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Annual Benchmarking of Executive Compensation</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Independent Compensation Consultant</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Annual Say-on-Pay Vote</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Stock Ownership Requirements</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Clawback Policy</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Forfeiture Provisions</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Annual Compensation Risk Assessment</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No Employment Contracts</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No Single Trigger Benefits Upon a Change-in-Control</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No Tax Gross-Ups Upon a Change-in-Control</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No Special Pension or Retirement Plans</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No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3917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-681355</wp:posOffset>
            </wp:positionV>
            <wp:extent cx="39173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-1736090</wp:posOffset>
            </wp:positionV>
            <wp:extent cx="3917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8" w:space="720"/>
            <w:col w:w="6152"/>
          </w:cols>
          <w:pgMar w:left="320" w:top="122"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9154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91540" cy="145415"/>
                    </a:xfrm>
                    <a:prstGeom prst="rect">
                      <a:avLst/>
                    </a:prstGeom>
                    <a:noFill/>
                  </pic:spPr>
                </pic:pic>
              </a:graphicData>
            </a:graphic>
          </wp:anchor>
        </w:drawing>
      </w:r>
    </w:p>
    <w:p>
      <w:pPr>
        <w:spacing w:after="0" w:line="99" w:lineRule="exact"/>
        <w:rPr>
          <w:sz w:val="20"/>
          <w:szCs w:val="20"/>
          <w:color w:val="auto"/>
        </w:rPr>
      </w:pPr>
    </w:p>
    <w:p>
      <w:pPr>
        <w:ind w:right="80"/>
        <w:spacing w:after="0" w:line="307" w:lineRule="auto"/>
        <w:rPr>
          <w:sz w:val="20"/>
          <w:szCs w:val="20"/>
          <w:color w:val="auto"/>
        </w:rPr>
      </w:pPr>
      <w:r>
        <w:rPr>
          <w:rFonts w:ascii="Arial" w:cs="Arial" w:eastAsia="Arial" w:hAnsi="Arial"/>
          <w:sz w:val="32"/>
          <w:szCs w:val="32"/>
          <w:b w:val="1"/>
          <w:bCs w:val="1"/>
          <w:color w:val="004A98"/>
        </w:rPr>
        <w:t>Ratification of Selection of KPMG LLP as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49465" cy="351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rPr>
          <w:sz w:val="20"/>
          <w:szCs w:val="20"/>
          <w:color w:val="auto"/>
        </w:rPr>
      </w:pPr>
      <w:r>
        <w:rPr>
          <w:sz w:val="1"/>
          <w:szCs w:val="1"/>
          <w:color w:val="auto"/>
        </w:rPr>
        <w:drawing>
          <wp:inline distT="0" distB="0" distL="0" distR="0">
            <wp:extent cx="17145" cy="3048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304800"/>
                    </a:xfrm>
                    <a:prstGeom prst="rect">
                      <a:avLst/>
                    </a:prstGeom>
                    <a:noFill/>
                    <a:ln>
                      <a:noFill/>
                    </a:ln>
                  </pic:spPr>
                </pic:pic>
              </a:graphicData>
            </a:graphic>
          </wp:inline>
        </w:drawing>
        <w:drawing>
          <wp:inline distT="0" distB="0" distL="0" distR="0">
            <wp:extent cx="257175" cy="2571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b w:val="1"/>
          <w:bCs w:val="1"/>
          <w:color w:val="004A98"/>
        </w:rPr>
        <w:t>The Board recommends a vote FOR this proposal.</w:t>
      </w:r>
      <w:r>
        <w:rPr>
          <w:sz w:val="20"/>
          <w:szCs w:val="20"/>
          <w:color w:val="auto"/>
        </w:rPr>
        <w:tab/>
      </w:r>
      <w:r>
        <w:rPr>
          <w:rFonts w:ascii="Arial" w:cs="Arial" w:eastAsia="Arial" w:hAnsi="Arial"/>
          <w:sz w:val="16"/>
          <w:szCs w:val="16"/>
          <w:b w:val="1"/>
          <w:bCs w:val="1"/>
          <w:color w:val="004A98"/>
        </w:rPr>
        <w:t>See page 44</w:t>
      </w:r>
    </w:p>
    <w:p>
      <w:pPr>
        <w:spacing w:after="0" w:line="395" w:lineRule="exact"/>
        <w:rPr>
          <w:sz w:val="20"/>
          <w:szCs w:val="20"/>
          <w:color w:val="auto"/>
        </w:rPr>
      </w:pPr>
    </w:p>
    <w:p>
      <w:pPr>
        <w:sectPr>
          <w:pgSz w:w="11900" w:h="16838" w:orient="portrait"/>
          <w:cols w:equalWidth="0" w:num="2">
            <w:col w:w="1360" w:space="720"/>
            <w:col w:w="9160"/>
          </w:cols>
          <w:pgMar w:left="320" w:top="122"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Principal Accountant Fees and Services</w:t>
      </w:r>
    </w:p>
    <w:p>
      <w:pPr>
        <w:spacing w:after="0" w:line="13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presents fees billed for professional services rendered by KPMG LLP for the audit of our annual consolidated financial statements for the years ended December 31, 2023 and December 31, 2022, and fees billed for other services provided by KPMG LLP, in each of the last two completed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auto"/>
            </w:tcBorders>
          </w:tcPr>
          <w:p>
            <w:pPr>
              <w:spacing w:after="0"/>
              <w:rPr>
                <w:sz w:val="17"/>
                <w:szCs w:val="17"/>
                <w:color w:val="auto"/>
              </w:rPr>
            </w:pPr>
          </w:p>
        </w:tc>
        <w:tc>
          <w:tcPr>
            <w:tcW w:w="7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 FEES</w:t>
            </w:r>
          </w:p>
        </w:tc>
        <w:tc>
          <w:tcPr>
            <w:tcW w:w="10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 FEES</w:t>
            </w:r>
          </w:p>
        </w:tc>
        <w:tc>
          <w:tcPr>
            <w:tcW w:w="0" w:type="dxa"/>
            <w:vAlign w:val="bottom"/>
          </w:tcPr>
          <w:p>
            <w:pPr>
              <w:spacing w:after="0"/>
              <w:rPr>
                <w:sz w:val="1"/>
                <w:szCs w:val="1"/>
                <w:color w:val="auto"/>
              </w:rPr>
            </w:pPr>
          </w:p>
        </w:tc>
      </w:tr>
      <w:tr>
        <w:trPr>
          <w:trHeight w:val="158"/>
        </w:trPr>
        <w:tc>
          <w:tcPr>
            <w:tcW w:w="800" w:type="dxa"/>
            <w:vAlign w:val="bottom"/>
            <w:vMerge w:val="restart"/>
            <w:shd w:val="clear" w:color="auto" w:fill="E6E7E8"/>
          </w:tcPr>
          <w:p>
            <w:pPr>
              <w:ind w:left="20"/>
              <w:spacing w:after="0"/>
              <w:rPr>
                <w:sz w:val="20"/>
                <w:szCs w:val="20"/>
                <w:color w:val="auto"/>
              </w:rPr>
            </w:pPr>
            <w:r>
              <w:rPr>
                <w:rFonts w:ascii="Arial" w:cs="Arial" w:eastAsia="Arial" w:hAnsi="Arial"/>
                <w:sz w:val="16"/>
                <w:szCs w:val="16"/>
                <w:b w:val="1"/>
                <w:bCs w:val="1"/>
                <w:color w:val="004A98"/>
                <w:w w:val="98"/>
                <w:shd w:val="clear" w:color="auto" w:fill="E6E7E8"/>
              </w:rPr>
              <w:t>Audit fees</w:t>
            </w:r>
          </w:p>
        </w:tc>
        <w:tc>
          <w:tcPr>
            <w:tcW w:w="7900" w:type="dxa"/>
            <w:vAlign w:val="bottom"/>
            <w:shd w:val="clear" w:color="auto" w:fill="E6E7E8"/>
          </w:tcPr>
          <w:p>
            <w:pPr>
              <w:jc w:val="right"/>
              <w:ind w:right="7707"/>
              <w:spacing w:after="0"/>
              <w:rPr>
                <w:sz w:val="20"/>
                <w:szCs w:val="20"/>
                <w:color w:val="auto"/>
              </w:rPr>
            </w:pPr>
            <w:r>
              <w:rPr>
                <w:rFonts w:ascii="Arial" w:cs="Arial" w:eastAsia="Arial" w:hAnsi="Arial"/>
                <w:sz w:val="11"/>
                <w:szCs w:val="11"/>
                <w:b w:val="1"/>
                <w:bCs w:val="1"/>
                <w:color w:val="004A98"/>
                <w:w w:val="88"/>
                <w:shd w:val="clear" w:color="auto" w:fill="E6E7E8"/>
              </w:rPr>
              <w:t>(1)</w:t>
            </w:r>
          </w:p>
        </w:tc>
        <w:tc>
          <w:tcPr>
            <w:tcW w:w="120" w:type="dxa"/>
            <w:vAlign w:val="bottom"/>
            <w:tcBorders>
              <w:right w:val="single" w:sz="8" w:color="E6E7E8"/>
            </w:tcBorders>
          </w:tcPr>
          <w:p>
            <w:pPr>
              <w:spacing w:after="0"/>
              <w:rPr>
                <w:sz w:val="13"/>
                <w:szCs w:val="13"/>
                <w:color w:val="auto"/>
              </w:rPr>
            </w:pPr>
          </w:p>
        </w:tc>
        <w:tc>
          <w:tcPr>
            <w:tcW w:w="220" w:type="dxa"/>
            <w:vAlign w:val="bottom"/>
            <w:vMerge w:val="restart"/>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2,021,283</w:t>
            </w:r>
          </w:p>
        </w:tc>
        <w:tc>
          <w:tcPr>
            <w:tcW w:w="100" w:type="dxa"/>
            <w:vAlign w:val="bottom"/>
            <w:tcBorders>
              <w:right w:val="single" w:sz="8" w:color="E6E7E8"/>
            </w:tcBorders>
          </w:tcPr>
          <w:p>
            <w:pPr>
              <w:spacing w:after="0"/>
              <w:rPr>
                <w:sz w:val="13"/>
                <w:szCs w:val="13"/>
                <w:color w:val="auto"/>
              </w:rPr>
            </w:pPr>
          </w:p>
        </w:tc>
        <w:tc>
          <w:tcPr>
            <w:tcW w:w="240" w:type="dxa"/>
            <w:vAlign w:val="bottom"/>
            <w:vMerge w:val="restart"/>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1,815,926</w:t>
            </w:r>
          </w:p>
        </w:tc>
        <w:tc>
          <w:tcPr>
            <w:tcW w:w="0" w:type="dxa"/>
            <w:vAlign w:val="bottom"/>
          </w:tcPr>
          <w:p>
            <w:pPr>
              <w:spacing w:after="0"/>
              <w:rPr>
                <w:sz w:val="1"/>
                <w:szCs w:val="1"/>
                <w:color w:val="auto"/>
              </w:rPr>
            </w:pPr>
          </w:p>
        </w:tc>
      </w:tr>
      <w:tr>
        <w:trPr>
          <w:trHeight w:val="84"/>
        </w:trPr>
        <w:tc>
          <w:tcPr>
            <w:tcW w:w="800" w:type="dxa"/>
            <w:vAlign w:val="bottom"/>
            <w:tcBorders>
              <w:bottom w:val="single" w:sz="8" w:color="E6E7E8"/>
            </w:tcBorders>
            <w:vMerge w:val="continue"/>
            <w:shd w:val="clear" w:color="auto" w:fill="E6E7E8"/>
          </w:tcPr>
          <w:p>
            <w:pPr>
              <w:spacing w:after="0"/>
              <w:rPr>
                <w:sz w:val="7"/>
                <w:szCs w:val="7"/>
                <w:color w:val="auto"/>
              </w:rPr>
            </w:pPr>
          </w:p>
        </w:tc>
        <w:tc>
          <w:tcPr>
            <w:tcW w:w="7900" w:type="dxa"/>
            <w:vAlign w:val="bottom"/>
            <w:tcBorders>
              <w:bottom w:val="single" w:sz="8" w:color="E6E7E8"/>
            </w:tcBorders>
            <w:shd w:val="clear" w:color="auto" w:fill="E6E7E8"/>
          </w:tcPr>
          <w:p>
            <w:pPr>
              <w:spacing w:after="0"/>
              <w:rPr>
                <w:sz w:val="7"/>
                <w:szCs w:val="7"/>
                <w:color w:val="auto"/>
              </w:rPr>
            </w:pPr>
          </w:p>
        </w:tc>
        <w:tc>
          <w:tcPr>
            <w:tcW w:w="120" w:type="dxa"/>
            <w:vAlign w:val="bottom"/>
            <w:tcBorders>
              <w:right w:val="single" w:sz="8" w:color="E6E7E8"/>
            </w:tcBorders>
          </w:tcPr>
          <w:p>
            <w:pPr>
              <w:spacing w:after="0"/>
              <w:rPr>
                <w:sz w:val="7"/>
                <w:szCs w:val="7"/>
                <w:color w:val="auto"/>
              </w:rPr>
            </w:pPr>
          </w:p>
        </w:tc>
        <w:tc>
          <w:tcPr>
            <w:tcW w:w="220" w:type="dxa"/>
            <w:vAlign w:val="bottom"/>
            <w:tcBorders>
              <w:bottom w:val="single" w:sz="8" w:color="E6E7E8"/>
            </w:tcBorders>
            <w:vMerge w:val="continue"/>
            <w:shd w:val="clear" w:color="auto" w:fill="E6E7E8"/>
          </w:tcPr>
          <w:p>
            <w:pPr>
              <w:spacing w:after="0"/>
              <w:rPr>
                <w:sz w:val="7"/>
                <w:szCs w:val="7"/>
                <w:color w:val="auto"/>
              </w:rPr>
            </w:pPr>
          </w:p>
        </w:tc>
        <w:tc>
          <w:tcPr>
            <w:tcW w:w="940" w:type="dxa"/>
            <w:vAlign w:val="bottom"/>
            <w:tcBorders>
              <w:bottom w:val="single" w:sz="8" w:color="E6E7E8"/>
            </w:tcBorders>
            <w:vMerge w:val="continue"/>
            <w:shd w:val="clear" w:color="auto" w:fill="E6E7E8"/>
          </w:tcPr>
          <w:p>
            <w:pPr>
              <w:spacing w:after="0"/>
              <w:rPr>
                <w:sz w:val="7"/>
                <w:szCs w:val="7"/>
                <w:color w:val="auto"/>
              </w:rPr>
            </w:pPr>
          </w:p>
        </w:tc>
        <w:tc>
          <w:tcPr>
            <w:tcW w:w="100" w:type="dxa"/>
            <w:vAlign w:val="bottom"/>
            <w:tcBorders>
              <w:right w:val="single" w:sz="8" w:color="E6E7E8"/>
            </w:tcBorders>
          </w:tcPr>
          <w:p>
            <w:pPr>
              <w:spacing w:after="0"/>
              <w:rPr>
                <w:sz w:val="7"/>
                <w:szCs w:val="7"/>
                <w:color w:val="auto"/>
              </w:rPr>
            </w:pPr>
          </w:p>
        </w:tc>
        <w:tc>
          <w:tcPr>
            <w:tcW w:w="240" w:type="dxa"/>
            <w:vAlign w:val="bottom"/>
            <w:tcBorders>
              <w:bottom w:val="single" w:sz="8" w:color="E6E7E8"/>
            </w:tcBorders>
            <w:vMerge w:val="continue"/>
            <w:shd w:val="clear" w:color="auto" w:fill="E6E7E8"/>
          </w:tcPr>
          <w:p>
            <w:pPr>
              <w:spacing w:after="0"/>
              <w:rPr>
                <w:sz w:val="7"/>
                <w:szCs w:val="7"/>
                <w:color w:val="auto"/>
              </w:rPr>
            </w:pPr>
          </w:p>
        </w:tc>
        <w:tc>
          <w:tcPr>
            <w:tcW w:w="920" w:type="dxa"/>
            <w:vAlign w:val="bottom"/>
            <w:tcBorders>
              <w:bottom w:val="single" w:sz="8" w:color="E6E7E8"/>
            </w:tcBorders>
            <w:vMerge w:val="continue"/>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700" w:type="dxa"/>
            <w:vAlign w:val="bottom"/>
            <w:tcBorders>
              <w:top w:val="single" w:sz="8" w:color="939598"/>
              <w:bottom w:val="single" w:sz="8" w:color="939598"/>
            </w:tcBorders>
            <w:gridSpan w:val="2"/>
          </w:tcPr>
          <w:p>
            <w:pPr>
              <w:ind w:left="20"/>
              <w:spacing w:after="0"/>
              <w:rPr>
                <w:sz w:val="20"/>
                <w:szCs w:val="20"/>
                <w:color w:val="auto"/>
              </w:rPr>
            </w:pPr>
            <w:r>
              <w:rPr>
                <w:rFonts w:ascii="Arial" w:cs="Arial" w:eastAsia="Arial" w:hAnsi="Arial"/>
                <w:sz w:val="16"/>
                <w:szCs w:val="16"/>
                <w:b w:val="1"/>
                <w:bCs w:val="1"/>
                <w:color w:val="004A98"/>
              </w:rPr>
              <w:t>Audit-related fees</w:t>
            </w:r>
          </w:p>
        </w:tc>
        <w:tc>
          <w:tcPr>
            <w:tcW w:w="120" w:type="dxa"/>
            <w:vAlign w:val="bottom"/>
          </w:tcPr>
          <w:p>
            <w:pPr>
              <w:spacing w:after="0"/>
              <w:rPr>
                <w:sz w:val="18"/>
                <w:szCs w:val="18"/>
                <w:color w:val="auto"/>
              </w:rPr>
            </w:pPr>
          </w:p>
        </w:tc>
        <w:tc>
          <w:tcPr>
            <w:tcW w:w="220" w:type="dxa"/>
            <w:vAlign w:val="bottom"/>
            <w:tcBorders>
              <w:top w:val="single" w:sz="8" w:color="939598"/>
              <w:bottom w:val="single" w:sz="8" w:color="939598"/>
            </w:tcBorders>
          </w:tcPr>
          <w:p>
            <w:pPr>
              <w:spacing w:after="0"/>
              <w:rPr>
                <w:sz w:val="18"/>
                <w:szCs w:val="18"/>
                <w:color w:val="auto"/>
              </w:rPr>
            </w:pPr>
          </w:p>
        </w:tc>
        <w:tc>
          <w:tcPr>
            <w:tcW w:w="94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Tax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spacing w:after="0"/>
              <w:rPr>
                <w:sz w:val="18"/>
                <w:szCs w:val="18"/>
                <w:color w:val="auto"/>
              </w:rPr>
            </w:pP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spacing w:after="0"/>
              <w:rPr>
                <w:sz w:val="18"/>
                <w:szCs w:val="18"/>
                <w:color w:val="auto"/>
              </w:rPr>
            </w:pP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tcPr>
          <w:p>
            <w:pPr>
              <w:ind w:left="20"/>
              <w:spacing w:after="0" w:line="210" w:lineRule="exact"/>
              <w:rPr>
                <w:sz w:val="20"/>
                <w:szCs w:val="20"/>
                <w:color w:val="auto"/>
              </w:rPr>
            </w:pPr>
            <w:r>
              <w:rPr>
                <w:rFonts w:ascii="Arial" w:cs="Arial" w:eastAsia="Arial" w:hAnsi="Arial"/>
                <w:sz w:val="16"/>
                <w:szCs w:val="16"/>
                <w:b w:val="1"/>
                <w:bCs w:val="1"/>
                <w:color w:val="004A98"/>
              </w:rPr>
              <w:t>All other fees</w:t>
            </w:r>
            <w:r>
              <w:rPr>
                <w:rFonts w:ascii="Arial" w:cs="Arial" w:eastAsia="Arial" w:hAnsi="Arial"/>
                <w:sz w:val="21"/>
                <w:szCs w:val="21"/>
                <w:b w:val="1"/>
                <w:bCs w:val="1"/>
                <w:color w:val="004A98"/>
                <w:vertAlign w:val="superscript"/>
              </w:rPr>
              <w:t>(2)</w:t>
            </w:r>
          </w:p>
        </w:tc>
        <w:tc>
          <w:tcPr>
            <w:tcW w:w="120" w:type="dxa"/>
            <w:vAlign w:val="bottom"/>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4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Total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2,039,283</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1,832,426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tabs>
          <w:tab w:leader="none" w:pos="264"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Audit fees consist of fees for the integrated audit of the annual financial statements included in our Annual Reports on Form 10-K, the review of the interim financial statements included in our Quarterly Reports on Form 10-Q, and other professional services provided in connection with statutory and regulatory filings or engagements for those years.</w:t>
      </w:r>
    </w:p>
    <w:p>
      <w:pPr>
        <w:spacing w:after="0" w:line="18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All other fees consist of registration fees for three employees to participate in KPMG’s Executive Leadership Institute for Women.</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hanging="434"/>
        <w:spacing w:after="0"/>
        <w:tabs>
          <w:tab w:leader="none" w:pos="460" w:val="left"/>
        </w:tabs>
        <w:numPr>
          <w:ilvl w:val="0"/>
          <w:numId w:val="15"/>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9154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91540" cy="1454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Election of Directors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consists of eight directors. Each of the directors was elected to a one-year term at the 2023 Annual Meeting of Stockholders</w:t>
      </w:r>
      <w:r>
        <w:rPr>
          <w:rFonts w:ascii="Arial" w:cs="Arial" w:eastAsia="Arial" w:hAnsi="Arial"/>
          <w:sz w:val="16"/>
          <w:szCs w:val="16"/>
          <w:color w:val="008080"/>
        </w:rPr>
        <w:t>.</w:t>
      </w:r>
      <w:r>
        <w:rPr>
          <w:rFonts w:ascii="Arial" w:cs="Arial" w:eastAsia="Arial" w:hAnsi="Arial"/>
          <w:sz w:val="16"/>
          <w:szCs w:val="16"/>
          <w:color w:val="auto"/>
        </w:rPr>
        <w:t xml:space="preserve"> The terms of the current directors expire upon the election and qualification of the directors to be elected at the Annual Meeting. The Board has nominated each of the current directors, D. James Bidzos; Courtney D. Armstrong; Yehuda Ari Buchalter; Kathleen A. Cote; Thomas F. Frist III; Jamie S. Gorelick; Roger H. Moore; and Timothy Tomlinson, for election at the Annual Meeting to serve until our 2025 Annual Meeting of Stockholders and until their respective successors have been elected and qualified. Proxies cannot be voted for more than eight persons, which is the number of nominees.</w:t>
      </w:r>
    </w:p>
    <w:p>
      <w:pPr>
        <w:spacing w:after="0" w:line="64"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Unless otherwise directed, the persons named as proxies on the proxy card intend to vote all proxies FOR the election of the Board’s nominees, each of whom has consented to serve as a director if elected. In addition, if a proxy card is properly executed and returned but no direction is made, the persons named as proxies on the proxy card intend to vote all proxies FOR the election of the Board’s nominees. If any of the nominees is unable or declines to serve as a director, the discretionary authority provided in the enclosed proxy will be exercised to vote for a substitute candidate designated by the Board, unless the Board chooses to reduce its own size. The Board has no reason to believe that any of the nominees will be unable or will decline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9465" cy="3511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414"/>
        </w:trPr>
        <w:tc>
          <w:tcPr>
            <w:tcW w:w="1080" w:type="dxa"/>
            <w:vAlign w:val="bottom"/>
          </w:tcPr>
          <w:p>
            <w:pPr>
              <w:spacing w:after="0"/>
              <w:rPr>
                <w:sz w:val="20"/>
                <w:szCs w:val="20"/>
                <w:color w:val="auto"/>
              </w:rPr>
            </w:pPr>
            <w:r>
              <w:rPr>
                <w:rFonts w:ascii="Arial" w:cs="Arial" w:eastAsia="Arial" w:hAnsi="Arial"/>
                <w:sz w:val="36"/>
                <w:szCs w:val="36"/>
                <w:b w:val="1"/>
                <w:bCs w:val="1"/>
                <w:color w:val="004A98"/>
              </w:rPr>
              <w:t>FOR</w:t>
            </w:r>
          </w:p>
        </w:tc>
        <w:tc>
          <w:tcPr>
            <w:tcW w:w="7420" w:type="dxa"/>
            <w:vAlign w:val="bottom"/>
            <w:vMerge w:val="restart"/>
          </w:tcPr>
          <w:p>
            <w:pPr>
              <w:ind w:left="340"/>
              <w:spacing w:after="0"/>
              <w:rPr>
                <w:sz w:val="20"/>
                <w:szCs w:val="20"/>
                <w:color w:val="auto"/>
              </w:rPr>
            </w:pPr>
            <w:r>
              <w:rPr>
                <w:rFonts w:ascii="Arial" w:cs="Arial" w:eastAsia="Arial" w:hAnsi="Arial"/>
                <w:sz w:val="16"/>
                <w:szCs w:val="16"/>
                <w:b w:val="1"/>
                <w:bCs w:val="1"/>
                <w:color w:val="004A98"/>
              </w:rPr>
              <w:t>The Board recommends a vote FOR the election of each of the foregoing director nominees.</w:t>
            </w:r>
          </w:p>
        </w:tc>
        <w:tc>
          <w:tcPr>
            <w:tcW w:w="0" w:type="dxa"/>
            <w:vAlign w:val="bottom"/>
          </w:tcPr>
          <w:p>
            <w:pPr>
              <w:spacing w:after="0"/>
              <w:rPr>
                <w:sz w:val="1"/>
                <w:szCs w:val="1"/>
                <w:color w:val="auto"/>
              </w:rPr>
            </w:pPr>
          </w:p>
        </w:tc>
      </w:tr>
      <w:tr>
        <w:trPr>
          <w:trHeight w:val="60"/>
        </w:trPr>
        <w:tc>
          <w:tcPr>
            <w:tcW w:w="1080" w:type="dxa"/>
            <w:vAlign w:val="bottom"/>
          </w:tcPr>
          <w:p>
            <w:pPr>
              <w:spacing w:after="0"/>
              <w:rPr>
                <w:sz w:val="5"/>
                <w:szCs w:val="5"/>
                <w:color w:val="auto"/>
              </w:rPr>
            </w:pPr>
          </w:p>
        </w:tc>
        <w:tc>
          <w:tcPr>
            <w:tcW w:w="7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Independence, Skills, Experience, and Diversity</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Independence of Directors</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required under The Nasdaq Stock Market’s listing standards, a majority of the members of our Board must qualify as “independent directors,” as determined by the Board. The Board and the Corporate Governance and Nominating Committee consulted with our legal counsel to confirm that the Board’s determinations are consistent with all relevant securities and other laws and regulations regarding the definition of “independent,” including those set forth in pertinent listing standards of The Nasdaq Stock Market. Consistent with these considerations, after review of all relevant transactions and relationships between each director, or any of his or her family members, and Verisign, our executive officers, or our independent registered public accounting firm, our Board affirmatively determined on February 12, 2024 that seven out of the eight members of our Board are independent directors. Our independent directors are: Mr. Armstrong; Dr. Buchalter; Ms. Cote; Mr. Frist; Ms. Gorelick; Mr. Moore; and Mr. Tomlinson. Each member of the Audit Committee, the Compensation Committee, and the Corporate Governance and Nominating Committee is an independent director. Each member of the Cybersecurity Committee other than Mr. Bidzos is an independent director. Mr. Bidzos serves as Executive Chairman, President and Chief Executive Officer and thus is not considered an independent director.</w:t>
      </w:r>
    </w:p>
    <w:p>
      <w:pPr>
        <w:spacing w:after="0" w:line="310"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1—Election of Directors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Skills, Experience, and Diversity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232021"/>
        </w:rPr>
        <w:t>The chart below shows the range of skills and experience represented on the Board:</w:t>
      </w:r>
    </w:p>
    <w:p>
      <w:pPr>
        <w:spacing w:after="0" w:line="168" w:lineRule="exact"/>
        <w:rPr>
          <w:sz w:val="20"/>
          <w:szCs w:val="20"/>
          <w:color w:val="auto"/>
        </w:rPr>
      </w:pPr>
    </w:p>
    <w:tbl>
      <w:tblPr>
        <w:tblLayout w:type="fixed"/>
        <w:tblInd w:w="3330" w:type="dxa"/>
        <w:tblCellMar>
          <w:top w:w="0" w:type="dxa"/>
          <w:left w:w="0" w:type="dxa"/>
          <w:bottom w:w="0" w:type="dxa"/>
          <w:right w:w="0" w:type="dxa"/>
        </w:tblCellMar>
      </w:tblPr>
      <w:tr>
        <w:trPr>
          <w:trHeight w:val="176"/>
        </w:trPr>
        <w:tc>
          <w:tcPr>
            <w:tcW w:w="8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BIDZOS</w:t>
            </w:r>
          </w:p>
        </w:tc>
        <w:tc>
          <w:tcPr>
            <w:tcW w:w="120" w:type="dxa"/>
            <w:vAlign w:val="bottom"/>
            <w:tcBorders>
              <w:right w:val="single" w:sz="8" w:color="auto"/>
            </w:tcBorders>
          </w:tcPr>
          <w:p>
            <w:pPr>
              <w:spacing w:after="0"/>
              <w:rPr>
                <w:sz w:val="15"/>
                <w:szCs w:val="15"/>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ARMSTRONG</w:t>
            </w:r>
          </w:p>
        </w:tc>
        <w:tc>
          <w:tcPr>
            <w:tcW w:w="120" w:type="dxa"/>
            <w:vAlign w:val="bottom"/>
            <w:tcBorders>
              <w:right w:val="single" w:sz="8" w:color="auto"/>
            </w:tcBorders>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BUCHALTER</w:t>
            </w:r>
          </w:p>
        </w:tc>
        <w:tc>
          <w:tcPr>
            <w:tcW w:w="120" w:type="dxa"/>
            <w:vAlign w:val="bottom"/>
            <w:tcBorders>
              <w:right w:val="single" w:sz="8" w:color="auto"/>
            </w:tcBorders>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COTE</w:t>
            </w:r>
          </w:p>
        </w:tc>
        <w:tc>
          <w:tcPr>
            <w:tcW w:w="120" w:type="dxa"/>
            <w:vAlign w:val="bottom"/>
            <w:tcBorders>
              <w:right w:val="single" w:sz="8" w:color="auto"/>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FRIST</w:t>
            </w:r>
          </w:p>
        </w:tc>
        <w:tc>
          <w:tcPr>
            <w:tcW w:w="100" w:type="dxa"/>
            <w:vAlign w:val="bottom"/>
            <w:tcBorders>
              <w:right w:val="single" w:sz="8" w:color="auto"/>
            </w:tcBorders>
          </w:tcPr>
          <w:p>
            <w:pPr>
              <w:spacing w:after="0"/>
              <w:rPr>
                <w:sz w:val="15"/>
                <w:szCs w:val="15"/>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GORELICK</w:t>
            </w:r>
          </w:p>
        </w:tc>
        <w:tc>
          <w:tcPr>
            <w:tcW w:w="120" w:type="dxa"/>
            <w:vAlign w:val="bottom"/>
            <w:tcBorders>
              <w:right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MOORE</w:t>
            </w:r>
          </w:p>
        </w:tc>
        <w:tc>
          <w:tcPr>
            <w:tcW w:w="120" w:type="dxa"/>
            <w:vAlign w:val="bottom"/>
            <w:tcBorders>
              <w:right w:val="single" w:sz="8" w:color="auto"/>
            </w:tcBorders>
          </w:tcPr>
          <w:p>
            <w:pPr>
              <w:spacing w:after="0"/>
              <w:rPr>
                <w:sz w:val="15"/>
                <w:szCs w:val="15"/>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TOMLINSON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20" w:right="8220"/>
        <w:spacing w:after="0" w:line="314" w:lineRule="auto"/>
        <w:rPr>
          <w:sz w:val="20"/>
          <w:szCs w:val="20"/>
          <w:color w:val="auto"/>
        </w:rPr>
      </w:pPr>
      <w:r>
        <w:rPr>
          <w:rFonts w:ascii="Arial" w:cs="Arial" w:eastAsia="Arial" w:hAnsi="Arial"/>
          <w:sz w:val="14"/>
          <w:szCs w:val="14"/>
          <w:b w:val="1"/>
          <w:bCs w:val="1"/>
          <w:color w:val="004A98"/>
        </w:rPr>
        <w:t>Accounting, Corporate Finance,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Corporate Governance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International/Global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Government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Legal and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Other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Strategic Planning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Technology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Board Diversity Matrix</w:t>
      </w:r>
    </w:p>
    <w:p>
      <w:pPr>
        <w:spacing w:after="0" w:line="12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232021"/>
        </w:rPr>
        <w:t>The table below provides certain highlights of the composition of our Board members and nominees as of March 28, 2024. Each of the categories listed in the table below has the meaning as it is used in Nasdaq Rule 5605(f).</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Borders>
              <w:top w:val="single" w:sz="8" w:color="939598"/>
              <w:bottom w:val="single" w:sz="8" w:color="939598"/>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Number of Directors</w:t>
            </w:r>
          </w:p>
        </w:tc>
        <w:tc>
          <w:tcPr>
            <w:tcW w:w="100" w:type="dxa"/>
            <w:vAlign w:val="bottom"/>
            <w:tcBorders>
              <w:right w:val="single" w:sz="8" w:color="DBDBDB"/>
            </w:tcBorders>
          </w:tcPr>
          <w:p>
            <w:pPr>
              <w:spacing w:after="0"/>
              <w:rPr>
                <w:sz w:val="19"/>
                <w:szCs w:val="19"/>
                <w:color w:val="auto"/>
              </w:rPr>
            </w:pPr>
          </w:p>
        </w:tc>
        <w:tc>
          <w:tcPr>
            <w:tcW w:w="1720" w:type="dxa"/>
            <w:vAlign w:val="bottom"/>
            <w:tcBorders>
              <w:top w:val="single" w:sz="8" w:color="939598"/>
              <w:bottom w:val="single" w:sz="8" w:color="939598"/>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8</w:t>
            </w:r>
          </w:p>
        </w:tc>
        <w:tc>
          <w:tcPr>
            <w:tcW w:w="120" w:type="dxa"/>
            <w:vAlign w:val="bottom"/>
            <w:tcBorders>
              <w:right w:val="single" w:sz="8" w:color="DBDBDB"/>
            </w:tcBorders>
          </w:tcPr>
          <w:p>
            <w:pPr>
              <w:spacing w:after="0"/>
              <w:rPr>
                <w:sz w:val="19"/>
                <w:szCs w:val="19"/>
                <w:color w:val="auto"/>
              </w:rPr>
            </w:pPr>
          </w:p>
        </w:tc>
        <w:tc>
          <w:tcPr>
            <w:tcW w:w="1700" w:type="dxa"/>
            <w:vAlign w:val="bottom"/>
            <w:tcBorders>
              <w:top w:val="single" w:sz="8" w:color="939598"/>
              <w:bottom w:val="single" w:sz="8" w:color="939598"/>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Female</w:t>
            </w:r>
          </w:p>
        </w:tc>
        <w:tc>
          <w:tcPr>
            <w:tcW w:w="120" w:type="dxa"/>
            <w:vAlign w:val="bottom"/>
          </w:tcPr>
          <w:p>
            <w:pPr>
              <w:spacing w:after="0"/>
              <w:rPr>
                <w:sz w:val="2"/>
                <w:szCs w:val="2"/>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Male</w:t>
            </w:r>
          </w:p>
        </w:tc>
        <w:tc>
          <w:tcPr>
            <w:tcW w:w="0" w:type="dxa"/>
            <w:vAlign w:val="bottom"/>
          </w:tcPr>
          <w:p>
            <w:pPr>
              <w:spacing w:after="0" w:line="20" w:lineRule="exact"/>
              <w:rPr>
                <w:sz w:val="1"/>
                <w:szCs w:val="1"/>
                <w:color w:val="auto"/>
              </w:rPr>
            </w:pPr>
          </w:p>
        </w:tc>
      </w:tr>
      <w:tr>
        <w:trPr>
          <w:trHeight w:val="216"/>
        </w:trPr>
        <w:tc>
          <w:tcPr>
            <w:tcW w:w="7600" w:type="dxa"/>
            <w:vAlign w:val="bottom"/>
            <w:tcBorders>
              <w:bottom w:val="single" w:sz="8" w:color="939598"/>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939598"/>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Gender Identity</w:t>
            </w:r>
          </w:p>
        </w:tc>
        <w:tc>
          <w:tcPr>
            <w:tcW w:w="100" w:type="dxa"/>
            <w:vAlign w:val="bottom"/>
            <w:tcBorders>
              <w:right w:val="single" w:sz="8" w:color="DBDBDB"/>
            </w:tcBorders>
          </w:tcPr>
          <w:p>
            <w:pPr>
              <w:spacing w:after="0"/>
              <w:rPr>
                <w:sz w:val="18"/>
                <w:szCs w:val="18"/>
                <w:color w:val="auto"/>
              </w:rPr>
            </w:pPr>
          </w:p>
        </w:tc>
        <w:tc>
          <w:tcPr>
            <w:tcW w:w="1720" w:type="dxa"/>
            <w:vAlign w:val="bottom"/>
            <w:tcBorders>
              <w:bottom w:val="single" w:sz="8" w:color="939598"/>
            </w:tcBorders>
            <w:shd w:val="clear" w:color="auto" w:fill="DBDBDB"/>
          </w:tcPr>
          <w:p>
            <w:pPr>
              <w:spacing w:after="0"/>
              <w:rPr>
                <w:sz w:val="18"/>
                <w:szCs w:val="18"/>
                <w:color w:val="auto"/>
              </w:rPr>
            </w:pPr>
          </w:p>
        </w:tc>
        <w:tc>
          <w:tcPr>
            <w:tcW w:w="120" w:type="dxa"/>
            <w:vAlign w:val="bottom"/>
            <w:tcBorders>
              <w:right w:val="single" w:sz="8" w:color="DBDBDB"/>
            </w:tcBorders>
          </w:tcPr>
          <w:p>
            <w:pPr>
              <w:spacing w:after="0"/>
              <w:rPr>
                <w:sz w:val="18"/>
                <w:szCs w:val="18"/>
                <w:color w:val="auto"/>
              </w:rPr>
            </w:pPr>
          </w:p>
        </w:tc>
        <w:tc>
          <w:tcPr>
            <w:tcW w:w="1700" w:type="dxa"/>
            <w:vAlign w:val="bottom"/>
            <w:tcBorders>
              <w:bottom w:val="single" w:sz="8" w:color="939598"/>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4"/>
                <w:szCs w:val="14"/>
                <w:b w:val="1"/>
                <w:bCs w:val="1"/>
                <w:color w:val="004A98"/>
              </w:rPr>
              <w:t>Directors</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2</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6"/>
        </w:trPr>
        <w:tc>
          <w:tcPr>
            <w:tcW w:w="7600" w:type="dxa"/>
            <w:vAlign w:val="bottom"/>
            <w:tcBorders>
              <w:top w:val="single" w:sz="8" w:color="939598"/>
              <w:bottom w:val="single" w:sz="8" w:color="939598"/>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Demographic Background</w:t>
            </w:r>
          </w:p>
        </w:tc>
        <w:tc>
          <w:tcPr>
            <w:tcW w:w="100" w:type="dxa"/>
            <w:vAlign w:val="bottom"/>
            <w:tcBorders>
              <w:right w:val="single" w:sz="8" w:color="DBDBDB"/>
            </w:tcBorders>
          </w:tcPr>
          <w:p>
            <w:pPr>
              <w:spacing w:after="0"/>
              <w:rPr>
                <w:sz w:val="18"/>
                <w:szCs w:val="18"/>
                <w:color w:val="auto"/>
              </w:rPr>
            </w:pPr>
          </w:p>
        </w:tc>
        <w:tc>
          <w:tcPr>
            <w:tcW w:w="1720" w:type="dxa"/>
            <w:vAlign w:val="bottom"/>
            <w:tcBorders>
              <w:top w:val="single" w:sz="8" w:color="939598"/>
              <w:bottom w:val="single" w:sz="8" w:color="939598"/>
            </w:tcBorders>
            <w:shd w:val="clear" w:color="auto" w:fill="DBDBDB"/>
          </w:tcPr>
          <w:p>
            <w:pPr>
              <w:spacing w:after="0"/>
              <w:rPr>
                <w:sz w:val="18"/>
                <w:szCs w:val="18"/>
                <w:color w:val="auto"/>
              </w:rPr>
            </w:pPr>
          </w:p>
        </w:tc>
        <w:tc>
          <w:tcPr>
            <w:tcW w:w="120" w:type="dxa"/>
            <w:vAlign w:val="bottom"/>
            <w:tcBorders>
              <w:right w:val="single" w:sz="8" w:color="DBDBDB"/>
            </w:tcBorders>
          </w:tcPr>
          <w:p>
            <w:pPr>
              <w:spacing w:after="0"/>
              <w:rPr>
                <w:sz w:val="18"/>
                <w:szCs w:val="18"/>
                <w:color w:val="auto"/>
              </w:rPr>
            </w:pPr>
          </w:p>
        </w:tc>
        <w:tc>
          <w:tcPr>
            <w:tcW w:w="1700" w:type="dxa"/>
            <w:vAlign w:val="bottom"/>
            <w:tcBorders>
              <w:top w:val="single" w:sz="8" w:color="939598"/>
              <w:bottom w:val="single" w:sz="8" w:color="939598"/>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African American or Black</w:t>
            </w:r>
          </w:p>
        </w:tc>
        <w:tc>
          <w:tcPr>
            <w:tcW w:w="100" w:type="dxa"/>
            <w:vAlign w:val="bottom"/>
          </w:tcPr>
          <w:p>
            <w:pPr>
              <w:spacing w:after="0"/>
              <w:rPr>
                <w:sz w:val="18"/>
                <w:szCs w:val="18"/>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8"/>
                <w:szCs w:val="18"/>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Alaska Native or Native American</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Asian</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Hispanic or Latinx</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Native Hawaiian or Pacific Islander</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White</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Two or More Races or Ethnicities</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LGBTQ+</w:t>
            </w:r>
          </w:p>
        </w:tc>
        <w:tc>
          <w:tcPr>
            <w:tcW w:w="100" w:type="dxa"/>
            <w:vAlign w:val="bottom"/>
          </w:tcPr>
          <w:p>
            <w:pPr>
              <w:spacing w:after="0"/>
              <w:rPr>
                <w:sz w:val="19"/>
                <w:szCs w:val="19"/>
                <w:color w:val="auto"/>
              </w:rPr>
            </w:pPr>
          </w:p>
        </w:tc>
        <w:tc>
          <w:tcPr>
            <w:tcW w:w="17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7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4"/>
                <w:szCs w:val="14"/>
                <w:b w:val="1"/>
                <w:bCs w:val="1"/>
                <w:color w:val="004A98"/>
              </w:rPr>
              <w:t>Did Not Disclose Demographic Background</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_</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754"/>
        </w:trPr>
        <w:tc>
          <w:tcPr>
            <w:tcW w:w="7600" w:type="dxa"/>
            <w:vAlign w:val="bottom"/>
            <w:tcBorders>
              <w:top w:val="single" w:sz="8" w:color="939598"/>
            </w:tcBorders>
          </w:tcPr>
          <w:p>
            <w:pPr>
              <w:ind w:left="20"/>
              <w:spacing w:after="0"/>
              <w:rPr>
                <w:sz w:val="20"/>
                <w:szCs w:val="20"/>
                <w:color w:val="auto"/>
              </w:rPr>
            </w:pPr>
            <w:r>
              <w:rPr>
                <w:rFonts w:ascii="Arial" w:cs="Arial" w:eastAsia="Arial" w:hAnsi="Arial"/>
                <w:sz w:val="14"/>
                <w:szCs w:val="14"/>
                <w:b w:val="1"/>
                <w:bCs w:val="1"/>
                <w:color w:val="004A98"/>
              </w:rPr>
              <w:t>10    VeriSign, Inc.</w:t>
            </w:r>
          </w:p>
        </w:tc>
        <w:tc>
          <w:tcPr>
            <w:tcW w:w="100" w:type="dxa"/>
            <w:vAlign w:val="bottom"/>
          </w:tcPr>
          <w:p>
            <w:pPr>
              <w:spacing w:after="0"/>
              <w:rPr>
                <w:sz w:val="24"/>
                <w:szCs w:val="24"/>
                <w:color w:val="auto"/>
              </w:rPr>
            </w:pPr>
          </w:p>
        </w:tc>
        <w:tc>
          <w:tcPr>
            <w:tcW w:w="1720" w:type="dxa"/>
            <w:vAlign w:val="bottom"/>
            <w:tcBorders>
              <w:top w:val="single" w:sz="8" w:color="939598"/>
            </w:tcBorders>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top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1—Election of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Director Nominees</w:t>
      </w:r>
    </w:p>
    <w:p>
      <w:pPr>
        <w:spacing w:after="0" w:line="1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Set forth below is certain information relating to our director nominees, including details on each director nominee’s specific experience, qualifications, attributes, or skills that led the Board to conclude that the person should be nominated for election as a director for another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565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D. James</w:t>
      </w:r>
      <w:r>
        <w:rPr>
          <w:sz w:val="1"/>
          <w:szCs w:val="1"/>
          <w:color w:val="auto"/>
        </w:rPr>
        <w:drawing>
          <wp:inline distT="0" distB="0" distL="0" distR="0">
            <wp:extent cx="34290"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22"/>
          <w:szCs w:val="22"/>
          <w:b w:val="1"/>
          <w:bCs w:val="1"/>
          <w:color w:val="004A98"/>
        </w:rPr>
        <w:t>Bidzos</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0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tc>
        <w:tc>
          <w:tcPr>
            <w:tcW w:w="540" w:type="dxa"/>
            <w:vAlign w:val="bottom"/>
            <w:shd w:val="clear" w:color="auto" w:fill="E6E7E8"/>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Cybersecurity</w:t>
            </w:r>
          </w:p>
        </w:tc>
        <w:tc>
          <w:tcPr>
            <w:tcW w:w="0" w:type="dxa"/>
            <w:vAlign w:val="bottom"/>
          </w:tcPr>
          <w:p>
            <w:pPr>
              <w:spacing w:after="0"/>
              <w:rPr>
                <w:sz w:val="1"/>
                <w:szCs w:val="1"/>
                <w:color w:val="auto"/>
              </w:rPr>
            </w:pPr>
          </w:p>
        </w:tc>
      </w:tr>
      <w:tr>
        <w:trPr>
          <w:trHeight w:val="60"/>
        </w:trPr>
        <w:tc>
          <w:tcPr>
            <w:tcW w:w="3060" w:type="dxa"/>
            <w:vAlign w:val="bottom"/>
            <w:vMerge w:val="continue"/>
          </w:tcPr>
          <w:p>
            <w:pPr>
              <w:spacing w:after="0"/>
              <w:rPr>
                <w:sz w:val="5"/>
                <w:szCs w:val="5"/>
                <w:color w:val="auto"/>
              </w:rPr>
            </w:pPr>
          </w:p>
        </w:tc>
        <w:tc>
          <w:tcPr>
            <w:tcW w:w="540" w:type="dxa"/>
            <w:vAlign w:val="bottom"/>
            <w:shd w:val="clear" w:color="auto" w:fill="E6E7E8"/>
          </w:tcPr>
          <w:p>
            <w:pPr>
              <w:spacing w:after="0"/>
              <w:rPr>
                <w:sz w:val="5"/>
                <w:szCs w:val="5"/>
                <w:color w:val="auto"/>
              </w:rPr>
            </w:pPr>
          </w:p>
        </w:tc>
        <w:tc>
          <w:tcPr>
            <w:tcW w:w="7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060" w:type="dxa"/>
            <w:vAlign w:val="bottom"/>
          </w:tcPr>
          <w:p>
            <w:pPr>
              <w:spacing w:after="0"/>
              <w:rPr>
                <w:sz w:val="10"/>
                <w:szCs w:val="10"/>
                <w:color w:val="auto"/>
              </w:rPr>
            </w:pPr>
          </w:p>
        </w:tc>
        <w:tc>
          <w:tcPr>
            <w:tcW w:w="540" w:type="dxa"/>
            <w:vAlign w:val="bottom"/>
            <w:tcBorders>
              <w:bottom w:val="single" w:sz="8" w:color="E6E7E8"/>
            </w:tcBorders>
            <w:shd w:val="clear" w:color="auto" w:fill="E6E7E8"/>
          </w:tcPr>
          <w:p>
            <w:pPr>
              <w:spacing w:after="0"/>
              <w:rPr>
                <w:sz w:val="10"/>
                <w:szCs w:val="10"/>
                <w:color w:val="auto"/>
              </w:rPr>
            </w:pPr>
          </w:p>
        </w:tc>
        <w:tc>
          <w:tcPr>
            <w:tcW w:w="748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Mr. Bidzos has served as Executive Chairman since August 2009, Chief Executive Officer since August 2011, and President since April 2024. He also served as President from August 2011 to February 2020, Executive Chairman and Chief Executive Officer on an interim basis from June 2008 to August 2009, and President from June 2008 to January 2009. He served as Chairman of the Board since August 2007 and from April 1995 to December 2001. He served as Vice Chairman of the Board from December 2001 to August 2007. Mr. Bidzos served as a director of VeriSign Japan K.K. from March 2008 to August 2010 and served as Representative Director of VeriSign Japan K.K. from March 2008 to September 2008. Mr. Bidzos served as Vice Chairman of RSA Security Inc., an internet identity and access management solution provider, from March 1999 to May 2002, and Executive Vice President from July 1996 to February 1999. Prior to that, he served as President and Chief Executive Officer of RSA Data Security, Inc. from 1986 to February 1999.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Mr. Bidzos is a business executive with significant expertise in the technology that is central to the Company’s business. Mr. Bidzos is an internet and security industry pioneer who understands the strategic technology trends in markets that are important to the Company. Mr. Bidzos was a founder of the Company and has been either Chairman or Vice Chairman of the Company’s Board since the Company’s founding in April 1995, providing him with valuable insight and institutional knowledge of the Company’s history and development. Mr. Bidzos has prior experience on our Compensation Committee and our Corporate Governance and Nominating Committee and as a member of many other public-company boards. Mr. Bidzos’ years of board-level experience contribute important knowledge and insight to the Board. Additionally, Mr. Bidzos’ executive-level experience includes many years as a Chief Executive Officer, providing him with a perspective that the Board values. Mr. Bidzos also has international business experience from his service as a director of VeriSign Japan 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565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Courtney D. Armstrong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44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53</w:t>
            </w:r>
          </w:p>
        </w:tc>
        <w:tc>
          <w:tcPr>
            <w:tcW w:w="540" w:type="dxa"/>
            <w:vAlign w:val="bottom"/>
            <w:shd w:val="clear" w:color="auto" w:fill="E6E7E8"/>
          </w:tcPr>
          <w:p>
            <w:pPr>
              <w:spacing w:after="0"/>
              <w:rPr>
                <w:sz w:val="20"/>
                <w:szCs w:val="20"/>
                <w:color w:val="auto"/>
              </w:rPr>
            </w:pPr>
          </w:p>
        </w:tc>
        <w:tc>
          <w:tcPr>
            <w:tcW w:w="710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Compensation, and Corporate Governance and Nominating</w:t>
            </w:r>
          </w:p>
        </w:tc>
        <w:tc>
          <w:tcPr>
            <w:tcW w:w="0" w:type="dxa"/>
            <w:vAlign w:val="bottom"/>
          </w:tcPr>
          <w:p>
            <w:pPr>
              <w:spacing w:after="0"/>
              <w:rPr>
                <w:sz w:val="1"/>
                <w:szCs w:val="1"/>
                <w:color w:val="auto"/>
              </w:rPr>
            </w:pPr>
          </w:p>
        </w:tc>
      </w:tr>
      <w:tr>
        <w:trPr>
          <w:trHeight w:val="60"/>
        </w:trPr>
        <w:tc>
          <w:tcPr>
            <w:tcW w:w="3440" w:type="dxa"/>
            <w:vAlign w:val="bottom"/>
            <w:vMerge w:val="continue"/>
          </w:tcPr>
          <w:p>
            <w:pPr>
              <w:spacing w:after="0"/>
              <w:rPr>
                <w:sz w:val="5"/>
                <w:szCs w:val="5"/>
                <w:color w:val="auto"/>
              </w:rPr>
            </w:pPr>
          </w:p>
        </w:tc>
        <w:tc>
          <w:tcPr>
            <w:tcW w:w="540" w:type="dxa"/>
            <w:vAlign w:val="bottom"/>
            <w:shd w:val="clear" w:color="auto" w:fill="E6E7E8"/>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540" w:type="dxa"/>
            <w:vAlign w:val="bottom"/>
            <w:tcBorders>
              <w:bottom w:val="single" w:sz="8" w:color="E6E7E8"/>
            </w:tcBorders>
            <w:shd w:val="clear" w:color="auto" w:fill="E6E7E8"/>
          </w:tcPr>
          <w:p>
            <w:pPr>
              <w:spacing w:after="0"/>
              <w:rPr>
                <w:sz w:val="10"/>
                <w:szCs w:val="10"/>
                <w:color w:val="auto"/>
              </w:rPr>
            </w:pPr>
          </w:p>
        </w:tc>
        <w:tc>
          <w:tcPr>
            <w:tcW w:w="710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Courtney D. Armstrong has served as a director since June 2021. Mr. Armstrong is currently Chief Operating Officer at Paramount Pictures and Filmed Entertainment Group, a film and television production and distribution company, a position he has held since March 2024. Previously, he served as President of Business Affairs and Administration from October 2021 to March 2024. From April 2014 to October 2021, Mr. Armstrong served as Executive Vice President, Worldwide Business Affairs of Warner Bros. Pictures, a film and entertainment studio, where he oversaw all day-to-day business and legal aspects of worldwide film acquisition, development, production and initial distribution for the studio, including supervising the negotiations of key deals with filmmakers and talent. He joined Warner Bros. Pictures in 2003 as a Director of Business Affairs and was promoted to Vice President in 2004 and Senior Vice President in 2007. Before joining Warner Bros. Pictures, Mr. Armstrong spent three years at Walt Disney Pictures as an attorney in the Business and Legal Affairs department of the Motion Picture Group. Prior to that, Mr. Armstrong began his career as a litigation associate on the entertainment litigation team at the Los Angeles-based law firm Paul Hastings LLP. Mr. Armstrong is a graduate of the Northwestern Pritzker School of Law and holds an M.B.A. degree from the Kellogg School of Management. He received his undergraduate degree in Mechanical Engineering from Northwestern University.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Mr. Armstrong is a business executive with significant expertise in business and legal matters. Mr. Armstrong’s expertise as a business executive includes sales and marketing, financial management, contract negotiation, and distribution, providing him with a perspective that the Board values. Mr. Armstrong’s financial and accounting skills qualify him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565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Yehuda Ari Buchalter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1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tc>
        <w:tc>
          <w:tcPr>
            <w:tcW w:w="460" w:type="dxa"/>
            <w:vAlign w:val="bottom"/>
            <w:shd w:val="clear" w:color="auto" w:fill="E6E7E8"/>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Corporate Governance and Nominating, Cybersecurity (Chair)</w:t>
            </w:r>
          </w:p>
        </w:tc>
        <w:tc>
          <w:tcPr>
            <w:tcW w:w="0" w:type="dxa"/>
            <w:vAlign w:val="bottom"/>
          </w:tcPr>
          <w:p>
            <w:pPr>
              <w:spacing w:after="0"/>
              <w:rPr>
                <w:sz w:val="1"/>
                <w:szCs w:val="1"/>
                <w:color w:val="auto"/>
              </w:rPr>
            </w:pPr>
          </w:p>
        </w:tc>
      </w:tr>
      <w:tr>
        <w:trPr>
          <w:trHeight w:val="60"/>
        </w:trPr>
        <w:tc>
          <w:tcPr>
            <w:tcW w:w="3160" w:type="dxa"/>
            <w:vAlign w:val="bottom"/>
            <w:vMerge w:val="continue"/>
          </w:tcPr>
          <w:p>
            <w:pPr>
              <w:spacing w:after="0"/>
              <w:rPr>
                <w:sz w:val="5"/>
                <w:szCs w:val="5"/>
                <w:color w:val="auto"/>
              </w:rPr>
            </w:pPr>
          </w:p>
        </w:tc>
        <w:tc>
          <w:tcPr>
            <w:tcW w:w="460" w:type="dxa"/>
            <w:vAlign w:val="bottom"/>
            <w:shd w:val="clear" w:color="auto" w:fill="E6E7E8"/>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460" w:type="dxa"/>
            <w:vAlign w:val="bottom"/>
            <w:tcBorders>
              <w:bottom w:val="single" w:sz="8" w:color="E6E7E8"/>
            </w:tcBorders>
            <w:shd w:val="clear" w:color="auto" w:fill="E6E7E8"/>
          </w:tcPr>
          <w:p>
            <w:pPr>
              <w:spacing w:after="0"/>
              <w:rPr>
                <w:sz w:val="10"/>
                <w:szCs w:val="10"/>
                <w:color w:val="auto"/>
              </w:rPr>
            </w:pPr>
          </w:p>
        </w:tc>
        <w:tc>
          <w:tcPr>
            <w:tcW w:w="746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Dr. Buchalter has served as a director since July 2019. Dr. Buchalter is the Chief Executive Officer of Place Exchange, Inc., a technology company in the digital advertising space, a position he has held since July 2021. From May 2017 to July 2021, Dr. Buchalter served as the Chief Executive Officer of Intersection Holdings, LLC (“Intersection”), a leading smart cities media and technology company. At Intersection, Dr. Buchalter’s responsibilities included leadership of the Infosec Leadership Team, which was responsible for overseeing the company’s security and risk management issues, including data security and privacy issues. From July 2008 to January 2017, Dr. Buchalter served as the Chief Operating Officer and then President of MediaMath, a leading programmatic advertising technology platform. From January 2005 to April 2008, Dr. Buchalter was a Senior Partner at the marketing consultancy and agency Rosetta, where he led the Digital Media &amp; Technology vertical. Prior to that, Dr. Buchalter was an Associate Principal in McKinsey &amp; Company’s Media &amp; Technology practice and a founding member of their Innovation practice. Dr. Buchalter holds a B.S. in Physics from Stanford University, a Ph.D. in Astronomy from Columbia University, and was a postdoctoral fellow in Theoretical Astrophysics at the California Institute of Technology.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Dr. Buchalter is a business executive with significant experience building and leading technology companies. Dr. Buchalter’s expertise as a business executive includes business administration, sales and marketing, product development, engineering, and operations, providing him with a perspective that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657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Kathleen A. Cote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0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75</w:t>
            </w:r>
          </w:p>
        </w:tc>
        <w:tc>
          <w:tcPr>
            <w:tcW w:w="540" w:type="dxa"/>
            <w:vAlign w:val="bottom"/>
            <w:shd w:val="clear" w:color="auto" w:fill="E5E5E5"/>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Corporate Governance and Nominating (Chair)</w:t>
            </w:r>
          </w:p>
        </w:tc>
        <w:tc>
          <w:tcPr>
            <w:tcW w:w="0" w:type="dxa"/>
            <w:vAlign w:val="bottom"/>
          </w:tcPr>
          <w:p>
            <w:pPr>
              <w:spacing w:after="0"/>
              <w:rPr>
                <w:sz w:val="1"/>
                <w:szCs w:val="1"/>
                <w:color w:val="auto"/>
              </w:rPr>
            </w:pPr>
          </w:p>
        </w:tc>
      </w:tr>
      <w:tr>
        <w:trPr>
          <w:trHeight w:val="60"/>
        </w:trPr>
        <w:tc>
          <w:tcPr>
            <w:tcW w:w="3060" w:type="dxa"/>
            <w:vAlign w:val="bottom"/>
            <w:vMerge w:val="continue"/>
          </w:tcPr>
          <w:p>
            <w:pPr>
              <w:spacing w:after="0"/>
              <w:rPr>
                <w:sz w:val="5"/>
                <w:szCs w:val="5"/>
                <w:color w:val="auto"/>
              </w:rPr>
            </w:pPr>
          </w:p>
        </w:tc>
        <w:tc>
          <w:tcPr>
            <w:tcW w:w="540" w:type="dxa"/>
            <w:vAlign w:val="bottom"/>
            <w:shd w:val="clear" w:color="auto" w:fill="E5E5E5"/>
          </w:tcPr>
          <w:p>
            <w:pPr>
              <w:spacing w:after="0"/>
              <w:rPr>
                <w:sz w:val="5"/>
                <w:szCs w:val="5"/>
                <w:color w:val="auto"/>
              </w:rPr>
            </w:pPr>
          </w:p>
        </w:tc>
        <w:tc>
          <w:tcPr>
            <w:tcW w:w="7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060" w:type="dxa"/>
            <w:vAlign w:val="bottom"/>
          </w:tcPr>
          <w:p>
            <w:pPr>
              <w:spacing w:after="0"/>
              <w:rPr>
                <w:sz w:val="10"/>
                <w:szCs w:val="10"/>
                <w:color w:val="auto"/>
              </w:rPr>
            </w:pPr>
          </w:p>
        </w:tc>
        <w:tc>
          <w:tcPr>
            <w:tcW w:w="540" w:type="dxa"/>
            <w:vAlign w:val="bottom"/>
            <w:tcBorders>
              <w:bottom w:val="single" w:sz="8" w:color="E5E5E5"/>
            </w:tcBorders>
            <w:shd w:val="clear" w:color="auto" w:fill="E5E5E5"/>
          </w:tcPr>
          <w:p>
            <w:pPr>
              <w:spacing w:after="0"/>
              <w:rPr>
                <w:sz w:val="10"/>
                <w:szCs w:val="10"/>
                <w:color w:val="auto"/>
              </w:rPr>
            </w:pPr>
          </w:p>
        </w:tc>
        <w:tc>
          <w:tcPr>
            <w:tcW w:w="7480" w:type="dxa"/>
            <w:vAlign w:val="bottom"/>
            <w:tcBorders>
              <w:bottom w:val="single" w:sz="8" w:color="E5E5E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Ms. Cote has served as a director since February 2008. From May 2001 to June 2003, Ms. Cote served as Chief Executive Officer of Worldport Communications, Inc., a provider of internet managed services. From September 1998 to May 2001, she served as Founder and President of Seagrass Partners, a consulting firm specializing in providing strategic planning, business, operational, and management support for startup and mid-sized technology companies. Prior to that, she served as President and Chief Executive Officer of Computervision Corporation, an international supplier of product development and data management software. Ms. Cote served as a director of Western Digital Corporation from January 2001 to November 2021. Ms. Cote holds an Honorary Doctorate from the University of Massachusetts, an M.B.A. degree from Babson College, and a B.A. degree from the University of Massachusetts, Amherst.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Ms. Cote is a business executive with significant expertise overseeing global companies in technology and operations in the areas of systems integration, networks, hardware, and software, including web-based applications and internet services. Ms. Cote’s expertise in technology and operations is directly relevant to the Company’s business. Ms. Cote’s expertise as a business executive also includes sales and marketing, product development, strategic planning, and international experience, which contributes important expertise to the Board in those areas of business administration. Ms. Cote’s financial and accounting skills qualify her as an audit committee financial expert. In addition to Ms. Cote’s tenure as a director of the Company, Ms. Cote has served on several other boards of directors, including service on the audit and corporate governance committees of those boards as well as serving as the lead independent director, providing her with valuable board-level experience. Ms. Cote’s executive-level experience includes experience as a Chief Executive Officer, providing her with a perspective that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5657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Thomas F. Frist III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98"/>
        </w:trPr>
        <w:tc>
          <w:tcPr>
            <w:tcW w:w="30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tc>
        <w:tc>
          <w:tcPr>
            <w:tcW w:w="540" w:type="dxa"/>
            <w:vAlign w:val="bottom"/>
            <w:shd w:val="clear" w:color="auto" w:fill="E5E5E5"/>
          </w:tcPr>
          <w:p>
            <w:pPr>
              <w:spacing w:after="0"/>
              <w:rPr>
                <w:sz w:val="24"/>
                <w:szCs w:val="24"/>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(Chair), Corporate Governance and Nominating</w:t>
            </w:r>
          </w:p>
        </w:tc>
      </w:tr>
      <w:tr>
        <w:trPr>
          <w:trHeight w:val="123"/>
        </w:trPr>
        <w:tc>
          <w:tcPr>
            <w:tcW w:w="3060" w:type="dxa"/>
            <w:vAlign w:val="bottom"/>
          </w:tcPr>
          <w:p>
            <w:pPr>
              <w:spacing w:after="0"/>
              <w:rPr>
                <w:sz w:val="10"/>
                <w:szCs w:val="10"/>
                <w:color w:val="auto"/>
              </w:rPr>
            </w:pPr>
          </w:p>
        </w:tc>
        <w:tc>
          <w:tcPr>
            <w:tcW w:w="540" w:type="dxa"/>
            <w:vAlign w:val="bottom"/>
            <w:tcBorders>
              <w:bottom w:val="single" w:sz="8" w:color="E5E5E5"/>
            </w:tcBorders>
            <w:shd w:val="clear" w:color="auto" w:fill="E5E5E5"/>
          </w:tcPr>
          <w:p>
            <w:pPr>
              <w:spacing w:after="0"/>
              <w:rPr>
                <w:sz w:val="10"/>
                <w:szCs w:val="10"/>
                <w:color w:val="auto"/>
              </w:rPr>
            </w:pPr>
          </w:p>
        </w:tc>
        <w:tc>
          <w:tcPr>
            <w:tcW w:w="7480" w:type="dxa"/>
            <w:vAlign w:val="bottom"/>
            <w:tcBorders>
              <w:bottom w:val="single" w:sz="8" w:color="E5E5E5"/>
            </w:tcBorders>
          </w:tcPr>
          <w:p>
            <w:pPr>
              <w:spacing w:after="0"/>
              <w:rPr>
                <w:sz w:val="10"/>
                <w:szCs w:val="1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Mr. Frist has served as a director since December 2015. Since April 2019, Mr. Frist has served as Chairman of the Board of Directors of HCA Healthcare, Inc. where he has served as a director since 2006. Mr. Frist is the Founder and Managing Principal of Frist Capital, LLC, an investment firm based in Nashville, Tennessee, which he founded in 2002 that makes long-term equity investments in public and private companies. Prior to that, he was the managing member of FS Partners II, LLC and he worked in principal investments at Rainwater, Inc. from 1992 to 1995. Mr. Frist previously served as a director of Science Applications International Corporation from 2013 until 2017. Mr. Frist holds a B.A. degree from Princeton University and an M.B.A. degree from Harvard Business School.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Mr. Frist’s significant directorship experience provides valuable expertise and perspective to the Board. His directorship experience includes having chaired, and served as a member of, various public company board committees. In addition to his significant experience as a public company director, Mr. Frist provides valuable experience in areas of business administration, finance, and operations, which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65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Jamie S. Gorelick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98"/>
        </w:trPr>
        <w:tc>
          <w:tcPr>
            <w:tcW w:w="30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tc>
        <w:tc>
          <w:tcPr>
            <w:tcW w:w="540" w:type="dxa"/>
            <w:vAlign w:val="bottom"/>
            <w:shd w:val="clear" w:color="auto" w:fill="E5E5E5"/>
          </w:tcPr>
          <w:p>
            <w:pPr>
              <w:spacing w:after="0"/>
              <w:rPr>
                <w:sz w:val="24"/>
                <w:szCs w:val="24"/>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Corporate Governance and Nominating</w:t>
            </w:r>
          </w:p>
        </w:tc>
      </w:tr>
      <w:tr>
        <w:trPr>
          <w:trHeight w:val="123"/>
        </w:trPr>
        <w:tc>
          <w:tcPr>
            <w:tcW w:w="3060" w:type="dxa"/>
            <w:vAlign w:val="bottom"/>
          </w:tcPr>
          <w:p>
            <w:pPr>
              <w:spacing w:after="0"/>
              <w:rPr>
                <w:sz w:val="10"/>
                <w:szCs w:val="10"/>
                <w:color w:val="auto"/>
              </w:rPr>
            </w:pPr>
          </w:p>
        </w:tc>
        <w:tc>
          <w:tcPr>
            <w:tcW w:w="540" w:type="dxa"/>
            <w:vAlign w:val="bottom"/>
            <w:tcBorders>
              <w:bottom w:val="single" w:sz="8" w:color="E5E5E5"/>
            </w:tcBorders>
            <w:shd w:val="clear" w:color="auto" w:fill="E5E5E5"/>
          </w:tcPr>
          <w:p>
            <w:pPr>
              <w:spacing w:after="0"/>
              <w:rPr>
                <w:sz w:val="10"/>
                <w:szCs w:val="10"/>
                <w:color w:val="auto"/>
              </w:rPr>
            </w:pPr>
          </w:p>
        </w:tc>
        <w:tc>
          <w:tcPr>
            <w:tcW w:w="7480" w:type="dxa"/>
            <w:vAlign w:val="bottom"/>
            <w:tcBorders>
              <w:bottom w:val="single" w:sz="8" w:color="E5E5E5"/>
            </w:tcBorders>
          </w:tcPr>
          <w:p>
            <w:pPr>
              <w:spacing w:after="0"/>
              <w:rPr>
                <w:sz w:val="10"/>
                <w:szCs w:val="10"/>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Ms. Gorelick has served as a director since January 2015. Ms. Gorelick has been a partner at Wilmer Cutler Pickering Hale and Dorr LLP, an international law firm, since July 2003. She has held numerous positions in the U.S. government, serving as Deputy Attorney General of the United States, General Counsel of the Department of Defense, Assistant to the Secretary of Energy, and a member of the bipartisan National Commission on Terrorist Threats Upon the United States. Ms. Gorelick has served as a director of Amazon.com, Inc. since February 2012 and currently serves as Lead Independent Director and is a member of its Nominating and Corporate Governance Committee . She previously served as a director of United Technologies Corporation from February 2000 to December 2014 and a director of Schlumberger Limited from April 2002 to June 2010. She holds B.A. and J.D. degrees from Harvard University.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Ms. Gorelick is an experienced attorney with significant expertise in legal, policy, and corporate matters. Ms. Gorelick’s regulatory and policy experience is directly relevant to the Company’s business. She is well-versed in critical infrastructure and national security issues and brings a valuable skill-set and wealth of government experience to the Board. Ms. Gorelick has served on several other corporate boards, a compensation committee and a nominating and corporate governance committee, and served on numerous government boards and commissions. Ms. Gorelick’s experience in both the public and private sectors, combined with her experience in the corporate boardroom, provides her valuable board experience, and she offers a perspective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3220" w:type="dxa"/>
            <w:vAlign w:val="bottom"/>
            <w:shd w:val="clear" w:color="auto" w:fill="E5E5E5"/>
          </w:tcPr>
          <w:p>
            <w:pPr>
              <w:ind w:left="160"/>
              <w:spacing w:after="0"/>
              <w:rPr>
                <w:sz w:val="20"/>
                <w:szCs w:val="20"/>
                <w:color w:val="auto"/>
              </w:rPr>
            </w:pPr>
            <w:r>
              <w:rPr>
                <w:rFonts w:ascii="Arial" w:cs="Arial" w:eastAsia="Arial" w:hAnsi="Arial"/>
                <w:sz w:val="22"/>
                <w:szCs w:val="22"/>
                <w:b w:val="1"/>
                <w:bCs w:val="1"/>
                <w:color w:val="004A98"/>
              </w:rPr>
              <w:t xml:space="preserve">Roger H. Moore </w:t>
            </w:r>
            <w:r>
              <w:rPr>
                <w:rFonts w:ascii="Arial" w:cs="Arial" w:eastAsia="Arial" w:hAnsi="Arial"/>
                <w:sz w:val="16"/>
                <w:szCs w:val="16"/>
                <w:b w:val="1"/>
                <w:bCs w:val="1"/>
                <w:color w:val="000000"/>
              </w:rPr>
              <w:t>IND</w:t>
            </w:r>
          </w:p>
        </w:tc>
        <w:tc>
          <w:tcPr>
            <w:tcW w:w="8020" w:type="dxa"/>
            <w:vAlign w:val="bottom"/>
            <w:shd w:val="clear" w:color="auto" w:fill="E5E5E5"/>
          </w:tcPr>
          <w:p>
            <w:pPr>
              <w:ind w:left="460"/>
              <w:spacing w:after="0"/>
              <w:rPr>
                <w:sz w:val="20"/>
                <w:szCs w:val="20"/>
                <w:color w:val="auto"/>
              </w:rPr>
            </w:pPr>
            <w:r>
              <w:rPr>
                <w:rFonts w:ascii="Arial" w:cs="Arial" w:eastAsia="Arial" w:hAnsi="Arial"/>
                <w:sz w:val="16"/>
                <w:szCs w:val="16"/>
                <w:b w:val="1"/>
                <w:bCs w:val="1"/>
                <w:color w:val="auto"/>
              </w:rPr>
              <w:t>Lead Independent Director</w:t>
            </w:r>
          </w:p>
        </w:tc>
      </w:tr>
      <w:tr>
        <w:trPr>
          <w:trHeight w:val="303"/>
        </w:trPr>
        <w:tc>
          <w:tcPr>
            <w:tcW w:w="32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82</w:t>
            </w:r>
          </w:p>
        </w:tc>
        <w:tc>
          <w:tcPr>
            <w:tcW w:w="8020" w:type="dxa"/>
            <w:vAlign w:val="bottom"/>
            <w:shd w:val="clear" w:color="auto" w:fill="E5E5E5"/>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Corporate Governance and Nominating, Cybersecurity</w:t>
            </w:r>
          </w:p>
        </w:tc>
      </w:tr>
      <w:tr>
        <w:trPr>
          <w:trHeight w:val="143"/>
        </w:trPr>
        <w:tc>
          <w:tcPr>
            <w:tcW w:w="3220" w:type="dxa"/>
            <w:vAlign w:val="bottom"/>
            <w:shd w:val="clear" w:color="auto" w:fill="E5E5E5"/>
          </w:tcPr>
          <w:p>
            <w:pPr>
              <w:spacing w:after="0"/>
              <w:rPr>
                <w:sz w:val="12"/>
                <w:szCs w:val="12"/>
                <w:color w:val="auto"/>
              </w:rPr>
            </w:pPr>
          </w:p>
        </w:tc>
        <w:tc>
          <w:tcPr>
            <w:tcW w:w="8020" w:type="dxa"/>
            <w:vAlign w:val="bottom"/>
            <w:shd w:val="clear" w:color="auto" w:fill="E5E5E5"/>
          </w:tcPr>
          <w:p>
            <w:pPr>
              <w:spacing w:after="0"/>
              <w:rPr>
                <w:sz w:val="12"/>
                <w:szCs w:val="1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Mr. Moore has served as a director since February 2002 and as our Lead Independent Director since February 2022. From December 2007 to May 2009, he served as a consultant assisting our Company in the divestiture of its former Communications Services business. From June 2007 through November 2007, Mr. Moore served as interim Chief Executive Officer and President of Arbinet-thexchange, Inc., a provider of online trading services. He was President and Chief Executive Officer of Illuminet Holdings, Inc., a provider of nationwide network and database services, from December 1995 until December 2001 when it was acquired by our Company. Mr. Moore has served as a director of Consolidated Communications Holdings, Inc. since July 2005 and serves as chair of its Compensation Committee. Mr. Moore holds a B.S. degree in General Science from Virginia Polytechnic Institute and State University.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2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Mr. Moore is a business executive with significant expertise in general management, sales, technology, cybersecurity, and strategic planning in the telecommunications industry. Mr. Moore’s expertise contributes operational knowledge of important</w:t>
      </w:r>
    </w:p>
    <w:p>
      <w:pPr>
        <w:spacing w:after="0" w:line="28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1—Election of Directors</w:t>
      </w:r>
    </w:p>
    <w:p>
      <w:pPr>
        <w:spacing w:after="0" w:line="31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inputs to the Company’s businesses and provides valuable experience in areas of business administration. Mr. Moore also has significant experience, both as a senior executive and as a board member, in joint venture and mergers and acquisition transactions, which is experience that is valuable to the Board. Mr. Moore has experience in military intelligence, including serving two years at the National Security Agency. Mr. Moore has also served on several other boards of directors, including service on the audit, compensation, and corporate governance committees of certain of those boards, providing him with valuable board-level experience. In addition to the several years of business management experience mentioned above, Mr. Moore has international business experience from his time as President of Nortel Japan and as President of AT&amp;T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548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Timothy Tomlinson </w:t>
      </w:r>
      <w:r>
        <w:rPr>
          <w:rFonts w:ascii="Arial" w:cs="Arial" w:eastAsia="Arial" w:hAnsi="Arial"/>
          <w:sz w:val="16"/>
          <w:szCs w:val="16"/>
          <w:b w:val="1"/>
          <w:bCs w:val="1"/>
          <w:color w:val="000000"/>
        </w:rPr>
        <w:t>IND</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38"/>
        </w:trPr>
        <w:tc>
          <w:tcPr>
            <w:tcW w:w="3060" w:type="dxa"/>
            <w:vAlign w:val="bottom"/>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74</w:t>
            </w:r>
          </w:p>
        </w:tc>
        <w:tc>
          <w:tcPr>
            <w:tcW w:w="540" w:type="dxa"/>
            <w:vAlign w:val="bottom"/>
            <w:shd w:val="clear" w:color="auto" w:fill="E5E5E5"/>
          </w:tcPr>
          <w:p>
            <w:pPr>
              <w:spacing w:after="0"/>
              <w:rPr>
                <w:sz w:val="24"/>
                <w:szCs w:val="24"/>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(Chair), Compensation, Corporate Governance and Nominating, Cybersecurity</w:t>
            </w:r>
          </w:p>
        </w:tc>
      </w:tr>
      <w:tr>
        <w:trPr>
          <w:trHeight w:val="55"/>
        </w:trPr>
        <w:tc>
          <w:tcPr>
            <w:tcW w:w="3060" w:type="dxa"/>
            <w:vAlign w:val="bottom"/>
          </w:tcPr>
          <w:p>
            <w:pPr>
              <w:spacing w:after="0"/>
              <w:rPr>
                <w:sz w:val="4"/>
                <w:szCs w:val="4"/>
                <w:color w:val="auto"/>
              </w:rPr>
            </w:pPr>
          </w:p>
        </w:tc>
        <w:tc>
          <w:tcPr>
            <w:tcW w:w="540" w:type="dxa"/>
            <w:vAlign w:val="bottom"/>
            <w:tcBorders>
              <w:bottom w:val="single" w:sz="8" w:color="E5E5E5"/>
            </w:tcBorders>
            <w:shd w:val="clear" w:color="auto" w:fill="E5E5E5"/>
          </w:tcPr>
          <w:p>
            <w:pPr>
              <w:spacing w:after="0"/>
              <w:rPr>
                <w:sz w:val="4"/>
                <w:szCs w:val="4"/>
                <w:color w:val="auto"/>
              </w:rPr>
            </w:pPr>
          </w:p>
        </w:tc>
        <w:tc>
          <w:tcPr>
            <w:tcW w:w="7480" w:type="dxa"/>
            <w:vAlign w:val="bottom"/>
            <w:tcBorders>
              <w:bottom w:val="single" w:sz="8" w:color="E5E5E5"/>
            </w:tcBorders>
          </w:tcPr>
          <w:p>
            <w:pPr>
              <w:spacing w:after="0"/>
              <w:rPr>
                <w:sz w:val="4"/>
                <w:szCs w:val="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Mr. Tomlinson has served as a director from the Company’s founding in 1995 until 2002, and again since his reappointment in November 2007. From May 2011 through December 2013, Mr. Tomlinson was a corporate lawyer employed as General Counsel of Portola Minerals Company, a producer and seller of limestone products. From May 2007 through May 2011, Mr. Tomlinson was employed as Of Counsel by the law firm Greenberg Traurig, LLP. Mr. Tomlinson was the founder and a named partner of Tomlinson Zisko LLP and practiced with this Silicon Valley law firm from 1983 until its acquisition by Greenberg Traurig, LLP in May 2007. He served as managing partner of Tomlinson Zisko LLP for multiple terms. While at Tomlinson Zisko LLP, Mr. Tomlinson and his firm served as the licensing counsel to RSA Data Security, Inc. and the Company for a wide variety of cryptographic and related cybersecurity products. Mr. Tomlinson holds a B.A. degree in Economics, a Ph.D. degree in History, an M.B.A., and a J.D. degree from Stanford University.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Mr. Tomlinson has significant expertise in corporate matters including finance and mergers and acquisitions and has represented clients in the technology industry for more than thirty years. Mr. Tomlinson’s long-term service on our Board has provided him with valuable insight and institutional knowledge of the Company’s history and development. Mr. Tomlinson’s financial and accounting skills qualify him as an audit committee financial expert. He has extensive experience in corporate governance, both as a lawyer advising clients, and through serving on our Audit, Compensation, and Corporate Governance and Nominating Committees, as well as the audit, compensation, and governance committees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Corporate Governance</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Overview</w:t>
      </w:r>
    </w:p>
    <w:p>
      <w:pPr>
        <w:spacing w:after="0" w:line="1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business is conducted by our employees, managers and officers, under the direction of our Chief Executive Officer and the oversight of the Board, to enhance the long-term value of our Company for our stockholders. Key corporate governance documents that guide our corporate governance structure and processes, including our Corporate Governance Principles and the charters of the Board’s committees, are available on our Investor Relations website at https://investor.verisign.com/corporate-governance.</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Board Structure and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Board regularly considers the appropriate leadership structure for the Board. Currently, the Company’s eight-member Board is led by Chairman D. James Bidzos. Mr. Bidzos is also an officer of the Company, serving as its Executive Chairman, President and Chief Executive Officer. The independent directors of the Board have appointed Roger Moore as Lead Independent Director. The Lead Independent Director: (i) presides at all meetings of the Board at which the Chairman of the Board is not present, including executive sessions of the independent directors; (ii) serves as liaison between the Chairman of the Board and the independent directors; (iii) works with the Chairman of the Board to facilitate timely and appropriate information flow to the Board; (iv) reviews and approves agendas and schedules for meetings of the Board; (v) exercises such other powers and duties as from time to time may be assigned to him or her by the Board; and (vi) meets with significant stockholders, as appropriate. In addition, the Lead Independent Director has the authority to call meetings and executive sessions of the independent directors.</w:t>
      </w:r>
    </w:p>
    <w:p>
      <w:pPr>
        <w:spacing w:after="0" w:line="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has determined that its current leadership structure represents an appropriate structure for the Board. In particular, this structure capitalizes on the expertise and experience of Messrs. Bidzos and Moore due to their service to the Board. The structure permits Mr. Bidzos to engage in the operations of the Company in a more in-depth way as Executive Chairman and Chief Executive Officer. Lastly, the structure promotes Board independence from Management by permitting the Lead Independent Director to call and chair meetings and executive sessions of the independent directors separate and apart from the Chairman of the Board.</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Board has concluded that the Company and its stockholders are best served by not having a formal policy on whether the same individual should serve as both Chief Executive Officer and Chairman of the Board. This flexibility allows the Board to utilize its considerable experience and knowledge to elect the most appropriate director as Chairman, while maintaining the ability to separate the Chairman of the Board and Chief Executive Officer roles when necessary. This determination is made according to what the Board believes is best to provide appropriate leadership for the Board at such time.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Responsibilities of Chairman of the Board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302" w:lineRule="exact"/>
        <w:rPr>
          <w:sz w:val="20"/>
          <w:szCs w:val="20"/>
          <w:color w:val="auto"/>
        </w:rPr>
      </w:pPr>
    </w:p>
    <w:p>
      <w:pPr>
        <w:ind w:left="20" w:right="260"/>
        <w:spacing w:after="0" w:line="268" w:lineRule="auto"/>
        <w:rPr>
          <w:sz w:val="20"/>
          <w:szCs w:val="20"/>
          <w:color w:val="auto"/>
        </w:rPr>
      </w:pPr>
      <w:r>
        <w:rPr>
          <w:rFonts w:ascii="Arial" w:cs="Arial" w:eastAsia="Arial" w:hAnsi="Arial"/>
          <w:sz w:val="16"/>
          <w:szCs w:val="16"/>
          <w:color w:val="004A98"/>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1328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line="257" w:lineRule="auto"/>
        <w:rPr>
          <w:sz w:val="20"/>
          <w:szCs w:val="20"/>
          <w:color w:val="auto"/>
        </w:rPr>
      </w:pPr>
      <w:r>
        <w:rPr>
          <w:rFonts w:ascii="Arial" w:cs="Arial" w:eastAsia="Arial" w:hAnsi="Arial"/>
          <w:sz w:val="16"/>
          <w:szCs w:val="16"/>
          <w:color w:val="004A98"/>
        </w:rPr>
        <w:t>RESPONSIBILITIES OF LEAD INDEPENDENT DIRECTOR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Presides at meetings of the Board, and, unless another person is designated,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69850</wp:posOffset>
            </wp:positionV>
            <wp:extent cx="5657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Oversees the management, development and functioning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Plans and organizes the schedule of board meetings and establishes the agendas for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61595</wp:posOffset>
            </wp:positionV>
            <wp:extent cx="5657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9" w:lineRule="exact"/>
        <w:rPr>
          <w:sz w:val="20"/>
          <w:szCs w:val="20"/>
          <w:color w:val="auto"/>
        </w:rPr>
      </w:pPr>
    </w:p>
    <w:p>
      <w:pPr>
        <w:ind w:left="280" w:right="820"/>
        <w:spacing w:after="0" w:line="268" w:lineRule="auto"/>
        <w:rPr>
          <w:sz w:val="20"/>
          <w:szCs w:val="20"/>
          <w:color w:val="auto"/>
        </w:rPr>
      </w:pPr>
      <w:r>
        <w:rPr>
          <w:rFonts w:ascii="Arial" w:cs="Arial" w:eastAsia="Arial" w:hAnsi="Arial"/>
          <w:sz w:val="16"/>
          <w:szCs w:val="16"/>
          <w:color w:val="auto"/>
        </w:rPr>
        <w:t>Presides at meetings of the Board at which the Chairman is not present, including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5080</wp:posOffset>
            </wp:positionV>
            <wp:extent cx="56578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12890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714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8905"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Serves as a liaison between the Chairman and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61595</wp:posOffset>
            </wp:positionV>
            <wp:extent cx="5657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Works with the Chairman to facilitate timely and appropriate information flow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Authorized to call meetings and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Meets with significant stockholders,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Approves agendas and schedules for meetings of the board to ensure there is sufficient time for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1780" w:space="640"/>
            <w:col w:w="8800"/>
          </w:cols>
          <w:pgMar w:left="320" w:top="122" w:right="359" w:bottom="1440" w:gutter="0" w:footer="0" w:header="0"/>
          <w:type w:val="continuous"/>
        </w:sectPr>
      </w:pPr>
    </w:p>
    <w:p>
      <w:pPr>
        <w:ind w:left="2700" w:right="440"/>
        <w:spacing w:after="0" w:line="268" w:lineRule="auto"/>
        <w:rPr>
          <w:sz w:val="20"/>
          <w:szCs w:val="20"/>
          <w:color w:val="auto"/>
        </w:rPr>
      </w:pPr>
      <w:r>
        <w:rPr>
          <w:rFonts w:ascii="Arial" w:cs="Arial" w:eastAsia="Arial" w:hAnsi="Arial"/>
          <w:sz w:val="16"/>
          <w:szCs w:val="16"/>
          <w:color w:val="auto"/>
        </w:rPr>
        <w:t>Solicits comments and feedback from each director on the operation of the Board and its committees for areas of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5080</wp:posOffset>
            </wp:positionV>
            <wp:extent cx="56578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-242570</wp:posOffset>
            </wp:positionV>
            <wp:extent cx="12890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71450"/>
                    </a:xfrm>
                    <a:prstGeom prst="rect">
                      <a:avLst/>
                    </a:prstGeom>
                    <a:noFill/>
                  </pic:spPr>
                </pic:pic>
              </a:graphicData>
            </a:graphic>
          </wp:anchor>
        </w:drawing>
      </w:r>
    </w:p>
    <w:p>
      <w:pPr>
        <w:spacing w:after="0" w:line="30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2700" w:val="left"/>
        </w:tabs>
        <w:rPr>
          <w:sz w:val="20"/>
          <w:szCs w:val="20"/>
          <w:color w:val="auto"/>
        </w:rPr>
      </w:pPr>
      <w:r>
        <w:rPr>
          <w:rFonts w:ascii="Arial" w:cs="Arial" w:eastAsia="Arial" w:hAnsi="Arial"/>
          <w:sz w:val="16"/>
          <w:szCs w:val="16"/>
          <w:b w:val="1"/>
          <w:bCs w:val="1"/>
          <w:color w:val="004A98"/>
        </w:rPr>
        <w:t>Members</w:t>
      </w:r>
      <w:r>
        <w:rPr>
          <w:sz w:val="20"/>
          <w:szCs w:val="20"/>
          <w:color w:val="auto"/>
        </w:rPr>
        <w:tab/>
      </w:r>
      <w:r>
        <w:rPr>
          <w:rFonts w:ascii="Arial" w:cs="Arial" w:eastAsia="Arial" w:hAnsi="Arial"/>
          <w:sz w:val="16"/>
          <w:szCs w:val="16"/>
          <w:b w:val="1"/>
          <w:bCs w:val="1"/>
          <w:color w:val="004A98"/>
        </w:rPr>
        <w:t>Principal Responsibilities</w:t>
      </w:r>
    </w:p>
    <w:p>
      <w:pPr>
        <w:sectPr>
          <w:pgSz w:w="11900" w:h="16838" w:orient="portrait"/>
          <w:cols w:equalWidth="0" w:num="1">
            <w:col w:w="11200"/>
          </w:cols>
          <w:pgMar w:left="320" w:top="122" w:right="37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(Chairperson)</w:t>
      </w:r>
    </w:p>
    <w:p>
      <w:pPr>
        <w:spacing w:after="0" w:line="9" w:lineRule="exact"/>
        <w:rPr>
          <w:sz w:val="20"/>
          <w:szCs w:val="20"/>
          <w:color w:val="auto"/>
        </w:rPr>
      </w:pPr>
    </w:p>
    <w:p>
      <w:pPr>
        <w:ind w:left="20" w:right="312"/>
        <w:spacing w:after="0" w:line="283" w:lineRule="auto"/>
        <w:rPr>
          <w:sz w:val="20"/>
          <w:szCs w:val="20"/>
          <w:color w:val="auto"/>
        </w:rPr>
      </w:pPr>
      <w:r>
        <w:rPr>
          <w:rFonts w:ascii="Arial" w:cs="Arial" w:eastAsia="Arial" w:hAnsi="Arial"/>
          <w:sz w:val="16"/>
          <w:szCs w:val="16"/>
          <w:color w:val="auto"/>
        </w:rPr>
        <w:t>Courtney D. Armstrong Kathleen A. Cote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2023: </w:t>
      </w:r>
      <w:r>
        <w:rPr>
          <w:rFonts w:ascii="Arial" w:cs="Arial" w:eastAsia="Arial" w:hAnsi="Arial"/>
          <w:sz w:val="16"/>
          <w:szCs w:val="16"/>
          <w:b w:val="1"/>
          <w:bCs w:val="1"/>
          <w:color w:val="000000"/>
        </w:rPr>
        <w:t>5</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Board has established an Audit Committee to:</w:t>
      </w:r>
    </w:p>
    <w:p>
      <w:pPr>
        <w:spacing w:after="0" w:line="86" w:lineRule="exact"/>
        <w:rPr>
          <w:sz w:val="20"/>
          <w:szCs w:val="20"/>
          <w:color w:val="auto"/>
        </w:rPr>
      </w:pPr>
    </w:p>
    <w:p>
      <w:pPr>
        <w:ind w:left="188" w:right="160" w:hanging="188"/>
        <w:spacing w:after="0" w:line="265" w:lineRule="auto"/>
        <w:tabs>
          <w:tab w:leader="none" w:pos="158" w:val="left"/>
        </w:tabs>
        <w:numPr>
          <w:ilvl w:val="0"/>
          <w:numId w:val="16"/>
        </w:numPr>
        <w:rPr>
          <w:rFonts w:ascii="Arial" w:cs="Arial" w:eastAsia="Arial" w:hAnsi="Arial"/>
          <w:sz w:val="16"/>
          <w:szCs w:val="16"/>
          <w:color w:val="004A98"/>
        </w:rPr>
      </w:pPr>
      <w:r>
        <w:rPr>
          <w:rFonts w:ascii="Arial" w:cs="Arial" w:eastAsia="Arial" w:hAnsi="Arial"/>
          <w:sz w:val="16"/>
          <w:szCs w:val="16"/>
          <w:color w:val="auto"/>
        </w:rPr>
        <w:t>oversee the accounting and financial reporting processes at the Company, internal control over financial reporting, audits of the Company’s financial statements, the qualifications of the Company’s independent registered public accounting firm, and the performance of the Company’s internal audit department and the independent registered public accounting firm;</w:t>
      </w:r>
    </w:p>
    <w:p>
      <w:pPr>
        <w:spacing w:after="0" w:line="37" w:lineRule="exact"/>
        <w:rPr>
          <w:rFonts w:ascii="Arial" w:cs="Arial" w:eastAsia="Arial" w:hAnsi="Arial"/>
          <w:sz w:val="16"/>
          <w:szCs w:val="16"/>
          <w:color w:val="004A98"/>
        </w:rPr>
      </w:pPr>
    </w:p>
    <w:p>
      <w:pPr>
        <w:ind w:left="188" w:right="740" w:hanging="188"/>
        <w:spacing w:after="0" w:line="286" w:lineRule="auto"/>
        <w:tabs>
          <w:tab w:leader="none" w:pos="158" w:val="left"/>
        </w:tabs>
        <w:numPr>
          <w:ilvl w:val="0"/>
          <w:numId w:val="16"/>
        </w:numPr>
        <w:rPr>
          <w:rFonts w:ascii="Arial" w:cs="Arial" w:eastAsia="Arial" w:hAnsi="Arial"/>
          <w:sz w:val="16"/>
          <w:szCs w:val="16"/>
          <w:color w:val="004A98"/>
        </w:rPr>
      </w:pPr>
      <w:r>
        <w:rPr>
          <w:rFonts w:ascii="Arial" w:cs="Arial" w:eastAsia="Arial" w:hAnsi="Arial"/>
          <w:sz w:val="16"/>
          <w:szCs w:val="16"/>
          <w:color w:val="auto"/>
        </w:rPr>
        <w:t>be responsible for the appointment (subject to stockholder ratification), compensation, and retention of the independent registered public accounting firm, which reports directly to the Audit Committee;</w:t>
      </w:r>
    </w:p>
    <w:p>
      <w:pPr>
        <w:spacing w:after="0" w:line="20" w:lineRule="exact"/>
        <w:rPr>
          <w:rFonts w:ascii="Arial" w:cs="Arial" w:eastAsia="Arial" w:hAnsi="Arial"/>
          <w:sz w:val="16"/>
          <w:szCs w:val="16"/>
          <w:color w:val="004A98"/>
        </w:rPr>
      </w:pPr>
    </w:p>
    <w:p>
      <w:pPr>
        <w:ind w:left="188" w:hanging="188"/>
        <w:spacing w:after="0" w:line="299" w:lineRule="auto"/>
        <w:tabs>
          <w:tab w:leader="none" w:pos="158" w:val="left"/>
        </w:tabs>
        <w:numPr>
          <w:ilvl w:val="0"/>
          <w:numId w:val="16"/>
        </w:numPr>
        <w:rPr>
          <w:rFonts w:ascii="Arial" w:cs="Arial" w:eastAsia="Arial" w:hAnsi="Arial"/>
          <w:sz w:val="16"/>
          <w:szCs w:val="16"/>
          <w:color w:val="004A98"/>
        </w:rPr>
      </w:pPr>
      <w:r>
        <w:rPr>
          <w:rFonts w:ascii="Arial" w:cs="Arial" w:eastAsia="Arial" w:hAnsi="Arial"/>
          <w:sz w:val="16"/>
          <w:szCs w:val="16"/>
          <w:color w:val="auto"/>
        </w:rPr>
        <w:t>oversee the Company’s processes to manage business and financial risk, and compliance with significant applicable legal and regulatory requirements; and</w:t>
      </w:r>
    </w:p>
    <w:p>
      <w:pPr>
        <w:ind w:left="168" w:hanging="168"/>
        <w:spacing w:after="0"/>
        <w:tabs>
          <w:tab w:leader="none" w:pos="168" w:val="left"/>
        </w:tabs>
        <w:numPr>
          <w:ilvl w:val="0"/>
          <w:numId w:val="16"/>
        </w:numPr>
        <w:rPr>
          <w:rFonts w:ascii="Arial" w:cs="Arial" w:eastAsia="Arial" w:hAnsi="Arial"/>
          <w:sz w:val="16"/>
          <w:szCs w:val="16"/>
          <w:color w:val="004A98"/>
        </w:rPr>
      </w:pPr>
      <w:r>
        <w:rPr>
          <w:rFonts w:ascii="Arial" w:cs="Arial" w:eastAsia="Arial" w:hAnsi="Arial"/>
          <w:sz w:val="16"/>
          <w:szCs w:val="16"/>
          <w:color w:val="auto"/>
        </w:rPr>
        <w:t>oversee the Company’s ethics and compliance program.</w:t>
      </w:r>
    </w:p>
    <w:p>
      <w:pPr>
        <w:spacing w:after="0" w:line="127" w:lineRule="exact"/>
        <w:rPr>
          <w:sz w:val="20"/>
          <w:szCs w:val="20"/>
          <w:color w:val="auto"/>
        </w:rPr>
      </w:pPr>
    </w:p>
    <w:p>
      <w:pPr>
        <w:sectPr>
          <w:pgSz w:w="11900" w:h="16838" w:orient="portrait"/>
          <w:cols w:equalWidth="0" w:num="2">
            <w:col w:w="1992" w:space="720"/>
            <w:col w:w="8488"/>
          </w:cols>
          <w:pgMar w:left="320" w:top="122" w:right="379" w:bottom="1440" w:gutter="0" w:footer="0" w:header="0"/>
          <w:type w:val="continuous"/>
        </w:sect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2720" w:right="60"/>
        <w:spacing w:after="0" w:line="255" w:lineRule="auto"/>
        <w:rPr>
          <w:sz w:val="20"/>
          <w:szCs w:val="20"/>
          <w:color w:val="auto"/>
        </w:rPr>
      </w:pPr>
      <w:r>
        <w:rPr>
          <w:rFonts w:ascii="Arial" w:cs="Arial" w:eastAsia="Arial" w:hAnsi="Arial"/>
          <w:sz w:val="16"/>
          <w:szCs w:val="16"/>
          <w:color w:val="auto"/>
        </w:rPr>
        <w:t>Each member of the Audit Committee meets the independence criteria of The Nasdaq Stock Market’s and the SEC’s rules. Each Audit Committee member meets The Nasdaq Stock Market’s financial knowledge requirements, and the Board has determined that the Audit Committee has at least one member who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as required by Rule 5605(c)</w:t>
      </w:r>
    </w:p>
    <w:p>
      <w:pPr>
        <w:spacing w:after="0" w:line="4" w:lineRule="exact"/>
        <w:rPr>
          <w:sz w:val="20"/>
          <w:szCs w:val="20"/>
          <w:color w:val="auto"/>
        </w:rPr>
      </w:pPr>
    </w:p>
    <w:p>
      <w:pPr>
        <w:ind w:left="2720" w:right="320" w:hanging="8"/>
        <w:spacing w:after="0" w:line="283" w:lineRule="auto"/>
        <w:tabs>
          <w:tab w:leader="none" w:pos="29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The Nasdaq Stock Market. Our Board has determined that each member of the Audit Committee is an “audit committee financial expert” as such term is defined in Item 407(d)(5) of Regulation S-K.</w:t>
      </w:r>
    </w:p>
    <w:p>
      <w:pPr>
        <w:spacing w:after="0" w:line="50"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73" w:lineRule="exact"/>
        <w:rPr>
          <w:sz w:val="20"/>
          <w:szCs w:val="20"/>
          <w:color w:val="auto"/>
        </w:rPr>
      </w:pPr>
    </w:p>
    <w:p>
      <w:pPr>
        <w:jc w:val="both"/>
        <w:ind w:left="2720" w:right="420"/>
        <w:spacing w:after="0" w:line="266" w:lineRule="auto"/>
        <w:rPr>
          <w:sz w:val="20"/>
          <w:szCs w:val="20"/>
          <w:color w:val="auto"/>
        </w:rPr>
      </w:pPr>
      <w:r>
        <w:rPr>
          <w:rFonts w:ascii="Arial" w:cs="Arial" w:eastAsia="Arial" w:hAnsi="Arial"/>
          <w:sz w:val="16"/>
          <w:szCs w:val="16"/>
          <w:color w:val="auto"/>
        </w:rPr>
        <w:t>The Audit Committee operates pursuant to a written charter, which complies with the applicable provisions of the Sarbanes-Oxley Act of 2002 and related rules of the SEC and The Nasdaq Stock Market. The Audit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ind w:left="9600"/>
        <w:spacing w:after="0"/>
        <w:rPr>
          <w:sz w:val="20"/>
          <w:szCs w:val="20"/>
          <w:color w:val="auto"/>
        </w:rPr>
      </w:pPr>
      <w:r>
        <w:rPr>
          <w:rFonts w:ascii="Arial" w:cs="Arial" w:eastAsia="Arial" w:hAnsi="Arial"/>
          <w:sz w:val="16"/>
          <w:szCs w:val="16"/>
          <w:color w:val="004A98"/>
        </w:rPr>
        <w:t>Corporate Governance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870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Thomas F. Frist III (Chairperson)</w:t>
            </w:r>
          </w:p>
        </w:tc>
        <w:tc>
          <w:tcPr>
            <w:tcW w:w="8700" w:type="dxa"/>
            <w:vAlign w:val="bottom"/>
            <w:vMerge w:val="restart"/>
          </w:tcPr>
          <w:p>
            <w:pPr>
              <w:ind w:left="180"/>
              <w:spacing w:after="0"/>
              <w:rPr>
                <w:sz w:val="20"/>
                <w:szCs w:val="20"/>
                <w:color w:val="auto"/>
              </w:rPr>
            </w:pPr>
            <w:r>
              <w:rPr>
                <w:rFonts w:ascii="Arial" w:cs="Arial" w:eastAsia="Arial" w:hAnsi="Arial"/>
                <w:sz w:val="16"/>
                <w:szCs w:val="16"/>
                <w:color w:val="auto"/>
              </w:rPr>
              <w:t>The Board has established a Compensation Committee to:</w:t>
            </w:r>
          </w:p>
        </w:tc>
        <w:tc>
          <w:tcPr>
            <w:tcW w:w="0" w:type="dxa"/>
            <w:vAlign w:val="bottom"/>
          </w:tcPr>
          <w:p>
            <w:pPr>
              <w:spacing w:after="0"/>
              <w:rPr>
                <w:sz w:val="1"/>
                <w:szCs w:val="1"/>
                <w:color w:val="auto"/>
              </w:rPr>
            </w:pPr>
          </w:p>
        </w:tc>
      </w:tr>
      <w:tr>
        <w:trPr>
          <w:trHeight w:val="134"/>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Courtney D. Armstrong</w:t>
            </w:r>
          </w:p>
        </w:tc>
        <w:tc>
          <w:tcPr>
            <w:tcW w:w="8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540" w:type="dxa"/>
            <w:vAlign w:val="bottom"/>
            <w:vMerge w:val="continue"/>
          </w:tcPr>
          <w:p>
            <w:pPr>
              <w:spacing w:after="0"/>
              <w:rPr>
                <w:sz w:val="6"/>
                <w:szCs w:val="6"/>
                <w:color w:val="auto"/>
              </w:rPr>
            </w:pPr>
          </w:p>
        </w:tc>
        <w:tc>
          <w:tcPr>
            <w:tcW w:w="8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color w:val="auto"/>
        </w:rPr>
        <w:t>Jamie S. Gorelick</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2023: </w:t>
      </w:r>
      <w:r>
        <w:rPr>
          <w:rFonts w:ascii="Arial" w:cs="Arial" w:eastAsia="Arial" w:hAnsi="Arial"/>
          <w:sz w:val="16"/>
          <w:szCs w:val="16"/>
          <w:b w:val="1"/>
          <w:bCs w:val="1"/>
          <w:color w:val="000000"/>
        </w:rPr>
        <w:t>5</w:t>
      </w:r>
    </w:p>
    <w:p>
      <w:pPr>
        <w:spacing w:after="0" w:line="20" w:lineRule="exact"/>
        <w:rPr>
          <w:sz w:val="20"/>
          <w:szCs w:val="20"/>
          <w:color w:val="auto"/>
        </w:rPr>
      </w:pPr>
      <w:r>
        <w:rPr>
          <w:sz w:val="20"/>
          <w:szCs w:val="20"/>
          <w:color w:val="auto"/>
        </w:rPr>
        <w:br w:type="column"/>
      </w:r>
    </w:p>
    <w:p>
      <w:pPr>
        <w:ind w:left="188" w:right="420" w:hanging="188"/>
        <w:spacing w:after="0" w:line="265" w:lineRule="auto"/>
        <w:tabs>
          <w:tab w:leader="none" w:pos="15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discharge the Board’s responsibilities with respect to all forms of compensation of the Company’s directors and employees, including executive officers;</w:t>
      </w:r>
    </w:p>
    <w:p>
      <w:pPr>
        <w:spacing w:after="0" w:line="36" w:lineRule="exact"/>
        <w:rPr>
          <w:rFonts w:ascii="Arial" w:cs="Arial" w:eastAsia="Arial" w:hAnsi="Arial"/>
          <w:sz w:val="16"/>
          <w:szCs w:val="16"/>
          <w:color w:val="004A98"/>
        </w:rPr>
      </w:pPr>
    </w:p>
    <w:p>
      <w:pPr>
        <w:ind w:left="168" w:hanging="168"/>
        <w:spacing w:after="0"/>
        <w:tabs>
          <w:tab w:leader="none" w:pos="16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administer the Company’s equity incentive plans;</w:t>
      </w:r>
    </w:p>
    <w:p>
      <w:pPr>
        <w:spacing w:after="0" w:line="86" w:lineRule="exact"/>
        <w:rPr>
          <w:rFonts w:ascii="Arial" w:cs="Arial" w:eastAsia="Arial" w:hAnsi="Arial"/>
          <w:sz w:val="16"/>
          <w:szCs w:val="16"/>
          <w:color w:val="004A98"/>
        </w:rPr>
      </w:pPr>
    </w:p>
    <w:p>
      <w:pPr>
        <w:ind w:left="188" w:right="80" w:hanging="188"/>
        <w:spacing w:after="0" w:line="286" w:lineRule="auto"/>
        <w:tabs>
          <w:tab w:leader="none" w:pos="15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oversee the Company’s overall compensation philosophy and approve and evaluate executive officer compensation arrangements, plans, policies, and programs;</w:t>
      </w:r>
    </w:p>
    <w:p>
      <w:pPr>
        <w:spacing w:after="0" w:line="20" w:lineRule="exact"/>
        <w:rPr>
          <w:rFonts w:ascii="Arial" w:cs="Arial" w:eastAsia="Arial" w:hAnsi="Arial"/>
          <w:sz w:val="16"/>
          <w:szCs w:val="16"/>
          <w:color w:val="004A98"/>
        </w:rPr>
      </w:pPr>
    </w:p>
    <w:p>
      <w:pPr>
        <w:ind w:left="168" w:hanging="168"/>
        <w:spacing w:after="0"/>
        <w:tabs>
          <w:tab w:leader="none" w:pos="16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oversee the Company’s diversity, equity and inclusion initiatives and employee health and safety matters; and</w:t>
      </w:r>
    </w:p>
    <w:p>
      <w:pPr>
        <w:spacing w:after="0" w:line="72" w:lineRule="exact"/>
        <w:rPr>
          <w:rFonts w:ascii="Arial" w:cs="Arial" w:eastAsia="Arial" w:hAnsi="Arial"/>
          <w:sz w:val="16"/>
          <w:szCs w:val="16"/>
          <w:color w:val="004A98"/>
        </w:rPr>
      </w:pPr>
    </w:p>
    <w:p>
      <w:pPr>
        <w:jc w:val="both"/>
        <w:ind w:left="188" w:right="200" w:hanging="188"/>
        <w:spacing w:after="0" w:line="275" w:lineRule="auto"/>
        <w:tabs>
          <w:tab w:leader="none" w:pos="158" w:val="left"/>
        </w:tabs>
        <w:numPr>
          <w:ilvl w:val="0"/>
          <w:numId w:val="18"/>
        </w:numPr>
        <w:rPr>
          <w:rFonts w:ascii="Arial" w:cs="Arial" w:eastAsia="Arial" w:hAnsi="Arial"/>
          <w:sz w:val="16"/>
          <w:szCs w:val="16"/>
          <w:color w:val="234B96"/>
        </w:rPr>
      </w:pPr>
      <w:r>
        <w:rPr>
          <w:rFonts w:ascii="Arial" w:cs="Arial" w:eastAsia="Arial" w:hAnsi="Arial"/>
          <w:sz w:val="16"/>
          <w:szCs w:val="16"/>
          <w:color w:val="auto"/>
        </w:rPr>
        <w:t>oversee the Company’s human capital matters, including a review of various workforce metrics, such as employee engagement, workforce demographics, hiring, turnover, and promotion rates, including diversity characteristics for each metric.</w:t>
      </w:r>
    </w:p>
    <w:p>
      <w:pPr>
        <w:spacing w:after="0" w:line="7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8" w:right="140"/>
        <w:spacing w:after="0" w:line="275" w:lineRule="auto"/>
        <w:rPr>
          <w:sz w:val="20"/>
          <w:szCs w:val="20"/>
          <w:color w:val="auto"/>
        </w:rPr>
      </w:pPr>
      <w:r>
        <w:rPr>
          <w:rFonts w:ascii="Arial" w:cs="Arial" w:eastAsia="Arial" w:hAnsi="Arial"/>
          <w:sz w:val="16"/>
          <w:szCs w:val="16"/>
          <w:color w:val="auto"/>
        </w:rPr>
        <w:t>Each Compensation Committee member has been determined to be an “independent director” under the rules of The Nasdaq Stock Market for compensation committee members and a “non-employee director” pursuant to Rule 16b-3 promulgated under Section 16 of the Securities Exchange Act of 1934, as amended (the “Exchange Act”).</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4A98"/>
        </w:rPr>
        <w:t>Charter</w:t>
      </w:r>
    </w:p>
    <w:p>
      <w:pPr>
        <w:spacing w:after="0" w:line="73" w:lineRule="exact"/>
        <w:rPr>
          <w:sz w:val="20"/>
          <w:szCs w:val="20"/>
          <w:color w:val="auto"/>
        </w:rPr>
      </w:pPr>
    </w:p>
    <w:p>
      <w:pPr>
        <w:ind w:left="8" w:right="480"/>
        <w:spacing w:after="0" w:line="286" w:lineRule="auto"/>
        <w:rPr>
          <w:sz w:val="20"/>
          <w:szCs w:val="20"/>
          <w:color w:val="auto"/>
        </w:rPr>
      </w:pPr>
      <w:r>
        <w:rPr>
          <w:rFonts w:ascii="Arial" w:cs="Arial" w:eastAsia="Arial" w:hAnsi="Arial"/>
          <w:sz w:val="16"/>
          <w:szCs w:val="16"/>
          <w:color w:val="auto"/>
        </w:rPr>
        <w:t>The Compensation Committee operates pursuant to a written charter. The Compensation Committee’s charter is available on our Investor Relations website at https://investor.verisign.com/corporate-governance.</w:t>
      </w:r>
    </w:p>
    <w:p>
      <w:pPr>
        <w:spacing w:after="0" w:line="48" w:lineRule="exact"/>
        <w:rPr>
          <w:sz w:val="20"/>
          <w:szCs w:val="20"/>
          <w:color w:val="auto"/>
        </w:rPr>
      </w:pPr>
    </w:p>
    <w:p>
      <w:pPr>
        <w:ind w:left="8" w:right="240"/>
        <w:spacing w:after="0" w:line="275" w:lineRule="auto"/>
        <w:rPr>
          <w:sz w:val="20"/>
          <w:szCs w:val="20"/>
          <w:color w:val="auto"/>
        </w:rPr>
      </w:pPr>
      <w:r>
        <w:rPr>
          <w:rFonts w:ascii="Arial" w:cs="Arial" w:eastAsia="Arial" w:hAnsi="Arial"/>
          <w:sz w:val="16"/>
          <w:szCs w:val="16"/>
          <w:color w:val="auto"/>
        </w:rPr>
        <w:t>For further information regarding the role of management and the independent compensation consultant in setting executive compensation, see “Executive Compensation—Compensation Discussion and Analysis”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95885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92" w:space="720"/>
            <w:col w:w="8528"/>
          </w:cols>
          <w:pgMar w:left="320" w:top="121" w:right="339" w:bottom="1440" w:gutter="0" w:footer="0" w:header="0"/>
          <w:type w:val="continuous"/>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GOVERNANCE AND NOMINATING COMMITTEE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9260" w:type="dxa"/>
            <w:vAlign w:val="bottom"/>
            <w:tcBorders>
              <w:top w:val="single" w:sz="8" w:color="auto"/>
            </w:tcBorders>
          </w:tcPr>
          <w:p>
            <w:pPr>
              <w:ind w:left="74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Arial" w:cs="Arial" w:eastAsia="Arial" w:hAnsi="Arial"/>
                <w:sz w:val="16"/>
                <w:szCs w:val="16"/>
                <w:color w:val="auto"/>
              </w:rPr>
              <w:t>Kathleen A. Cote</w:t>
            </w:r>
          </w:p>
        </w:tc>
        <w:tc>
          <w:tcPr>
            <w:tcW w:w="9260" w:type="dxa"/>
            <w:vAlign w:val="bottom"/>
            <w:vMerge w:val="restart"/>
          </w:tcPr>
          <w:p>
            <w:pPr>
              <w:ind w:left="740"/>
              <w:spacing w:after="0"/>
              <w:rPr>
                <w:sz w:val="20"/>
                <w:szCs w:val="20"/>
                <w:color w:val="auto"/>
              </w:rPr>
            </w:pPr>
            <w:r>
              <w:rPr>
                <w:rFonts w:ascii="Arial" w:cs="Arial" w:eastAsia="Arial" w:hAnsi="Arial"/>
                <w:sz w:val="16"/>
                <w:szCs w:val="16"/>
                <w:color w:val="auto"/>
              </w:rPr>
              <w:t>The Board has established a Corporate Governance and Nominating Committee to:</w:t>
            </w:r>
          </w:p>
        </w:tc>
        <w:tc>
          <w:tcPr>
            <w:tcW w:w="0" w:type="dxa"/>
            <w:vAlign w:val="bottom"/>
          </w:tcPr>
          <w:p>
            <w:pPr>
              <w:spacing w:after="0"/>
              <w:rPr>
                <w:sz w:val="1"/>
                <w:szCs w:val="1"/>
                <w:color w:val="auto"/>
              </w:rPr>
            </w:pPr>
          </w:p>
        </w:tc>
      </w:tr>
      <w:tr>
        <w:trPr>
          <w:trHeight w:val="134"/>
        </w:trPr>
        <w:tc>
          <w:tcPr>
            <w:tcW w:w="1980" w:type="dxa"/>
            <w:vAlign w:val="bottom"/>
            <w:vMerge w:val="restart"/>
          </w:tcPr>
          <w:p>
            <w:pPr>
              <w:ind w:left="220"/>
              <w:spacing w:after="0"/>
              <w:rPr>
                <w:sz w:val="20"/>
                <w:szCs w:val="20"/>
                <w:color w:val="auto"/>
              </w:rPr>
            </w:pPr>
            <w:r>
              <w:rPr>
                <w:rFonts w:ascii="Arial" w:cs="Arial" w:eastAsia="Arial" w:hAnsi="Arial"/>
                <w:sz w:val="16"/>
                <w:szCs w:val="16"/>
                <w:color w:val="auto"/>
              </w:rPr>
              <w:t>(Chairperson)</w:t>
            </w:r>
          </w:p>
        </w:tc>
        <w:tc>
          <w:tcPr>
            <w:tcW w:w="9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980" w:type="dxa"/>
            <w:vAlign w:val="bottom"/>
            <w:vMerge w:val="continue"/>
          </w:tcPr>
          <w:p>
            <w:pPr>
              <w:spacing w:after="0"/>
              <w:rPr>
                <w:sz w:val="6"/>
                <w:szCs w:val="6"/>
                <w:color w:val="auto"/>
              </w:rPr>
            </w:pPr>
          </w:p>
        </w:tc>
        <w:tc>
          <w:tcPr>
            <w:tcW w:w="9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right="452"/>
        <w:spacing w:after="0" w:line="261" w:lineRule="auto"/>
        <w:rPr>
          <w:sz w:val="20"/>
          <w:szCs w:val="20"/>
          <w:color w:val="auto"/>
        </w:rPr>
      </w:pPr>
      <w:r>
        <w:rPr>
          <w:rFonts w:ascii="Arial" w:cs="Arial" w:eastAsia="Arial" w:hAnsi="Arial"/>
          <w:sz w:val="16"/>
          <w:szCs w:val="16"/>
          <w:color w:val="auto"/>
        </w:rPr>
        <w:t>Courtney Armstrong Yehuda Ari Buchalter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Thomas F. Frist III</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Jamie S. Gorelick</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Roger H. Moore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2023: </w:t>
      </w:r>
      <w:r>
        <w:rPr>
          <w:rFonts w:ascii="Arial" w:cs="Arial" w:eastAsia="Arial" w:hAnsi="Arial"/>
          <w:sz w:val="16"/>
          <w:szCs w:val="16"/>
          <w:b w:val="1"/>
          <w:bCs w:val="1"/>
          <w:color w:val="000000"/>
        </w:rPr>
        <w:t>4</w:t>
      </w:r>
    </w:p>
    <w:p>
      <w:pPr>
        <w:spacing w:after="0" w:line="20" w:lineRule="exact"/>
        <w:rPr>
          <w:sz w:val="20"/>
          <w:szCs w:val="20"/>
          <w:color w:val="auto"/>
        </w:rPr>
      </w:pPr>
      <w:r>
        <w:rPr>
          <w:sz w:val="20"/>
          <w:szCs w:val="20"/>
          <w:color w:val="auto"/>
        </w:rPr>
        <w:br w:type="column"/>
      </w:r>
    </w:p>
    <w:p>
      <w:pPr>
        <w:ind w:left="168" w:hanging="168"/>
        <w:spacing w:after="0"/>
        <w:tabs>
          <w:tab w:leader="none" w:pos="16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recruit, evaluate, and nominate candidates for appointment or election to serve as members of the Board;</w:t>
      </w:r>
    </w:p>
    <w:p>
      <w:pPr>
        <w:spacing w:after="0" w:line="56" w:lineRule="exact"/>
        <w:rPr>
          <w:rFonts w:ascii="Arial" w:cs="Arial" w:eastAsia="Arial" w:hAnsi="Arial"/>
          <w:sz w:val="16"/>
          <w:szCs w:val="16"/>
          <w:color w:val="004A98"/>
        </w:rPr>
      </w:pPr>
    </w:p>
    <w:p>
      <w:pPr>
        <w:ind w:left="168" w:hanging="168"/>
        <w:spacing w:after="0"/>
        <w:tabs>
          <w:tab w:leader="none" w:pos="16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recommend nominees for committees of the Board;</w:t>
      </w:r>
    </w:p>
    <w:p>
      <w:pPr>
        <w:spacing w:after="0" w:line="86" w:lineRule="exact"/>
        <w:rPr>
          <w:rFonts w:ascii="Arial" w:cs="Arial" w:eastAsia="Arial" w:hAnsi="Arial"/>
          <w:sz w:val="16"/>
          <w:szCs w:val="16"/>
          <w:color w:val="004A98"/>
        </w:rPr>
      </w:pPr>
    </w:p>
    <w:p>
      <w:pPr>
        <w:ind w:left="168" w:hanging="168"/>
        <w:spacing w:after="0"/>
        <w:tabs>
          <w:tab w:leader="none" w:pos="16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assess contributions and independence of incumbent directors;</w:t>
      </w:r>
    </w:p>
    <w:p>
      <w:pPr>
        <w:spacing w:after="0" w:line="86" w:lineRule="exact"/>
        <w:rPr>
          <w:rFonts w:ascii="Arial" w:cs="Arial" w:eastAsia="Arial" w:hAnsi="Arial"/>
          <w:sz w:val="16"/>
          <w:szCs w:val="16"/>
          <w:color w:val="004A98"/>
        </w:rPr>
      </w:pPr>
    </w:p>
    <w:p>
      <w:pPr>
        <w:ind w:left="168" w:hanging="168"/>
        <w:spacing w:after="0"/>
        <w:tabs>
          <w:tab w:leader="none" w:pos="16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review and make recommendations regarding the Board’s leadership structure;</w:t>
      </w:r>
    </w:p>
    <w:p>
      <w:pPr>
        <w:spacing w:after="0" w:line="86" w:lineRule="exact"/>
        <w:rPr>
          <w:rFonts w:ascii="Arial" w:cs="Arial" w:eastAsia="Arial" w:hAnsi="Arial"/>
          <w:sz w:val="16"/>
          <w:szCs w:val="16"/>
          <w:color w:val="004A98"/>
        </w:rPr>
      </w:pPr>
    </w:p>
    <w:p>
      <w:pPr>
        <w:ind w:left="188" w:right="640" w:hanging="188"/>
        <w:spacing w:after="0" w:line="286" w:lineRule="auto"/>
        <w:tabs>
          <w:tab w:leader="none" w:pos="15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develop the Board’s CEO succession planning and evaluation process and oversee succession planning for positions held by senior management;</w:t>
      </w:r>
    </w:p>
    <w:p>
      <w:pPr>
        <w:spacing w:after="0" w:line="20" w:lineRule="exact"/>
        <w:rPr>
          <w:rFonts w:ascii="Arial" w:cs="Arial" w:eastAsia="Arial" w:hAnsi="Arial"/>
          <w:sz w:val="16"/>
          <w:szCs w:val="16"/>
          <w:color w:val="004A98"/>
        </w:rPr>
      </w:pPr>
    </w:p>
    <w:p>
      <w:pPr>
        <w:ind w:left="188" w:right="40" w:hanging="188"/>
        <w:spacing w:after="0" w:line="286" w:lineRule="auto"/>
        <w:tabs>
          <w:tab w:leader="none" w:pos="158" w:val="left"/>
        </w:tabs>
        <w:numPr>
          <w:ilvl w:val="0"/>
          <w:numId w:val="19"/>
        </w:numPr>
        <w:rPr>
          <w:rFonts w:ascii="Arial" w:cs="Arial" w:eastAsia="Arial" w:hAnsi="Arial"/>
          <w:sz w:val="16"/>
          <w:szCs w:val="16"/>
          <w:color w:val="004A98"/>
        </w:rPr>
      </w:pPr>
      <w:r>
        <w:rPr>
          <w:rFonts w:ascii="Arial" w:cs="Arial" w:eastAsia="Arial" w:hAnsi="Arial"/>
          <w:sz w:val="16"/>
          <w:szCs w:val="16"/>
          <w:color w:val="auto"/>
        </w:rPr>
        <w:t>recommend changes to corporate governance principles and committee charters and periodically review and assess the adequacy of these documents;</w:t>
      </w:r>
    </w:p>
    <w:p>
      <w:pPr>
        <w:spacing w:after="0" w:line="20" w:lineRule="exact"/>
        <w:rPr>
          <w:rFonts w:ascii="Arial" w:cs="Arial" w:eastAsia="Arial" w:hAnsi="Arial"/>
          <w:sz w:val="16"/>
          <w:szCs w:val="16"/>
          <w:color w:val="004A98"/>
        </w:rPr>
      </w:pPr>
    </w:p>
    <w:p>
      <w:pPr>
        <w:ind w:left="168" w:hanging="168"/>
        <w:spacing w:after="0"/>
        <w:tabs>
          <w:tab w:leader="none" w:pos="168" w:val="left"/>
        </w:tabs>
        <w:numPr>
          <w:ilvl w:val="0"/>
          <w:numId w:val="19"/>
        </w:numPr>
        <w:rPr>
          <w:rFonts w:ascii="Arial" w:cs="Arial" w:eastAsia="Arial" w:hAnsi="Arial"/>
          <w:sz w:val="16"/>
          <w:szCs w:val="16"/>
          <w:color w:val="234B96"/>
        </w:rPr>
      </w:pPr>
      <w:r>
        <w:rPr>
          <w:rFonts w:ascii="Arial" w:cs="Arial" w:eastAsia="Arial" w:hAnsi="Arial"/>
          <w:sz w:val="16"/>
          <w:szCs w:val="16"/>
          <w:color w:val="auto"/>
        </w:rPr>
        <w:t>oversee the Company’s Environmental, Social and Governance (“ESG”) initiatives; and</w:t>
      </w:r>
    </w:p>
    <w:p>
      <w:pPr>
        <w:spacing w:after="0" w:line="86" w:lineRule="exact"/>
        <w:rPr>
          <w:rFonts w:ascii="Arial" w:cs="Arial" w:eastAsia="Arial" w:hAnsi="Arial"/>
          <w:sz w:val="16"/>
          <w:szCs w:val="16"/>
          <w:color w:val="234B96"/>
        </w:rPr>
      </w:pPr>
    </w:p>
    <w:p>
      <w:pPr>
        <w:ind w:left="168" w:hanging="168"/>
        <w:spacing w:after="0"/>
        <w:tabs>
          <w:tab w:leader="none" w:pos="168" w:val="left"/>
        </w:tabs>
        <w:numPr>
          <w:ilvl w:val="0"/>
          <w:numId w:val="19"/>
        </w:numPr>
        <w:rPr>
          <w:rFonts w:ascii="Arial" w:cs="Arial" w:eastAsia="Arial" w:hAnsi="Arial"/>
          <w:sz w:val="16"/>
          <w:szCs w:val="16"/>
          <w:color w:val="234B96"/>
        </w:rPr>
      </w:pPr>
      <w:r>
        <w:rPr>
          <w:rFonts w:ascii="Arial" w:cs="Arial" w:eastAsia="Arial" w:hAnsi="Arial"/>
          <w:sz w:val="16"/>
          <w:szCs w:val="16"/>
          <w:color w:val="auto"/>
        </w:rPr>
        <w:t>review annually the performance of the Board.</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8" w:right="660"/>
        <w:spacing w:after="0" w:line="304" w:lineRule="auto"/>
        <w:rPr>
          <w:sz w:val="20"/>
          <w:szCs w:val="20"/>
          <w:color w:val="auto"/>
        </w:rPr>
      </w:pPr>
      <w:r>
        <w:rPr>
          <w:rFonts w:ascii="Arial" w:cs="Arial" w:eastAsia="Arial" w:hAnsi="Arial"/>
          <w:sz w:val="16"/>
          <w:szCs w:val="16"/>
          <w:color w:val="auto"/>
        </w:rPr>
        <w:t>Each Corporate Governance and Nominating Committee member has been determined by the Board to be an “independent director” under the rules of The Nasdaq Stock Market.</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4A98"/>
        </w:rPr>
        <w:t>Charter</w:t>
      </w:r>
    </w:p>
    <w:p>
      <w:pPr>
        <w:spacing w:after="0" w:line="59" w:lineRule="exact"/>
        <w:rPr>
          <w:sz w:val="20"/>
          <w:szCs w:val="20"/>
          <w:color w:val="auto"/>
        </w:rPr>
      </w:pPr>
    </w:p>
    <w:p>
      <w:pPr>
        <w:ind w:left="8" w:right="680"/>
        <w:spacing w:after="0" w:line="275" w:lineRule="auto"/>
        <w:rPr>
          <w:sz w:val="20"/>
          <w:szCs w:val="20"/>
          <w:color w:val="auto"/>
        </w:rPr>
      </w:pPr>
      <w:r>
        <w:rPr>
          <w:rFonts w:ascii="Arial" w:cs="Arial" w:eastAsia="Arial" w:hAnsi="Arial"/>
          <w:sz w:val="16"/>
          <w:szCs w:val="16"/>
          <w:color w:val="auto"/>
        </w:rPr>
        <w:t>The Corporate Governance and Nominating Committee operates pursuant to a written charter. The Corporate Governance and Nominating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104775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92" w:space="720"/>
            <w:col w:w="8528"/>
          </w:cols>
          <w:pgMar w:left="320" w:top="121" w:right="339" w:bottom="1440" w:gutter="0" w:footer="0" w:header="0"/>
          <w:type w:val="continuous"/>
        </w:sectPr>
      </w:pPr>
    </w:p>
    <w:p>
      <w:pPr>
        <w:spacing w:after="0" w:line="27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CYBERSECURITY COMMITTEE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9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6"/>
                <w:szCs w:val="16"/>
                <w:color w:val="auto"/>
              </w:rPr>
              <w:t>Yehuda Ari Buchalter</w:t>
            </w:r>
          </w:p>
        </w:tc>
        <w:tc>
          <w:tcPr>
            <w:tcW w:w="9120" w:type="dxa"/>
            <w:vAlign w:val="bottom"/>
            <w:vMerge w:val="restart"/>
          </w:tcPr>
          <w:p>
            <w:pPr>
              <w:ind w:left="600"/>
              <w:spacing w:after="0"/>
              <w:rPr>
                <w:sz w:val="20"/>
                <w:szCs w:val="20"/>
                <w:color w:val="auto"/>
              </w:rPr>
            </w:pPr>
            <w:r>
              <w:rPr>
                <w:rFonts w:ascii="Arial" w:cs="Arial" w:eastAsia="Arial" w:hAnsi="Arial"/>
                <w:sz w:val="16"/>
                <w:szCs w:val="16"/>
                <w:color w:val="auto"/>
              </w:rPr>
              <w:t>The Board has established a Cybersecurity Committee to:</w:t>
            </w:r>
          </w:p>
        </w:tc>
        <w:tc>
          <w:tcPr>
            <w:tcW w:w="0" w:type="dxa"/>
            <w:vAlign w:val="bottom"/>
          </w:tcPr>
          <w:p>
            <w:pPr>
              <w:spacing w:after="0"/>
              <w:rPr>
                <w:sz w:val="1"/>
                <w:szCs w:val="1"/>
                <w:color w:val="auto"/>
              </w:rPr>
            </w:pPr>
          </w:p>
        </w:tc>
      </w:tr>
      <w:tr>
        <w:trPr>
          <w:trHeight w:val="134"/>
        </w:trPr>
        <w:tc>
          <w:tcPr>
            <w:tcW w:w="2120" w:type="dxa"/>
            <w:vAlign w:val="bottom"/>
            <w:vMerge w:val="restart"/>
          </w:tcPr>
          <w:p>
            <w:pPr>
              <w:ind w:left="220"/>
              <w:spacing w:after="0"/>
              <w:rPr>
                <w:sz w:val="20"/>
                <w:szCs w:val="20"/>
                <w:color w:val="auto"/>
              </w:rPr>
            </w:pPr>
            <w:r>
              <w:rPr>
                <w:rFonts w:ascii="Arial" w:cs="Arial" w:eastAsia="Arial" w:hAnsi="Arial"/>
                <w:sz w:val="16"/>
                <w:szCs w:val="16"/>
                <w:color w:val="auto"/>
              </w:rPr>
              <w:t>(Chairperson)</w:t>
            </w: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120" w:type="dxa"/>
            <w:vAlign w:val="bottom"/>
            <w:vMerge w:val="continue"/>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color w:val="auto"/>
        </w:rPr>
        <w:t>D. James Bidzos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Roger H. Moore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2023: </w:t>
      </w:r>
      <w:r>
        <w:rPr>
          <w:rFonts w:ascii="Arial" w:cs="Arial" w:eastAsia="Arial" w:hAnsi="Arial"/>
          <w:sz w:val="16"/>
          <w:szCs w:val="16"/>
          <w:b w:val="1"/>
          <w:bCs w:val="1"/>
          <w:color w:val="000000"/>
        </w:rPr>
        <w:t>4</w:t>
      </w:r>
    </w:p>
    <w:p>
      <w:pPr>
        <w:spacing w:after="0" w:line="20" w:lineRule="exact"/>
        <w:rPr>
          <w:sz w:val="20"/>
          <w:szCs w:val="20"/>
          <w:color w:val="auto"/>
        </w:rPr>
      </w:pPr>
      <w:r>
        <w:rPr>
          <w:sz w:val="20"/>
          <w:szCs w:val="20"/>
          <w:color w:val="auto"/>
        </w:rPr>
        <w:br w:type="column"/>
      </w: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assist the Board with its oversight of the Company’s cybersecurity program and risks</w:t>
      </w:r>
    </w:p>
    <w:p>
      <w:pPr>
        <w:spacing w:after="0" w:line="56" w:lineRule="exact"/>
        <w:rPr>
          <w:rFonts w:ascii="Arial" w:cs="Arial" w:eastAsia="Arial" w:hAnsi="Arial"/>
          <w:sz w:val="16"/>
          <w:szCs w:val="16"/>
          <w:color w:val="004A98"/>
        </w:rPr>
      </w:pP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oversee the effectiveness of the cybersecurity program;</w:t>
      </w:r>
    </w:p>
    <w:p>
      <w:pPr>
        <w:spacing w:after="0" w:line="86" w:lineRule="exact"/>
        <w:rPr>
          <w:rFonts w:ascii="Arial" w:cs="Arial" w:eastAsia="Arial" w:hAnsi="Arial"/>
          <w:sz w:val="16"/>
          <w:szCs w:val="16"/>
          <w:color w:val="004A98"/>
        </w:rPr>
      </w:pPr>
    </w:p>
    <w:p>
      <w:pPr>
        <w:ind w:left="188" w:right="480" w:hanging="188"/>
        <w:spacing w:after="0" w:line="299"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Company’s adoption and implementation of systems, controls and procedures designed to prevent, detect and respond to cyber-attacks or security breaches involving the Company;</w:t>
      </w: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activities of management’s Safety and Security Council;</w:t>
      </w:r>
    </w:p>
    <w:p>
      <w:pPr>
        <w:spacing w:after="0" w:line="86" w:lineRule="exact"/>
        <w:rPr>
          <w:rFonts w:ascii="Arial" w:cs="Arial" w:eastAsia="Arial" w:hAnsi="Arial"/>
          <w:sz w:val="16"/>
          <w:szCs w:val="16"/>
          <w:color w:val="004A98"/>
        </w:rPr>
      </w:pPr>
    </w:p>
    <w:p>
      <w:pPr>
        <w:ind w:left="188" w:right="120" w:hanging="188"/>
        <w:spacing w:after="0" w:line="286"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effectiveness of information security incident response, business continuity, and disaster recovery plans, including escalation protocols;</w:t>
      </w:r>
    </w:p>
    <w:p>
      <w:pPr>
        <w:spacing w:after="0" w:line="20" w:lineRule="exact"/>
        <w:rPr>
          <w:rFonts w:ascii="Arial" w:cs="Arial" w:eastAsia="Arial" w:hAnsi="Arial"/>
          <w:sz w:val="16"/>
          <w:szCs w:val="16"/>
          <w:color w:val="004A98"/>
        </w:rPr>
      </w:pPr>
    </w:p>
    <w:p>
      <w:pPr>
        <w:ind w:left="188" w:right="600" w:hanging="188"/>
        <w:spacing w:after="0" w:line="263"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Company’s compliance with applicable global data protection and security regulations and the Company’s adoption and implementation of systems, controls and procedures designed to comply with such</w:t>
      </w:r>
    </w:p>
    <w:p>
      <w:pPr>
        <w:spacing w:after="0" w:line="1" w:lineRule="exact"/>
        <w:rPr>
          <w:sz w:val="20"/>
          <w:szCs w:val="20"/>
          <w:color w:val="auto"/>
        </w:rPr>
      </w:pPr>
    </w:p>
    <w:p>
      <w:pPr>
        <w:sectPr>
          <w:pgSz w:w="11900" w:h="16838" w:orient="portrait"/>
          <w:cols w:equalWidth="0" w:num="2">
            <w:col w:w="1992" w:space="720"/>
            <w:col w:w="8528"/>
          </w:cols>
          <w:pgMar w:left="320" w:top="121" w:right="3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regulations;</w:t>
      </w:r>
    </w:p>
    <w:p>
      <w:pPr>
        <w:spacing w:after="0" w:line="74" w:lineRule="exact"/>
        <w:rPr>
          <w:sz w:val="20"/>
          <w:szCs w:val="20"/>
          <w:color w:val="auto"/>
        </w:rPr>
      </w:pPr>
    </w:p>
    <w:p>
      <w:pPr>
        <w:ind w:left="2880" w:hanging="168"/>
        <w:spacing w:after="0"/>
        <w:tabs>
          <w:tab w:leader="none" w:pos="2880" w:val="left"/>
        </w:tabs>
        <w:numPr>
          <w:ilvl w:val="0"/>
          <w:numId w:val="21"/>
        </w:numPr>
        <w:rPr>
          <w:rFonts w:ascii="Arial" w:cs="Arial" w:eastAsia="Arial" w:hAnsi="Arial"/>
          <w:sz w:val="16"/>
          <w:szCs w:val="16"/>
          <w:color w:val="004A98"/>
        </w:rPr>
      </w:pPr>
      <w:r>
        <w:rPr>
          <w:rFonts w:ascii="Arial" w:cs="Arial" w:eastAsia="Arial" w:hAnsi="Arial"/>
          <w:sz w:val="16"/>
          <w:szCs w:val="16"/>
          <w:color w:val="auto"/>
        </w:rPr>
        <w:t>review the budget and resources allocated for the cybersecurity program; and</w:t>
      </w:r>
    </w:p>
    <w:p>
      <w:pPr>
        <w:spacing w:after="0" w:line="72" w:lineRule="exact"/>
        <w:rPr>
          <w:rFonts w:ascii="Arial" w:cs="Arial" w:eastAsia="Arial" w:hAnsi="Arial"/>
          <w:sz w:val="16"/>
          <w:szCs w:val="16"/>
          <w:color w:val="004A98"/>
        </w:rPr>
      </w:pPr>
    </w:p>
    <w:p>
      <w:pPr>
        <w:ind w:left="2880" w:hanging="168"/>
        <w:spacing w:after="0"/>
        <w:tabs>
          <w:tab w:leader="none" w:pos="2880" w:val="left"/>
        </w:tabs>
        <w:numPr>
          <w:ilvl w:val="0"/>
          <w:numId w:val="21"/>
        </w:numPr>
        <w:rPr>
          <w:rFonts w:ascii="Arial" w:cs="Arial" w:eastAsia="Arial" w:hAnsi="Arial"/>
          <w:sz w:val="16"/>
          <w:szCs w:val="16"/>
          <w:color w:val="004A98"/>
        </w:rPr>
      </w:pPr>
      <w:r>
        <w:rPr>
          <w:rFonts w:ascii="Arial" w:cs="Arial" w:eastAsia="Arial" w:hAnsi="Arial"/>
          <w:sz w:val="16"/>
          <w:szCs w:val="16"/>
          <w:color w:val="auto"/>
        </w:rPr>
        <w:t>review the cybersecurity insurance program.</w:t>
      </w:r>
    </w:p>
    <w:p>
      <w:pPr>
        <w:spacing w:after="0" w:line="127"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2720" w:right="460"/>
        <w:spacing w:after="0" w:line="286" w:lineRule="auto"/>
        <w:rPr>
          <w:sz w:val="20"/>
          <w:szCs w:val="20"/>
          <w:color w:val="auto"/>
        </w:rPr>
      </w:pPr>
      <w:r>
        <w:rPr>
          <w:rFonts w:ascii="Arial" w:cs="Arial" w:eastAsia="Arial" w:hAnsi="Arial"/>
          <w:sz w:val="16"/>
          <w:szCs w:val="16"/>
          <w:color w:val="auto"/>
        </w:rPr>
        <w:t>Each member of the Cybersecurity Committee other than Mr. Bidzos has been determined by the Board to be an “independent director” under the rules of The Nasdaq Stock Market.</w:t>
      </w:r>
    </w:p>
    <w:p>
      <w:pPr>
        <w:spacing w:after="0" w:line="61"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59" w:lineRule="exact"/>
        <w:rPr>
          <w:sz w:val="20"/>
          <w:szCs w:val="20"/>
          <w:color w:val="auto"/>
        </w:rPr>
      </w:pPr>
    </w:p>
    <w:p>
      <w:pPr>
        <w:ind w:left="2720" w:right="600"/>
        <w:spacing w:after="0" w:line="304" w:lineRule="auto"/>
        <w:rPr>
          <w:sz w:val="20"/>
          <w:szCs w:val="20"/>
          <w:color w:val="auto"/>
        </w:rPr>
      </w:pPr>
      <w:r>
        <w:rPr>
          <w:rFonts w:ascii="Arial" w:cs="Arial" w:eastAsia="Arial" w:hAnsi="Arial"/>
          <w:sz w:val="16"/>
          <w:szCs w:val="16"/>
          <w:color w:val="auto"/>
        </w:rPr>
        <w:t>The Cybersecurity Committee operates pursuant to a written charter. The Cybersecurity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Nominations and Succession Planning</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recommending candidates for election to the Board, the Corporate Governance and Nominating Committee considers the performance and qualifications of each potential nominee or candidate, not only for his or her individual strengths but also for his or her potential contribution to the Board as a group. In carrying out this responsibility, the Corporate Governance and Nominating Committee also considers additional factors, such as diversity, business experience, and expertise within industries and markets tangential or complementary to the Company’s industry. Additionally, pursuant to its charter, the Corporate Governance and Nominating Committee evaluates and reviews with the Board the criteria for selecting new directors, including skills and characteristics such as diversity, in the context of the current composition of the Board and its committees. The pool of new director candidates from which the Corporate Governance and Nominating Committee recommends new director nominees includes female and racially/ethnically diverse candidates, and any third-party search firm that the Committee engages is instructed to include female and racially/ethnically diverse candidates in such pool as well.</w:t>
      </w:r>
    </w:p>
    <w:p>
      <w:pPr>
        <w:spacing w:after="0" w:line="7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Corporate Governance and Nominating Committee considers candidates for director nominees proposed by directors and stockholders. The Corporate Governance and Nominating Committee may also from time to time retain one or more third-party search firms to identify suitable candidates.</w:t>
      </w:r>
    </w:p>
    <w:p>
      <w:pPr>
        <w:spacing w:after="0" w:line="3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you would like to recommend to the Corporate Governance and Nominating Committee a prospective candidate, please submit the candidate’s name and qualifications to: Thomas C. Indelicarto, Secretary, VeriSign, Inc., 12061 Bluemont Way, Reston, Virginia 20190.</w:t>
      </w:r>
    </w:p>
    <w:p>
      <w:pPr>
        <w:spacing w:after="0" w:line="6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Corporate Governance and Nominating Committee will consider all candidates identified by the directors, the chief executive officer, stockholders, or third-party search firms through the processes described above, and will evaluate each of them, including incumbents and candidates nominated by stockholders, based on the same criteria.</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Evaluation Process</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Corporate Governance and Nominating Committee oversees the annual performance review of the Board and its committees. Each year, the Corporate Governance and Nominating Committee determines the format for the annual performance reviews, and the Chairperson of each Board committee is responsible for leading that committee’s performance review and the Lead Independent Director is responsible for leading the Board’s performance review. The results of the reviews are reported to Ms. Cote, in her capacity as Chairperson of the Corporate Governance and Nominating Committee, who in turn reports the results of the reviews to the entire Board. In addition to these reviews, the Lead Independent Director solicits comments and feedback from each director on the operation of the Board and the committees and areas for improvement.</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Corporate Governance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Board Responsibilities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11144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A98"/>
        </w:rPr>
        <w:t>2023 MEETING ACTIVITY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BOARD</w:t>
            </w:r>
          </w:p>
        </w:tc>
        <w:tc>
          <w:tcPr>
            <w:tcW w:w="562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216"/>
        </w:trPr>
        <w:tc>
          <w:tcPr>
            <w:tcW w:w="5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5 MEETINGS</w:t>
            </w:r>
          </w:p>
        </w:tc>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18 MEETINGS COLLECTIVELY</w:t>
            </w:r>
          </w:p>
        </w:tc>
      </w:tr>
      <w:tr>
        <w:trPr>
          <w:trHeight w:val="223"/>
        </w:trPr>
        <w:tc>
          <w:tcPr>
            <w:tcW w:w="5620" w:type="dxa"/>
            <w:vAlign w:val="bottom"/>
          </w:tcPr>
          <w:p>
            <w:pPr>
              <w:ind w:left="220"/>
              <w:spacing w:after="0"/>
              <w:rPr>
                <w:sz w:val="20"/>
                <w:szCs w:val="20"/>
                <w:color w:val="auto"/>
              </w:rPr>
            </w:pPr>
            <w:r>
              <w:rPr>
                <w:rFonts w:ascii="Arial" w:cs="Arial" w:eastAsia="Arial" w:hAnsi="Arial"/>
                <w:sz w:val="16"/>
                <w:szCs w:val="16"/>
                <w:b w:val="1"/>
                <w:bCs w:val="1"/>
                <w:color w:val="auto"/>
              </w:rPr>
              <w:t>ATTENDANCE</w:t>
            </w:r>
          </w:p>
        </w:tc>
        <w:tc>
          <w:tcPr>
            <w:tcW w:w="5620" w:type="dxa"/>
            <w:vAlign w:val="bottom"/>
          </w:tcPr>
          <w:p>
            <w:pPr>
              <w:spacing w:after="0"/>
              <w:rPr>
                <w:sz w:val="19"/>
                <w:szCs w:val="19"/>
                <w:color w:val="auto"/>
              </w:rPr>
            </w:pPr>
          </w:p>
        </w:tc>
      </w:tr>
    </w:tbl>
    <w:p>
      <w:pPr>
        <w:spacing w:after="0" w:line="6" w:lineRule="exact"/>
        <w:rPr>
          <w:sz w:val="20"/>
          <w:szCs w:val="20"/>
          <w:color w:val="auto"/>
        </w:rPr>
      </w:pPr>
    </w:p>
    <w:p>
      <w:pPr>
        <w:ind w:left="220" w:right="500"/>
        <w:spacing w:after="0" w:line="286" w:lineRule="auto"/>
        <w:rPr>
          <w:sz w:val="20"/>
          <w:szCs w:val="20"/>
          <w:color w:val="auto"/>
        </w:rPr>
      </w:pPr>
      <w:r>
        <w:rPr>
          <w:rFonts w:ascii="Arial" w:cs="Arial" w:eastAsia="Arial" w:hAnsi="Arial"/>
          <w:sz w:val="16"/>
          <w:szCs w:val="16"/>
          <w:color w:val="auto"/>
        </w:rPr>
        <w:t>During 2023, no director attended fewer than 90% of the aggregate of (i) the total number of meetings held by the Board and (ii) the total number of meetings held by all committees on which he or she served.</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Board Members’ Attendance at the Annual Meeting</w:t>
      </w:r>
    </w:p>
    <w:p>
      <w:pPr>
        <w:spacing w:after="0" w:line="11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We do not have a formal policy regarding attendance by members of the Board at our annual meetings of stockholders. One member of the Board attended our 2023 Annual Meeting of Stockholders.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Oversight</w:t>
      </w:r>
    </w:p>
    <w:p>
      <w:pPr>
        <w:spacing w:after="0" w:line="12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The Board is actively engaged in risk oversight for the Company. Throughout the year, the Board and senior management discuss the areas of material risk to the Company. Risks are identified and evaluated quarterly as part of the Company’s disclosure controls and procedures, and, if material, disclosed in our Annual Reports on Form 10-K and Quarterly Reports on Form 10-Q.</w:t>
      </w:r>
    </w:p>
    <w:p>
      <w:pPr>
        <w:spacing w:after="0" w:line="5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Our Board and its committees also engage third-party experts from time to time to help evaluate risks. For example, the Compensation Committee engages an independent compensation consultant to assist with the Company’s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57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0C3B5E"/>
        </w:rPr>
        <w:t>Board</w:t>
      </w:r>
    </w:p>
    <w:p>
      <w:pPr>
        <w:spacing w:after="0" w:line="86" w:lineRule="exact"/>
        <w:rPr>
          <w:sz w:val="20"/>
          <w:szCs w:val="20"/>
          <w:color w:val="auto"/>
        </w:rPr>
      </w:pPr>
    </w:p>
    <w:p>
      <w:pPr>
        <w:jc w:val="center"/>
        <w:ind w:left="360" w:right="340"/>
        <w:spacing w:after="0" w:line="292" w:lineRule="auto"/>
        <w:rPr>
          <w:sz w:val="20"/>
          <w:szCs w:val="20"/>
          <w:color w:val="auto"/>
        </w:rPr>
      </w:pPr>
      <w:r>
        <w:rPr>
          <w:rFonts w:ascii="Arial" w:cs="Arial" w:eastAsia="Arial" w:hAnsi="Arial"/>
          <w:sz w:val="16"/>
          <w:szCs w:val="16"/>
          <w:color w:val="auto"/>
        </w:rPr>
        <w:t>The full Board (or the appropriate committee in the case of risks that are under the purview of a particular committee) receives reports from the appropriate member of senior management responsible for mitigating these risks within the organization to enable the Board to understand our risk identification, risk management, and risk mitigation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9855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2A549D"/>
        </w:rPr>
        <w:t>Committees</w:t>
      </w:r>
    </w:p>
    <w:p>
      <w:pPr>
        <w:spacing w:after="0" w:line="86" w:lineRule="exact"/>
        <w:rPr>
          <w:sz w:val="20"/>
          <w:szCs w:val="20"/>
          <w:color w:val="auto"/>
        </w:rPr>
      </w:pPr>
    </w:p>
    <w:p>
      <w:pPr>
        <w:jc w:val="center"/>
        <w:ind w:left="360" w:right="200"/>
        <w:spacing w:after="0" w:line="289" w:lineRule="auto"/>
        <w:rPr>
          <w:sz w:val="20"/>
          <w:szCs w:val="20"/>
          <w:color w:val="auto"/>
        </w:rPr>
      </w:pPr>
      <w:r>
        <w:rPr>
          <w:rFonts w:ascii="Arial" w:cs="Arial" w:eastAsia="Arial" w:hAnsi="Arial"/>
          <w:sz w:val="16"/>
          <w:szCs w:val="16"/>
          <w:color w:val="auto"/>
        </w:rPr>
        <w:t>The Chairpersons of the relevant committees brief the full Board on the committees’ oversight of risks within their purview during the committee reports portion of each regular Board meeting. This enables the Board and its committees to coordinate the risk oversight role, particularly with respect to risk interrelationships, and enables the full Board to provide input on the Company’s risk assessment and risk management efforts. All of our Board members have experience with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028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xml:space="preserve"> oversees the</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processes to manage business</w:t>
      </w:r>
    </w:p>
    <w:p>
      <w:pPr>
        <w:spacing w:after="0" w:line="24"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and financial risk and compliance with</w:t>
      </w:r>
    </w:p>
    <w:p>
      <w:pPr>
        <w:spacing w:after="0" w:line="20"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applicable legal and regulatory</w:t>
      </w:r>
    </w:p>
    <w:p>
      <w:pPr>
        <w:spacing w:after="0" w:line="31" w:lineRule="exact"/>
        <w:rPr>
          <w:sz w:val="20"/>
          <w:szCs w:val="20"/>
          <w:color w:val="auto"/>
        </w:rPr>
      </w:pPr>
    </w:p>
    <w:p>
      <w:pPr>
        <w:jc w:val="both"/>
        <w:ind w:left="400" w:right="200" w:hanging="47"/>
        <w:spacing w:after="0" w:line="305" w:lineRule="auto"/>
        <w:rPr>
          <w:sz w:val="20"/>
          <w:szCs w:val="20"/>
          <w:color w:val="auto"/>
        </w:rPr>
      </w:pPr>
      <w:r>
        <w:rPr>
          <w:rFonts w:ascii="Arial" w:cs="Arial" w:eastAsia="Arial" w:hAnsi="Arial"/>
          <w:sz w:val="16"/>
          <w:szCs w:val="16"/>
          <w:color w:val="auto"/>
        </w:rPr>
        <w:t>requirements, including the Company’s enterprise risk management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9"/>
        <w:spacing w:after="0" w:line="28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xml:space="preserve"> oversees the Company’s risk assessment and risk management relative to the Company’s compensation programs, policies, and practices and human capital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20"/>
        <w:spacing w:after="0" w:line="29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Cybersecurity Committee</w:t>
      </w:r>
      <w:r>
        <w:rPr>
          <w:rFonts w:ascii="Arial" w:cs="Arial" w:eastAsia="Arial" w:hAnsi="Arial"/>
          <w:sz w:val="16"/>
          <w:szCs w:val="16"/>
          <w:color w:val="auto"/>
        </w:rPr>
        <w:t xml:space="preserve"> assists the Board with its oversight of the Company’s cybersecurity program and risks.</w:t>
      </w:r>
    </w:p>
    <w:p>
      <w:pPr>
        <w:spacing w:after="0" w:line="534" w:lineRule="exact"/>
        <w:rPr>
          <w:sz w:val="20"/>
          <w:szCs w:val="20"/>
          <w:color w:val="auto"/>
        </w:rPr>
      </w:pPr>
    </w:p>
    <w:p>
      <w:pPr>
        <w:sectPr>
          <w:pgSz w:w="11900" w:h="16838" w:orient="portrait"/>
          <w:cols w:equalWidth="0" w:num="3">
            <w:col w:w="3340" w:space="720"/>
            <w:col w:w="3140" w:space="720"/>
            <w:col w:w="3320"/>
          </w:cols>
          <w:pgMar w:left="320" w:top="121" w:right="339" w:bottom="1440" w:gutter="0" w:footer="0" w:header="0"/>
          <w:type w:val="continuous"/>
        </w:sectPr>
      </w:pPr>
    </w:p>
    <w:p>
      <w:pPr>
        <w:spacing w:after="0" w:line="35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Reporting to the Board and its Committees</w:t>
      </w:r>
    </w:p>
    <w:p>
      <w:pPr>
        <w:spacing w:after="0" w:line="128"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The chart below shows selected areas of risk and which of the Board committees or the full Board receives regularly scheduled reports from senior management with respect to such area of risk.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FULL</w:t>
            </w:r>
          </w:p>
        </w:tc>
        <w:tc>
          <w:tcPr>
            <w:tcW w:w="10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AUDIT</w:t>
            </w:r>
          </w:p>
        </w:tc>
        <w:tc>
          <w:tcPr>
            <w:tcW w:w="12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w:t>
            </w:r>
          </w:p>
        </w:tc>
        <w:tc>
          <w:tcPr>
            <w:tcW w:w="100" w:type="dxa"/>
            <w:vAlign w:val="bottom"/>
            <w:tcBorders>
              <w:right w:val="single" w:sz="8" w:color="auto"/>
            </w:tcBorders>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CYBERSECURITY</w:t>
            </w:r>
          </w:p>
        </w:tc>
      </w:tr>
      <w:tr>
        <w:trPr>
          <w:trHeight w:val="18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RISK AREA</w:t>
            </w:r>
          </w:p>
        </w:tc>
        <w:tc>
          <w:tcPr>
            <w:tcW w:w="12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BOARD</w:t>
            </w:r>
          </w:p>
        </w:tc>
        <w:tc>
          <w:tcPr>
            <w:tcW w:w="10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c>
          <w:tcPr>
            <w:tcW w:w="12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c>
          <w:tcPr>
            <w:tcW w:w="100" w:type="dxa"/>
            <w:vAlign w:val="bottom"/>
            <w:tcBorders>
              <w:right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r>
      <w:tr>
        <w:trPr>
          <w:trHeight w:val="213"/>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Cybersecurity/Technology</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r>
      <w:tr>
        <w:trPr>
          <w:trHeight w:val="210"/>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Financial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10"/>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Litigation</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r>
        <w:trPr>
          <w:trHeight w:val="209"/>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Enterprise (ERM)</w:t>
            </w: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09"/>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Legal and Compliance</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r>
        <w:trPr>
          <w:trHeight w:val="209"/>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Compensation/Human Capital Management</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09"/>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Strategic</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Enterprise Risk Management Program Summary</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oversees the ERM program and reviews ERM program activities and risks on a quarterly basis. The Board receives ERM program and risk updates annually, and as warranted from the Chair of the Audit Committee during each Board meeting. Under our ERM program, which is based on the COSO framework, Management identifies and defines enterprise level risks and assigns each a risk rating based on an assessment scale that considers the likelihood and impact using predefined criteria. Risk ratings are reviewed quarterly, or more frequently as needed, by scoring specific risk indicators. Risk mitigation project plans are prepared for each enterprise risk under the purview of risk owners and executive sponsors. Progress against such plans is reviewed and recorded. In addition, Management maintains a comprehensive risk inventory containing potential risks that are scored by the executive team using an internally developed risk assessment tool. The results from this scoring are reviewed with executive leadership to determine trends or emerging enterprise-level risks. Our ERM program is established by a corporate policy and program charter and is periodically reviewed by our internal audit team.</w:t>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Succession Planning</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Board recognizes the importance of the effectiveness of the Company’s executive leaders for the Company’s success, and the Board is actively engaged in executive succession planning. The Board has delegated to the Corporate Governance and Nominating Committee responsibility for reviewing and assessing the management development and succession planning process for senior management. As part of the succession planning process, the Corporate Governance and Nominating Committee works closely with our Management, including our Senior Vice President, Human Resources, to identify succession candidates for senior management other than the Executive Chairman, President and Chief Executive Officer. Although the Board retains responsibility for identifying succession candidates for the Executive Chairman, President and Chief Executive Officer, the Corporate Governance and Nominating Committee is charged with developing the processes to identify succession candidates. If the Board commences a search for candidates from outside the Company to succeed the Chief Executive Officer, the pool from which the Board selects a candidate will include female and racially/ethnically diverse candidates, and any third-party search firm that the Board engages is instructed to include female and racially/ethnically diverse candidates in such a pool as well.</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Ethics and Compliance Oversight</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our commitment to Verisign’s mission and values, we are focused on promoting a culture of ethics and compliance. Our Code of Conduct, which is applicable to directors, executive officers, and employees, represents our values and outlines our approach to ethical conduct and compliance with legal and regulatory requirements, including non-retaliation, anti-corruption, and other similar areas. We have a designated Compliance Officer, who is responsible for implementing and maintaining our ethics and compliance program. The Board oversees our ethics and compliance program (including our Verisign Ethics and Compliance Helpline) primarily through the Audit Committee, which receives quarterly updates from the Compliance Officer and regularly discusses with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Management the program and its effectiveness</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Stewardship and Responsibility</w:t>
      </w:r>
    </w:p>
    <w:p>
      <w:pPr>
        <w:spacing w:after="0" w:line="168"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Stewardship is at the core of our mission and values. Just as we serve as stewards of the internet and our business – upon which billions of internet users depend – we are also committed to our people and to the communities where we live and work. We focus our actions and resources on key priority areas. The Board has overall oversight of these activities while the Corporate Governance and Nominating Committee exercises general oversight with specified priority areas overseen by other committees. For more information, please visit the Corporate Stewardship and Responsibility section of our webpage at https://investor.verisign.com/stewardship.</w:t>
      </w:r>
    </w:p>
    <w:p>
      <w:pPr>
        <w:spacing w:after="0" w:line="3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Corporate Governance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Other Governance and Ethics Policies and Practices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Conduct</w:t>
      </w:r>
    </w:p>
    <w:p>
      <w:pPr>
        <w:spacing w:after="0" w:line="12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have adopted a written Code of Conduct, which is posted on our Investor Relations website under “Ethics and Business Conduct” at https://investor.verisign.com/corporate-governance. The Code of Conduct applies to all of our directors, officers, and employees, including our principal executive officer, principal financial officer, and other senior accounting officers.</w:t>
      </w:r>
    </w:p>
    <w:p>
      <w:pPr>
        <w:spacing w:after="0" w:line="5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intend to satisfy any disclosure requirement under Item 5.05 of Form 8-K regarding an amendment to, or waiver from, a provision of the Code of Conduct, to the extent applicable to the principal executive officer, principal financial officer, or other senior accounting officers, by posting such information on our Investor Relations website within four business days under “Ethics and Business Conduct” at https://investor.verisign.com/corporate-governance.</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Transactions with Related Persons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Policies and Procedures with Respect to Transactions with Related Persons</w:t>
      </w:r>
    </w:p>
    <w:p>
      <w:pPr>
        <w:spacing w:after="0" w:line="112"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 xml:space="preserve">Our Audit Committee has approved a written </w:t>
      </w:r>
      <w:r>
        <w:rPr>
          <w:rFonts w:ascii="Arial" w:cs="Arial" w:eastAsia="Arial" w:hAnsi="Arial"/>
          <w:sz w:val="16"/>
          <w:szCs w:val="16"/>
          <w:i w:val="1"/>
          <w:iCs w:val="1"/>
          <w:color w:val="auto"/>
        </w:rPr>
        <w:t>Policy for Entering into Transactions with Related Persons</w:t>
      </w:r>
      <w:r>
        <w:rPr>
          <w:rFonts w:ascii="Arial" w:cs="Arial" w:eastAsia="Arial" w:hAnsi="Arial"/>
          <w:sz w:val="16"/>
          <w:szCs w:val="16"/>
          <w:color w:val="auto"/>
        </w:rPr>
        <w:t xml:space="preserve"> (the “Related Person Transaction Policy”), which sets forth the requirements for review, approval, or ratification of transactions between our Company and “related persons,” as such term is defined under Item 404 of Regulation S-K.</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Related Person Transaction Policy requires the Audit Committee to review, approve, or ratify the terms of any transaction, arrangement, or relationship or series of similar transactions, arrangements, or relationships (including any indebtedness or guarantee of indebtedness) in which (i) Verisign was or is to be a participant, (ii) the amount involved exceeds $120,000, and (iii) a related person has or will have a direct or indirect material interest (“Related Person Transaction”), except for those transactions, arrangements, or relationships specifically listed in the Related Person Transaction Policy as not requiring approval or ratification by the Audit Committee. In determining whether to approve or ratify a Related Person Transaction, the Audit Committee is required to take into account, among other factors it deems appropriate, whether the Related Person Transaction terms are no more favorable to the related person than terms generally available to an unaffiliated third-party under the same or similar circumstances and the materiality of the related person’s direct or indirect interest in the transaction. A related person who has a relationship with a company that engages in a transaction with Verisign is not deemed to have an indirect material interest in that transaction where the person’s only relationship is as a director or beneficial owner of less than 10% of that company’s equity interests.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Related Person Transaction Policy requires prior approval of the Audit Committee for the following Related Person Transactions:</w:t>
      </w:r>
    </w:p>
    <w:p>
      <w:pPr>
        <w:spacing w:after="0" w:line="127" w:lineRule="exact"/>
        <w:rPr>
          <w:sz w:val="20"/>
          <w:szCs w:val="20"/>
          <w:color w:val="auto"/>
        </w:rPr>
      </w:pPr>
    </w:p>
    <w:p>
      <w:pPr>
        <w:ind w:left="200" w:right="100" w:hanging="192"/>
        <w:spacing w:after="0" w:line="265" w:lineRule="auto"/>
        <w:tabs>
          <w:tab w:leader="none" w:pos="170" w:val="left"/>
        </w:tabs>
        <w:numPr>
          <w:ilvl w:val="0"/>
          <w:numId w:val="22"/>
        </w:numPr>
        <w:rPr>
          <w:rFonts w:ascii="Arial" w:cs="Arial" w:eastAsia="Arial" w:hAnsi="Arial"/>
          <w:sz w:val="16"/>
          <w:szCs w:val="16"/>
          <w:color w:val="004A98"/>
        </w:rPr>
      </w:pPr>
      <w:r>
        <w:rPr>
          <w:rFonts w:ascii="Arial" w:cs="Arial" w:eastAsia="Arial" w:hAnsi="Arial"/>
          <w:sz w:val="16"/>
          <w:szCs w:val="16"/>
          <w:color w:val="auto"/>
        </w:rPr>
        <w:t>Any Related Person Transaction to which a related person is a named party to the underlying agreement or arrangement, provided that certain agreements or arrangements between Verisign and a related person concerning employment and any compensation solely resulting from employment or concerning compensation as a member of the Board that have, in each case, been entered into or approved in accordance with policies of Verisign is not subject to prior approval of the Audit Committee;</w:t>
      </w:r>
    </w:p>
    <w:p>
      <w:pPr>
        <w:spacing w:after="0" w:line="24" w:lineRule="exact"/>
        <w:rPr>
          <w:rFonts w:ascii="Arial" w:cs="Arial" w:eastAsia="Arial" w:hAnsi="Arial"/>
          <w:sz w:val="16"/>
          <w:szCs w:val="16"/>
          <w:color w:val="004A98"/>
        </w:rPr>
      </w:pPr>
    </w:p>
    <w:p>
      <w:pPr>
        <w:ind w:left="200" w:right="500" w:hanging="192"/>
        <w:spacing w:after="0" w:line="304" w:lineRule="auto"/>
        <w:tabs>
          <w:tab w:leader="none" w:pos="170" w:val="left"/>
        </w:tabs>
        <w:numPr>
          <w:ilvl w:val="0"/>
          <w:numId w:val="22"/>
        </w:numPr>
        <w:rPr>
          <w:rFonts w:ascii="Arial" w:cs="Arial" w:eastAsia="Arial" w:hAnsi="Arial"/>
          <w:sz w:val="16"/>
          <w:szCs w:val="16"/>
          <w:color w:val="004A98"/>
        </w:rPr>
      </w:pPr>
      <w:r>
        <w:rPr>
          <w:rFonts w:ascii="Arial" w:cs="Arial" w:eastAsia="Arial" w:hAnsi="Arial"/>
          <w:sz w:val="16"/>
          <w:szCs w:val="16"/>
          <w:color w:val="auto"/>
        </w:rPr>
        <w:t>Any Related Person Transaction involving an indirect material interest of a related person where the terms of the agreement or arrangement are not negotiated on an arm’s length basis or where the Related Person Transaction is not a transaction in the ordinary course of business; and</w:t>
      </w:r>
    </w:p>
    <w:p>
      <w:pPr>
        <w:spacing w:after="0" w:line="6" w:lineRule="exact"/>
        <w:rPr>
          <w:rFonts w:ascii="Arial" w:cs="Arial" w:eastAsia="Arial" w:hAnsi="Arial"/>
          <w:sz w:val="16"/>
          <w:szCs w:val="16"/>
          <w:color w:val="004A98"/>
        </w:rPr>
      </w:pPr>
    </w:p>
    <w:p>
      <w:pPr>
        <w:ind w:left="180" w:hanging="172"/>
        <w:spacing w:after="0"/>
        <w:tabs>
          <w:tab w:leader="none" w:pos="180" w:val="left"/>
        </w:tabs>
        <w:numPr>
          <w:ilvl w:val="0"/>
          <w:numId w:val="22"/>
        </w:numPr>
        <w:rPr>
          <w:rFonts w:ascii="Arial" w:cs="Arial" w:eastAsia="Arial" w:hAnsi="Arial"/>
          <w:sz w:val="16"/>
          <w:szCs w:val="16"/>
          <w:b w:val="1"/>
          <w:bCs w:val="1"/>
          <w:color w:val="004A98"/>
        </w:rPr>
      </w:pPr>
      <w:r>
        <w:rPr>
          <w:rFonts w:ascii="Arial" w:cs="Arial" w:eastAsia="Arial" w:hAnsi="Arial"/>
          <w:sz w:val="16"/>
          <w:szCs w:val="16"/>
          <w:color w:val="auto"/>
        </w:rPr>
        <w:t>Any Related Person Transaction where the total transaction value exceeds $1,000,000.</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On a quarterly basis, the Audit Committee is required to review and, if determined by the Audit Committee to be appropriate, ratify any Related Person Transactions not requiring prior approval of the Audit Committee under the Related Person Transaction Policy.</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event that Verisign proposes to enter into a transaction with a related person who is a member of the Audit Committee or an immediate family member of a member of the Audit Committee, prior approval by a majority of the disinterested members of the Board is required. No Audit Committee member nor his or her immediate family member, who is a party to a proposed transaction, may participate in any discussion or approval of such transaction, except to provide all material information concerning the Related Person Transaction.</w:t>
      </w:r>
    </w:p>
    <w:p>
      <w:pPr>
        <w:spacing w:after="0" w:line="29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Related Person Transactions do not require approval or ratification by the Audit Committee:</w:t>
      </w:r>
    </w:p>
    <w:p>
      <w:pPr>
        <w:spacing w:after="0" w:line="113" w:lineRule="exact"/>
        <w:rPr>
          <w:sz w:val="20"/>
          <w:szCs w:val="20"/>
          <w:color w:val="auto"/>
        </w:rPr>
      </w:pPr>
    </w:p>
    <w:p>
      <w:pPr>
        <w:ind w:left="200" w:right="160" w:hanging="192"/>
        <w:spacing w:after="0" w:line="304"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Payment of compensation to executive officers in connection with their employment with Verisign, provided that the compensation has been approved in accordance with policies of Verisign.</w:t>
      </w:r>
    </w:p>
    <w:p>
      <w:pPr>
        <w:spacing w:after="0" w:line="6" w:lineRule="exact"/>
        <w:rPr>
          <w:rFonts w:ascii="Arial" w:cs="Arial" w:eastAsia="Arial" w:hAnsi="Arial"/>
          <w:sz w:val="16"/>
          <w:szCs w:val="16"/>
          <w:b w:val="1"/>
          <w:bCs w:val="1"/>
          <w:color w:val="004A98"/>
        </w:rPr>
      </w:pPr>
    </w:p>
    <w:p>
      <w:pPr>
        <w:ind w:left="200" w:right="6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Remuneration to directors in connection with their service on the Board, provided that the remuneration has been approved in accordance with policies of Verisign.</w:t>
      </w:r>
    </w:p>
    <w:p>
      <w:pPr>
        <w:spacing w:after="0" w:line="20" w:lineRule="exact"/>
        <w:rPr>
          <w:rFonts w:ascii="Arial" w:cs="Arial" w:eastAsia="Arial" w:hAnsi="Arial"/>
          <w:sz w:val="16"/>
          <w:szCs w:val="16"/>
          <w:b w:val="1"/>
          <w:bCs w:val="1"/>
          <w:color w:val="004A98"/>
        </w:rPr>
      </w:pPr>
    </w:p>
    <w:p>
      <w:pPr>
        <w:ind w:left="200" w:right="38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Reimbursement of expenses incurred in exercising duties as an officer or director of Verisign, provided that the reimbursement has been approved in accordance with policies of Verisign.</w:t>
      </w:r>
    </w:p>
    <w:p>
      <w:pPr>
        <w:spacing w:after="0" w:line="7" w:lineRule="exact"/>
        <w:rPr>
          <w:rFonts w:ascii="Arial" w:cs="Arial" w:eastAsia="Arial" w:hAnsi="Arial"/>
          <w:sz w:val="16"/>
          <w:szCs w:val="16"/>
          <w:b w:val="1"/>
          <w:bCs w:val="1"/>
          <w:color w:val="004A98"/>
        </w:rPr>
      </w:pPr>
    </w:p>
    <w:p>
      <w:pPr>
        <w:ind w:left="200" w:right="120" w:hanging="192"/>
        <w:spacing w:after="0" w:line="268"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with a related person involving services as a bank depository of funds, transfer agent, registrar, trustee under a trust indenture, or similar services.</w:t>
      </w:r>
    </w:p>
    <w:p>
      <w:pPr>
        <w:spacing w:after="0" w:line="34" w:lineRule="exact"/>
        <w:rPr>
          <w:rFonts w:ascii="Arial" w:cs="Arial" w:eastAsia="Arial" w:hAnsi="Arial"/>
          <w:sz w:val="16"/>
          <w:szCs w:val="16"/>
          <w:b w:val="1"/>
          <w:bCs w:val="1"/>
          <w:color w:val="004A98"/>
        </w:rPr>
      </w:pPr>
    </w:p>
    <w:p>
      <w:pPr>
        <w:ind w:left="200" w:right="60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involving a related person where the rates or charges involved are determined by competitive bids, or the transaction involves the rendering of services as a common or contract carrier, or public utility, at rates or charges fixed in conformity with law or governmental authority.</w:t>
      </w:r>
    </w:p>
    <w:p>
      <w:pPr>
        <w:spacing w:after="0" w:line="20" w:lineRule="exact"/>
        <w:rPr>
          <w:rFonts w:ascii="Arial" w:cs="Arial" w:eastAsia="Arial" w:hAnsi="Arial"/>
          <w:sz w:val="16"/>
          <w:szCs w:val="16"/>
          <w:b w:val="1"/>
          <w:bCs w:val="1"/>
          <w:color w:val="004A98"/>
        </w:rPr>
      </w:pPr>
    </w:p>
    <w:p>
      <w:pPr>
        <w:ind w:left="200" w:right="34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where the related person’s interest arises solely from the ownership of Verisign’s common stock and all holders of Verisign’s common stock received the same benefit on a pro rata basis (e.g., dividends).</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are no transactions required to be reported under Item 404(a) of Regulation S-K where the Related Person Transaction Policy did not require review, approval or ratification, or where the Related Person Transaction Policy was not followed, since January 1, 2023.</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Certain Relationships and Related Transactions</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Since January 1, 2023, there has not been, nor is there currently proposed, any transaction or series of similar transactions to which we or any of our subsidiaries are or were to be a party in which the amount involved exceeded or will exceed $120,000 and in which any director, executive officer or beneficial holder of more than 5% of the common stock of Verisign or any member of the immediate family of any of the foregoing persons had or will have a direct or indirect material interest.</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the Board</w:t>
      </w:r>
    </w:p>
    <w:p>
      <w:pPr>
        <w:spacing w:after="0" w:line="14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Any stockholder who desires to contact the Board may do so electronically by sending an email to bod@verisign.com. Alternatively, a stockholder may contact the Board by writing to: Board of Directors, VeriSign, Inc., 12061 Bluemont Way, Reston, Virginia 20190, Attention: Secretary. Communications received electronically or in writing are distributed to the Chairman of the Board or other members of the Board, as appropriate, depending on the facts and circumstances outlined in the communication received.</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9154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91540" cy="1454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Advisory Vote to Approve Executive Compensation</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required by Section 14A of the Exchange Act and related SEC rules, we are seeking an advisory stockholder vote to approve the compensation of our named executive officers for 2023 as disclosed under SEC rules, including the Compensation Discussion and Analysis section, the compensation tables and related material included in this Proxy Statement. The stockholder vote approving executive compensation is advisory only, and the result of the vote is not binding upon the Company or the Board. Although the resolution is non-binding, the Board and the Compensation Committee will consider the outcome of the advisory vote when making future compensation decisions. In 2023, the majority of our stockholders voted in favor of holding a non-binding stockholder advisory vote to approve executive compensation on an annual basis and, in consideration of the outcome of that vote, the Board has determined to hold such an advisory vote each year. Following the Annual Meeting, the next non-binding stockholder advisory vote to approve executive compensation is expected to occur at the 2028 Annual Meeting of Stockholders.</w:t>
      </w:r>
    </w:p>
    <w:p>
      <w:pPr>
        <w:spacing w:after="0" w:line="8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executive compensation program and compensation paid to our named executive officers are described elsewhere in this Proxy Statement. The Compensation Committee oversees the program and compensation awarded, adopts changes to the program, and awards compensation as appropriate to reflect the Company’s circumstances and to promote the main objectives of the program.</w:t>
      </w:r>
    </w:p>
    <w:p>
      <w:pPr>
        <w:spacing w:after="0" w:line="77"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This proposal allows our stockholders to express their opinions regarding the decisions of the Compensation Committee on the prior year’s annual compensation to our named executive officers. You may vote for or against the following resolution, or you may abstain.</w:t>
      </w:r>
    </w:p>
    <w:p>
      <w:pPr>
        <w:spacing w:after="0" w:line="61"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b w:val="1"/>
          <w:bCs w:val="1"/>
          <w:color w:val="auto"/>
        </w:rPr>
        <w:t>RESOLVED, that the stockholders of VeriSign, Inc. approve, on a non-binding, advisory basis, the compensation of VeriSign, Inc.’s named executive officers as disclosed in the Proxy Statement for VeriSign, Inc.’s 2024 Annual Meeting of Stockholders pursuant to Item 402 of Regulation S-K, including the Compensation Discussion and Analysis, the executive compensation tables,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49465" cy="3511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The Board recommends a vote FOR the foregoing resolution.</w:t>
      </w:r>
    </w:p>
    <w:p>
      <w:pPr>
        <w:spacing w:after="0" w:line="408" w:lineRule="exact"/>
        <w:rPr>
          <w:sz w:val="20"/>
          <w:szCs w:val="20"/>
          <w:color w:val="auto"/>
        </w:rPr>
      </w:pPr>
    </w:p>
    <w:p>
      <w:pPr>
        <w:sectPr>
          <w:pgSz w:w="11900" w:h="16838" w:orient="portrait"/>
          <w:cols w:equalWidth="0" w:num="2">
            <w:col w:w="1380" w:space="720"/>
            <w:col w:w="9100"/>
          </w:cols>
          <w:pgMar w:left="320" w:top="121" w:right="379" w:bottom="1440" w:gutter="0" w:footer="0" w:header="0"/>
          <w:type w:val="continuous"/>
        </w:sectPr>
      </w:pPr>
    </w:p>
    <w:p>
      <w:pPr>
        <w:spacing w:after="0" w:line="20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Executive Compensation</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Discussion and Analysis</w:t>
      </w:r>
    </w:p>
    <w:p>
      <w:pPr>
        <w:spacing w:after="0" w:line="1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Compensation Discussion and Analysis (“CD&amp;A”) provides comprehensive information about our executive compensation program for our 2023 named executive officers (our “NEOs”) and provides context for the decisions underlying the compensation reported in the executive compensation tables in this Proxy Statement. Our 2023 NEOs are listed below. On February 12, 2024, Mr. Strubbe, informed the Company’s Board of Directors of his intention to retire, effective April 5, 2024.</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960" w:type="dxa"/>
            <w:vAlign w:val="bottom"/>
          </w:tcPr>
          <w:p>
            <w:pPr>
              <w:spacing w:after="0"/>
              <w:rPr>
                <w:sz w:val="20"/>
                <w:szCs w:val="20"/>
                <w:color w:val="auto"/>
              </w:rPr>
            </w:pPr>
            <w:r>
              <w:rPr>
                <w:rFonts w:ascii="Arial" w:cs="Arial" w:eastAsia="Arial" w:hAnsi="Arial"/>
                <w:sz w:val="16"/>
                <w:szCs w:val="16"/>
                <w:b w:val="1"/>
                <w:bCs w:val="1"/>
                <w:color w:val="004A98"/>
              </w:rPr>
              <w:t>D. James Bidzos</w:t>
            </w:r>
          </w:p>
        </w:tc>
        <w:tc>
          <w:tcPr>
            <w:tcW w:w="1960" w:type="dxa"/>
            <w:vAlign w:val="bottom"/>
          </w:tcPr>
          <w:p>
            <w:pPr>
              <w:ind w:left="320"/>
              <w:spacing w:after="0"/>
              <w:rPr>
                <w:sz w:val="20"/>
                <w:szCs w:val="20"/>
                <w:color w:val="auto"/>
              </w:rPr>
            </w:pPr>
            <w:r>
              <w:rPr>
                <w:rFonts w:ascii="Arial" w:cs="Arial" w:eastAsia="Arial" w:hAnsi="Arial"/>
                <w:sz w:val="16"/>
                <w:szCs w:val="16"/>
                <w:b w:val="1"/>
                <w:bCs w:val="1"/>
                <w:color w:val="004A98"/>
              </w:rPr>
              <w:t>Todd B. Strubbe</w:t>
            </w:r>
          </w:p>
        </w:tc>
        <w:tc>
          <w:tcPr>
            <w:tcW w:w="2360" w:type="dxa"/>
            <w:vAlign w:val="bottom"/>
          </w:tcPr>
          <w:p>
            <w:pPr>
              <w:ind w:left="60"/>
              <w:spacing w:after="0"/>
              <w:rPr>
                <w:sz w:val="20"/>
                <w:szCs w:val="20"/>
                <w:color w:val="auto"/>
              </w:rPr>
            </w:pPr>
            <w:r>
              <w:rPr>
                <w:rFonts w:ascii="Arial" w:cs="Arial" w:eastAsia="Arial" w:hAnsi="Arial"/>
                <w:sz w:val="16"/>
                <w:szCs w:val="16"/>
                <w:b w:val="1"/>
                <w:bCs w:val="1"/>
                <w:color w:val="004A98"/>
              </w:rPr>
              <w:t>George E. Kilguss, III</w:t>
            </w:r>
          </w:p>
        </w:tc>
        <w:tc>
          <w:tcPr>
            <w:tcW w:w="2440" w:type="dxa"/>
            <w:vAlign w:val="bottom"/>
          </w:tcPr>
          <w:p>
            <w:pPr>
              <w:ind w:left="200"/>
              <w:spacing w:after="0"/>
              <w:rPr>
                <w:sz w:val="20"/>
                <w:szCs w:val="20"/>
                <w:color w:val="auto"/>
              </w:rPr>
            </w:pPr>
            <w:r>
              <w:rPr>
                <w:rFonts w:ascii="Arial" w:cs="Arial" w:eastAsia="Arial" w:hAnsi="Arial"/>
                <w:sz w:val="16"/>
                <w:szCs w:val="16"/>
                <w:b w:val="1"/>
                <w:bCs w:val="1"/>
                <w:color w:val="004A98"/>
              </w:rPr>
              <w:t>Danny R. McPherson</w:t>
            </w:r>
          </w:p>
        </w:tc>
        <w:tc>
          <w:tcPr>
            <w:tcW w:w="2420" w:type="dxa"/>
            <w:vAlign w:val="bottom"/>
          </w:tcPr>
          <w:p>
            <w:pPr>
              <w:ind w:left="140"/>
              <w:spacing w:after="0"/>
              <w:rPr>
                <w:sz w:val="20"/>
                <w:szCs w:val="20"/>
                <w:color w:val="auto"/>
              </w:rPr>
            </w:pPr>
            <w:r>
              <w:rPr>
                <w:rFonts w:ascii="Arial" w:cs="Arial" w:eastAsia="Arial" w:hAnsi="Arial"/>
                <w:sz w:val="16"/>
                <w:szCs w:val="16"/>
                <w:b w:val="1"/>
                <w:bCs w:val="1"/>
                <w:color w:val="004A98"/>
              </w:rPr>
              <w:t>Thomas C. Indelicarto</w:t>
            </w:r>
          </w:p>
        </w:tc>
      </w:tr>
      <w:tr>
        <w:trPr>
          <w:trHeight w:val="209"/>
        </w:trPr>
        <w:tc>
          <w:tcPr>
            <w:tcW w:w="3920" w:type="dxa"/>
            <w:vAlign w:val="bottom"/>
            <w:gridSpan w:val="2"/>
          </w:tcPr>
          <w:p>
            <w:pPr>
              <w:spacing w:after="0"/>
              <w:rPr>
                <w:sz w:val="20"/>
                <w:szCs w:val="20"/>
                <w:color w:val="auto"/>
              </w:rPr>
            </w:pPr>
            <w:r>
              <w:rPr>
                <w:rFonts w:ascii="Arial" w:cs="Arial" w:eastAsia="Arial" w:hAnsi="Arial"/>
                <w:sz w:val="16"/>
                <w:szCs w:val="16"/>
                <w:color w:val="auto"/>
              </w:rPr>
              <w:t>Executive Chairman, President Former President and</w:t>
            </w:r>
          </w:p>
        </w:tc>
        <w:tc>
          <w:tcPr>
            <w:tcW w:w="2360" w:type="dxa"/>
            <w:vAlign w:val="bottom"/>
          </w:tcPr>
          <w:p>
            <w:pPr>
              <w:ind w:left="60"/>
              <w:spacing w:after="0"/>
              <w:rPr>
                <w:sz w:val="20"/>
                <w:szCs w:val="20"/>
                <w:color w:val="auto"/>
              </w:rPr>
            </w:pPr>
            <w:r>
              <w:rPr>
                <w:rFonts w:ascii="Arial" w:cs="Arial" w:eastAsia="Arial" w:hAnsi="Arial"/>
                <w:sz w:val="16"/>
                <w:szCs w:val="16"/>
                <w:color w:val="auto"/>
              </w:rPr>
              <w:t>Executive Vice President and</w:t>
            </w:r>
          </w:p>
        </w:tc>
        <w:tc>
          <w:tcPr>
            <w:tcW w:w="2440" w:type="dxa"/>
            <w:vAlign w:val="bottom"/>
          </w:tcPr>
          <w:p>
            <w:pPr>
              <w:ind w:left="200"/>
              <w:spacing w:after="0"/>
              <w:rPr>
                <w:sz w:val="20"/>
                <w:szCs w:val="20"/>
                <w:color w:val="auto"/>
              </w:rPr>
            </w:pPr>
            <w:r>
              <w:rPr>
                <w:rFonts w:ascii="Arial" w:cs="Arial" w:eastAsia="Arial" w:hAnsi="Arial"/>
                <w:sz w:val="16"/>
                <w:szCs w:val="16"/>
                <w:color w:val="auto"/>
              </w:rPr>
              <w:t>Executive Vice President,</w:t>
            </w:r>
          </w:p>
        </w:tc>
        <w:tc>
          <w:tcPr>
            <w:tcW w:w="2420" w:type="dxa"/>
            <w:vAlign w:val="bottom"/>
          </w:tcPr>
          <w:p>
            <w:pPr>
              <w:ind w:left="140"/>
              <w:spacing w:after="0"/>
              <w:rPr>
                <w:sz w:val="20"/>
                <w:szCs w:val="20"/>
                <w:color w:val="auto"/>
              </w:rPr>
            </w:pPr>
            <w:r>
              <w:rPr>
                <w:rFonts w:ascii="Arial" w:cs="Arial" w:eastAsia="Arial" w:hAnsi="Arial"/>
                <w:sz w:val="16"/>
                <w:szCs w:val="16"/>
                <w:color w:val="auto"/>
              </w:rPr>
              <w:t>Executive Vice President,</w:t>
            </w: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auto"/>
              </w:rPr>
              <w:t>and</w:t>
            </w:r>
          </w:p>
        </w:tc>
        <w:tc>
          <w:tcPr>
            <w:tcW w:w="1960" w:type="dxa"/>
            <w:vAlign w:val="bottom"/>
          </w:tcPr>
          <w:p>
            <w:pPr>
              <w:ind w:left="320"/>
              <w:spacing w:after="0"/>
              <w:rPr>
                <w:sz w:val="20"/>
                <w:szCs w:val="20"/>
                <w:color w:val="auto"/>
              </w:rPr>
            </w:pPr>
            <w:r>
              <w:rPr>
                <w:rFonts w:ascii="Arial" w:cs="Arial" w:eastAsia="Arial" w:hAnsi="Arial"/>
                <w:sz w:val="16"/>
                <w:szCs w:val="16"/>
                <w:color w:val="auto"/>
              </w:rPr>
              <w:t>Chief Operating</w:t>
            </w:r>
          </w:p>
        </w:tc>
        <w:tc>
          <w:tcPr>
            <w:tcW w:w="236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440" w:type="dxa"/>
            <w:vAlign w:val="bottom"/>
          </w:tcPr>
          <w:p>
            <w:pPr>
              <w:ind w:left="200"/>
              <w:spacing w:after="0"/>
              <w:rPr>
                <w:sz w:val="20"/>
                <w:szCs w:val="20"/>
                <w:color w:val="auto"/>
              </w:rPr>
            </w:pPr>
            <w:r>
              <w:rPr>
                <w:rFonts w:ascii="Arial" w:cs="Arial" w:eastAsia="Arial" w:hAnsi="Arial"/>
                <w:sz w:val="16"/>
                <w:szCs w:val="16"/>
                <w:color w:val="auto"/>
              </w:rPr>
              <w:t>Engineering, Operations, and</w:t>
            </w:r>
          </w:p>
        </w:tc>
        <w:tc>
          <w:tcPr>
            <w:tcW w:w="2420" w:type="dxa"/>
            <w:vAlign w:val="bottom"/>
          </w:tcPr>
          <w:p>
            <w:pPr>
              <w:ind w:left="140"/>
              <w:spacing w:after="0"/>
              <w:rPr>
                <w:sz w:val="20"/>
                <w:szCs w:val="20"/>
                <w:color w:val="auto"/>
              </w:rPr>
            </w:pPr>
            <w:r>
              <w:rPr>
                <w:rFonts w:ascii="Arial" w:cs="Arial" w:eastAsia="Arial" w:hAnsi="Arial"/>
                <w:sz w:val="16"/>
                <w:szCs w:val="16"/>
                <w:color w:val="auto"/>
              </w:rPr>
              <w:t>General Counsel and Secretary</w:t>
            </w: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960" w:type="dxa"/>
            <w:vAlign w:val="bottom"/>
          </w:tcPr>
          <w:p>
            <w:pPr>
              <w:ind w:left="320"/>
              <w:spacing w:after="0"/>
              <w:rPr>
                <w:sz w:val="20"/>
                <w:szCs w:val="20"/>
                <w:color w:val="auto"/>
              </w:rPr>
            </w:pPr>
            <w:r>
              <w:rPr>
                <w:rFonts w:ascii="Arial" w:cs="Arial" w:eastAsia="Arial" w:hAnsi="Arial"/>
                <w:sz w:val="16"/>
                <w:szCs w:val="16"/>
                <w:color w:val="auto"/>
              </w:rPr>
              <w:t>Officer</w:t>
            </w:r>
          </w:p>
        </w:tc>
        <w:tc>
          <w:tcPr>
            <w:tcW w:w="236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Chief Security Officer</w:t>
            </w:r>
          </w:p>
        </w:tc>
        <w:tc>
          <w:tcPr>
            <w:tcW w:w="2420" w:type="dxa"/>
            <w:vAlign w:val="bottom"/>
          </w:tcPr>
          <w:p>
            <w:pPr>
              <w:spacing w:after="0"/>
              <w:rPr>
                <w:sz w:val="18"/>
                <w:szCs w:val="18"/>
                <w:color w:val="auto"/>
              </w:rPr>
            </w:pPr>
          </w:p>
        </w:tc>
      </w:tr>
    </w:tbl>
    <w:p>
      <w:pPr>
        <w:spacing w:after="0" w:line="20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sections below describe the material elements of our executive compensation program for 2023, including how we have set compensation and have aligned pay to performance. We refer to our NEOs and Senior Vice Presidents, collectively as our “executives.”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128"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Our executive compensation program is designed to attract and retain the executive talent we need to maintain our high performance standards and grow our business for the future. Our philosophy is to provide a mix of compensation that motivates our NEOs to achieve our short and long-term performance goals, and we believe the achievement of these goals will create value for our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with the following objectives and program elements:</w:t>
      </w:r>
    </w:p>
    <w:p>
      <w:pPr>
        <w:sectPr>
          <w:pgSz w:w="11900" w:h="16838" w:orient="portrait"/>
          <w:cols w:equalWidth="0" w:num="1">
            <w:col w:w="11180"/>
          </w:cols>
          <w:pgMar w:left="320" w:top="121" w:right="39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160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Attract and retain talented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1602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53" w:lineRule="exact"/>
        <w:rPr>
          <w:sz w:val="20"/>
          <w:szCs w:val="20"/>
          <w:color w:val="auto"/>
        </w:rPr>
      </w:pPr>
    </w:p>
    <w:p>
      <w:pPr>
        <w:jc w:val="both"/>
        <w:ind w:left="20"/>
        <w:spacing w:after="0" w:line="271" w:lineRule="auto"/>
        <w:rPr>
          <w:sz w:val="20"/>
          <w:szCs w:val="20"/>
          <w:color w:val="auto"/>
        </w:rPr>
      </w:pPr>
      <w:r>
        <w:rPr>
          <w:rFonts w:ascii="Arial" w:cs="Arial" w:eastAsia="Arial" w:hAnsi="Arial"/>
          <w:sz w:val="16"/>
          <w:szCs w:val="16"/>
          <w:b w:val="1"/>
          <w:bCs w:val="1"/>
          <w:color w:val="004A98"/>
        </w:rPr>
        <w:t>Promote a pay for performance philosophy based on both Company performance and individual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602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7" w:lineRule="exact"/>
        <w:rPr>
          <w:sz w:val="20"/>
          <w:szCs w:val="20"/>
          <w:color w:val="auto"/>
        </w:rPr>
      </w:pPr>
    </w:p>
    <w:p>
      <w:pPr>
        <w:ind w:left="20" w:right="160"/>
        <w:spacing w:after="0" w:line="296" w:lineRule="auto"/>
        <w:rPr>
          <w:sz w:val="20"/>
          <w:szCs w:val="20"/>
          <w:color w:val="auto"/>
        </w:rPr>
      </w:pPr>
      <w:r>
        <w:rPr>
          <w:rFonts w:ascii="Arial" w:cs="Arial" w:eastAsia="Arial" w:hAnsi="Arial"/>
          <w:sz w:val="16"/>
          <w:szCs w:val="16"/>
          <w:b w:val="1"/>
          <w:bCs w:val="1"/>
          <w:color w:val="004A98"/>
        </w:rPr>
        <w:t>Align the interests of our executives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21602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PROGRAM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4911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Provide a competitive level of total target compensation (base salary, bonus, and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4911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5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Provide a compensation program that emphasizes incentives that are tied to annual and long-term financial and strategic goals. In addition, we may modify NEOs’ annual incentive bonus up (subject to specified limitations) or down based on individual performance to more closely align NEOs’ compensation with their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4911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1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Provide a significant portion of compensation aligned to the long-term value of our stock, including performance-based stock awards with vesting measured in part based on Total Shareholder Return (“TSR”). In addition, require NEOs to meet stock ownership guidelines and maintain compliance with stock ownership guidelines until six months after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7620</wp:posOffset>
            </wp:positionV>
            <wp:extent cx="7140575" cy="1954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1954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180"/>
            <w:col w:w="7660"/>
          </w:cols>
          <w:pgMar w:left="320" w:top="121" w:right="399" w:bottom="1440" w:gutter="0" w:footer="0" w:header="0"/>
          <w:type w:val="continuous"/>
        </w:sect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Other key features of our current executive compensation program:</w:t>
      </w:r>
    </w:p>
    <w:p>
      <w:pPr>
        <w:spacing w:after="0" w:line="73" w:lineRule="exact"/>
        <w:rPr>
          <w:sz w:val="20"/>
          <w:szCs w:val="20"/>
          <w:color w:val="auto"/>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No employment contracts.</w:t>
      </w:r>
    </w:p>
    <w:p>
      <w:pPr>
        <w:spacing w:after="0" w:line="72"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Change in control agreements contain a double trigger and do not provide for tax gross-ups.</w:t>
      </w:r>
    </w:p>
    <w:p>
      <w:pPr>
        <w:spacing w:after="0" w:line="86"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No special pension plans, special retirement plans, or other significant perquisites for NEOs.</w:t>
      </w:r>
    </w:p>
    <w:p>
      <w:pPr>
        <w:spacing w:after="0" w:line="86"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Same benefit programs as all other employees.</w:t>
      </w:r>
    </w:p>
    <w:p>
      <w:pPr>
        <w:spacing w:after="0" w:line="72" w:lineRule="exact"/>
        <w:rPr>
          <w:rFonts w:ascii="Arial" w:cs="Arial" w:eastAsia="Arial" w:hAnsi="Arial"/>
          <w:sz w:val="16"/>
          <w:szCs w:val="16"/>
          <w:b w:val="1"/>
          <w:bCs w:val="1"/>
          <w:color w:val="004A98"/>
        </w:rPr>
      </w:pPr>
    </w:p>
    <w:p>
      <w:pPr>
        <w:ind w:left="340" w:right="240" w:hanging="193"/>
        <w:spacing w:after="0" w:line="304" w:lineRule="auto"/>
        <w:tabs>
          <w:tab w:leader="none" w:pos="31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A clawback policy applicable to our NEOs that provides for the recoupment of certain incentive compensation (both annual and long-term incentives) in the event of an accounting restatement.</w:t>
      </w:r>
    </w:p>
    <w:p>
      <w:pPr>
        <w:spacing w:after="0" w:line="6" w:lineRule="exact"/>
        <w:rPr>
          <w:rFonts w:ascii="Arial" w:cs="Arial" w:eastAsia="Arial" w:hAnsi="Arial"/>
          <w:sz w:val="16"/>
          <w:szCs w:val="16"/>
          <w:b w:val="1"/>
          <w:bCs w:val="1"/>
          <w:color w:val="004A98"/>
        </w:rPr>
      </w:pPr>
    </w:p>
    <w:p>
      <w:pPr>
        <w:ind w:left="340" w:right="520" w:hanging="193"/>
        <w:spacing w:after="0" w:line="286" w:lineRule="auto"/>
        <w:tabs>
          <w:tab w:leader="none" w:pos="31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Forfeiture provisions in our equity awards such that unvested awards are generally forfeited upon a termination of employment (subject to limited exceptions for death, disability, and certain terminations related to a change in control).</w:t>
      </w:r>
    </w:p>
    <w:p>
      <w:pPr>
        <w:spacing w:after="0" w:line="20"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An insider trading policy that prohibits any employee or director from shorting, hedging, or pledging our stock.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Pay and Performance Relationship</w:t>
      </w:r>
    </w:p>
    <w:p>
      <w:pPr>
        <w:spacing w:after="0" w:line="112"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It is important that our NEOs are motivated to achieve, and rewarded for achieving, objectives that provide long-term benefits to our stockholders. We have designed our executive compensation program so that a significant amount of our NEOs’ compensation is tied to our stockholders’ long-term interests. The charts below illustrate our emphasis on performance-based compensation. Due to rounding, amounts may not add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44450</wp:posOffset>
            </wp:positionV>
            <wp:extent cx="5966460" cy="2537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hanging="142"/>
        <w:spacing w:after="0"/>
        <w:tabs>
          <w:tab w:leader="none" w:pos="280"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Performance-Based Compensation = 2023 Annual Target Bonus + 2023 Long-Term Incentive, valued as of the date of the grant.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Results of 2023 Say on Pay Vote</w:t>
      </w:r>
    </w:p>
    <w:p>
      <w:pPr>
        <w:spacing w:after="0" w:line="9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When the Compensation Committee set compensation amounts for 2024, it considered the results of the 2023 stockholder advisory vote on our executive compensation program. At our 2023 Annual Meeting of Stockholders, our stockholders indicated strong support of our executive compensation program, with over 94% of the votes cast in favor of our executive compensation program. In light of this strong support and based on our review of our program’s market competitiveness and alignment with best practices, the Compensation Committee made no significant changes to our overall approach to executive compensation for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-8890</wp:posOffset>
            </wp:positionV>
            <wp:extent cx="1971675" cy="17145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716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A98"/>
        </w:rPr>
        <w:t>Voted in Favor of our Executive Compensation Program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A98"/>
        </w:rPr>
        <w:t>at our 2023 Annual Meeting of Stockholders</w:t>
      </w:r>
    </w:p>
    <w:p>
      <w:pPr>
        <w:spacing w:after="0" w:line="217"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Our Executive Compensation Program</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executive compensation program is made up of three main elements: base salary, annual incentive bonus, and long-term incentive compensation. The chart below shows our objectives for each element of compensation and the factors we use to determine compensation amounts. For each element of compensation, the Compensation Committee considers our peer group and relevant survey data as well as guidance from the Compensation Committee’s independent compensation consultant before determining compensation amounts.</w:t>
      </w:r>
    </w:p>
    <w:p>
      <w:pPr>
        <w:sectPr>
          <w:pgSz w:w="11900" w:h="16838" w:orient="portrait"/>
          <w:cols w:equalWidth="0" w:num="1">
            <w:col w:w="11100"/>
          </w:cols>
          <w:pgMar w:left="320" w:top="121" w:right="479" w:bottom="1440" w:gutter="0" w:footer="0" w:header="0"/>
        </w:sectPr>
      </w:pP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513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15513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Annual Incentive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15513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-91440</wp:posOffset>
            </wp:positionV>
            <wp:extent cx="236601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66010" cy="120015"/>
                    </a:xfrm>
                    <a:prstGeom prst="rect">
                      <a:avLst/>
                    </a:prstGeom>
                    <a:noFill/>
                  </pic:spPr>
                </pic:pic>
              </a:graphicData>
            </a:graphic>
          </wp:anchor>
        </w:drawing>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Provide a guaranteed level of fixed annual income to attract and retain executive talent. Increases are not automatic or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357505</wp:posOffset>
            </wp:positionV>
            <wp:extent cx="23660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Provide a reward for achieving individual goals and the Company’s financial and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296545</wp:posOffset>
            </wp:positionV>
            <wp:extent cx="23660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56"/>
        <w:spacing w:after="0"/>
        <w:rPr>
          <w:sz w:val="20"/>
          <w:szCs w:val="20"/>
          <w:color w:val="auto"/>
        </w:rPr>
      </w:pPr>
      <w:r>
        <w:rPr>
          <w:rFonts w:ascii="Arial" w:cs="Arial" w:eastAsia="Arial" w:hAnsi="Arial"/>
          <w:sz w:val="13"/>
          <w:szCs w:val="13"/>
          <w:b w:val="1"/>
          <w:bCs w:val="1"/>
          <w:color w:val="auto"/>
        </w:rPr>
        <w:t>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-91440</wp:posOffset>
            </wp:positionV>
            <wp:extent cx="309435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94355" cy="120015"/>
                    </a:xfrm>
                    <a:prstGeom prst="rect">
                      <a:avLst/>
                    </a:prstGeom>
                    <a:noFill/>
                  </pic:spPr>
                </pic:pic>
              </a:graphicData>
            </a:graphic>
          </wp:anchor>
        </w:drawing>
      </w:r>
    </w:p>
    <w:p>
      <w:pPr>
        <w:spacing w:after="0" w:line="104" w:lineRule="exact"/>
        <w:rPr>
          <w:sz w:val="20"/>
          <w:szCs w:val="20"/>
          <w:color w:val="auto"/>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Job responsibilities and scope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Experience</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Individual contributions</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21"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Company performance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Individual performance</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30943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-509905</wp:posOffset>
            </wp:positionV>
            <wp:extent cx="30943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3">
            <w:col w:w="1880" w:space="720"/>
            <w:col w:w="3640" w:space="144"/>
            <w:col w:w="4716"/>
          </w:cols>
          <w:pgMar w:left="320" w:top="121" w:right="479" w:bottom="1440" w:gutter="0" w:footer="0" w:header="0"/>
          <w:type w:val="continuous"/>
        </w:sectPr>
      </w:pPr>
    </w:p>
    <w:p>
      <w:pPr>
        <w:ind w:left="20" w:right="280"/>
        <w:spacing w:after="0" w:line="296" w:lineRule="auto"/>
        <w:rPr>
          <w:sz w:val="20"/>
          <w:szCs w:val="20"/>
          <w:color w:val="auto"/>
        </w:rPr>
      </w:pPr>
      <w:r>
        <w:rPr>
          <w:rFonts w:ascii="Arial" w:cs="Arial" w:eastAsia="Arial" w:hAnsi="Arial"/>
          <w:sz w:val="16"/>
          <w:szCs w:val="16"/>
          <w:b w:val="1"/>
          <w:bCs w:val="1"/>
          <w:color w:val="004A98"/>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15513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Arial" w:cs="Arial" w:eastAsia="Arial" w:hAnsi="Arial"/>
          <w:sz w:val="16"/>
          <w:szCs w:val="16"/>
          <w:color w:val="auto"/>
        </w:rPr>
        <w:t>Provide an award that both serves a retention purpose and incentivizes executives to manage the Company from the perspective of a long-term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401955</wp:posOffset>
            </wp:positionV>
            <wp:extent cx="23660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Importance of the NEO to Company performance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Individual contributions</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Future potential of the NEO</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Value of NEO’s vested and unvested outstanding equity awards</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30943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80" w:space="720"/>
            <w:col w:w="3520" w:space="264"/>
            <w:col w:w="4716"/>
          </w:cols>
          <w:pgMar w:left="320" w:top="121" w:right="47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Process for Setting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the Compensation Committee</w:t>
      </w:r>
    </w:p>
    <w:p>
      <w:pPr>
        <w:spacing w:after="0" w:line="11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Compensation Committee oversees our compensation and benefit programs, approves NEOs’ compensation, and sets the policies that govern compensation of our NEOs and other employees. The Compensation Committee annually:</w:t>
      </w:r>
    </w:p>
    <w:p>
      <w:pPr>
        <w:spacing w:after="0" w:line="6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and makes changes as appropriate to the peer group used to benchmark competitive compensation levels for our NEOs;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 xml:space="preserve">Reviews the reports provided from its compensation consultant as described below in the section titled </w:t>
      </w:r>
      <w:r>
        <w:rPr>
          <w:rFonts w:ascii="Arial" w:cs="Arial" w:eastAsia="Arial" w:hAnsi="Arial"/>
          <w:sz w:val="16"/>
          <w:szCs w:val="16"/>
          <w:i w:val="1"/>
          <w:iCs w:val="1"/>
          <w:color w:val="auto"/>
        </w:rPr>
        <w:t>Role of Independent Compensation Consultant</w:t>
      </w: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004A98"/>
        </w:rPr>
      </w:pPr>
    </w:p>
    <w:p>
      <w:pPr>
        <w:ind w:left="200" w:right="20" w:hanging="192"/>
        <w:spacing w:after="0" w:line="286"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Examines a summary of compensation data of our peer group and reviews broader compensation survey data for technology companies that we believe are comparable to the Company in industry and financial metrics;</w:t>
      </w:r>
    </w:p>
    <w:p>
      <w:pPr>
        <w:spacing w:after="0" w:line="20"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and approves elements of NEO compensation for market competitiveness and alignment with Company goals;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stockholder dilution and burn rate in making equity compensation decisions;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Sets performance goals for our annual incentive bonus and long-term incentive compensation programs;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 tally sheet for every NEO detailing the NEO’s entire compensation and benefits package and earnings potential from unvested equity awards;</w:t>
      </w:r>
    </w:p>
    <w:p>
      <w:pPr>
        <w:spacing w:after="0" w:line="86" w:lineRule="exact"/>
        <w:rPr>
          <w:rFonts w:ascii="Arial" w:cs="Arial" w:eastAsia="Arial" w:hAnsi="Arial"/>
          <w:sz w:val="16"/>
          <w:szCs w:val="16"/>
          <w:b w:val="1"/>
          <w:bCs w:val="1"/>
          <w:color w:val="004A98"/>
        </w:rPr>
      </w:pPr>
    </w:p>
    <w:p>
      <w:pPr>
        <w:ind w:left="200" w:right="260" w:hanging="192"/>
        <w:spacing w:after="0" w:line="275"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the competitiveness of our NEOs’ base salaries, annual incentive bonus targets, and long-term incentive compensation targets (element by element and in aggregate) by comparing our program to a peer group of publicly-traded, technology companies that we view as representative of our competitors for executive talent;</w:t>
      </w:r>
    </w:p>
    <w:p>
      <w:pPr>
        <w:spacing w:after="0" w:line="29"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the comprehensive risk assessment of the Company’s incentive plans and arrangements;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234B96"/>
        </w:rPr>
      </w:pPr>
      <w:r>
        <w:rPr>
          <w:rFonts w:ascii="Arial" w:cs="Arial" w:eastAsia="Arial" w:hAnsi="Arial"/>
          <w:sz w:val="16"/>
          <w:szCs w:val="16"/>
          <w:color w:val="auto"/>
        </w:rPr>
        <w:t>Reviews the Company’s human capital management and diversity, equity and inclusion practices, as well as employee health and safety matters;</w:t>
      </w:r>
    </w:p>
    <w:p>
      <w:pPr>
        <w:spacing w:after="0" w:line="86" w:lineRule="exact"/>
        <w:rPr>
          <w:rFonts w:ascii="Arial" w:cs="Arial" w:eastAsia="Arial" w:hAnsi="Arial"/>
          <w:sz w:val="16"/>
          <w:szCs w:val="16"/>
          <w:b w:val="1"/>
          <w:bCs w:val="1"/>
          <w:color w:val="234B96"/>
        </w:rPr>
      </w:pPr>
    </w:p>
    <w:p>
      <w:pPr>
        <w:ind w:left="200" w:right="20" w:hanging="192"/>
        <w:spacing w:after="0" w:line="286" w:lineRule="auto"/>
        <w:tabs>
          <w:tab w:leader="none" w:pos="170" w:val="left"/>
        </w:tabs>
        <w:numPr>
          <w:ilvl w:val="0"/>
          <w:numId w:val="28"/>
        </w:numPr>
        <w:rPr>
          <w:rFonts w:ascii="Arial" w:cs="Arial" w:eastAsia="Arial" w:hAnsi="Arial"/>
          <w:sz w:val="16"/>
          <w:szCs w:val="16"/>
          <w:b w:val="1"/>
          <w:bCs w:val="1"/>
          <w:color w:val="234B96"/>
        </w:rPr>
      </w:pPr>
      <w:r>
        <w:rPr>
          <w:rFonts w:ascii="Arial" w:cs="Arial" w:eastAsia="Arial" w:hAnsi="Arial"/>
          <w:sz w:val="16"/>
          <w:szCs w:val="16"/>
          <w:color w:val="auto"/>
        </w:rPr>
        <w:t>Determines the CEO’s base salary, annual incentive bonus, and equity awards based on its review of the data described above, the Board’s assessment of the individual performance of the CEO during the year, and the compensation consultant’s report and recommendations; and</w:t>
      </w:r>
    </w:p>
    <w:p>
      <w:pPr>
        <w:spacing w:after="0" w:line="20" w:lineRule="exact"/>
        <w:rPr>
          <w:rFonts w:ascii="Arial" w:cs="Arial" w:eastAsia="Arial" w:hAnsi="Arial"/>
          <w:sz w:val="16"/>
          <w:szCs w:val="16"/>
          <w:b w:val="1"/>
          <w:bCs w:val="1"/>
          <w:color w:val="234B96"/>
        </w:rPr>
      </w:pPr>
    </w:p>
    <w:p>
      <w:pPr>
        <w:ind w:left="200" w:right="260" w:hanging="192"/>
        <w:spacing w:after="0" w:line="286"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Determines each of the other NEO’s base salary, annual incentive bonus, and equity awards based on its review of the data described above and the CEO’s assessment of the individual performance of the NEO during the year.</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Management</w:t>
      </w:r>
    </w:p>
    <w:p>
      <w:pPr>
        <w:spacing w:after="0" w:line="99"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The CEO annually reviews the peer group compensation data, comparable industry survey data, the tally sheet data, and the performance of each of the other NEOs and makes recommendations to the Compensation Committee for base salary adjustments, annual incentive bonuses, and equity awards for each of the other NEOs.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Independent Compensation Consultant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Compensation Committee has engaged Frederic W. Cook &amp; Co., Inc. (“FW Cook”) as its independent compensation consultant to assist it in evaluating and analyzing the Company’s executive compensation program. FW Cook provides guidance and recommendations to the Compensation Committee and advises on various topics, including the following:</w:t>
      </w:r>
    </w:p>
    <w:p>
      <w:pPr>
        <w:spacing w:after="0" w:line="36" w:lineRule="exact"/>
        <w:rPr>
          <w:sz w:val="20"/>
          <w:szCs w:val="20"/>
          <w:color w:val="auto"/>
        </w:rPr>
      </w:pPr>
    </w:p>
    <w:p>
      <w:pPr>
        <w:ind w:left="200" w:right="520" w:hanging="192"/>
        <w:spacing w:after="0" w:line="299" w:lineRule="auto"/>
        <w:tabs>
          <w:tab w:leader="none" w:pos="170" w:val="left"/>
        </w:tabs>
        <w:numPr>
          <w:ilvl w:val="0"/>
          <w:numId w:val="29"/>
        </w:numPr>
        <w:rPr>
          <w:rFonts w:ascii="Arial" w:cs="Arial" w:eastAsia="Arial" w:hAnsi="Arial"/>
          <w:sz w:val="16"/>
          <w:szCs w:val="16"/>
          <w:color w:val="004A98"/>
        </w:rPr>
      </w:pPr>
      <w:r>
        <w:rPr>
          <w:rFonts w:ascii="Arial" w:cs="Arial" w:eastAsia="Arial" w:hAnsi="Arial"/>
          <w:sz w:val="16"/>
          <w:szCs w:val="16"/>
          <w:color w:val="auto"/>
        </w:rPr>
        <w:t>Analyzes the annual compensation of each NEO, including the CEO, based on comparisons to the Company’s peer group and comparable industry survey data, including in both cases target and actual total compensation.</w:t>
      </w:r>
    </w:p>
    <w:p>
      <w:pPr>
        <w:ind w:left="200" w:right="700" w:hanging="192"/>
        <w:spacing w:after="0" w:line="299" w:lineRule="auto"/>
        <w:tabs>
          <w:tab w:leader="none" w:pos="170" w:val="left"/>
        </w:tabs>
        <w:numPr>
          <w:ilvl w:val="0"/>
          <w:numId w:val="29"/>
        </w:numPr>
        <w:rPr>
          <w:rFonts w:ascii="Arial" w:cs="Arial" w:eastAsia="Arial" w:hAnsi="Arial"/>
          <w:sz w:val="16"/>
          <w:szCs w:val="16"/>
          <w:color w:val="004A98"/>
        </w:rPr>
      </w:pPr>
      <w:r>
        <w:rPr>
          <w:rFonts w:ascii="Arial" w:cs="Arial" w:eastAsia="Arial" w:hAnsi="Arial"/>
          <w:sz w:val="16"/>
          <w:szCs w:val="16"/>
          <w:color w:val="auto"/>
        </w:rPr>
        <w:t>Advises the Compensation Committee on the appropriateness of Management’s recommendations for any changes, other than the CEO’s, to the executives’ compensation;</w:t>
      </w: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CEO’s compensation and the design of the CEO’s compensation program and provides recommendations for changes;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peer group annually and provides recommendations for changes;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Advises the Compensation Committee on best practices related to oversight and design of the Company’s executive compensation program;</w:t>
      </w:r>
    </w:p>
    <w:p>
      <w:pPr>
        <w:spacing w:after="0" w:line="86" w:lineRule="exact"/>
        <w:rPr>
          <w:rFonts w:ascii="Arial" w:cs="Arial" w:eastAsia="Arial" w:hAnsi="Arial"/>
          <w:sz w:val="16"/>
          <w:szCs w:val="16"/>
          <w:b w:val="1"/>
          <w:bCs w:val="1"/>
          <w:color w:val="004A98"/>
        </w:rPr>
      </w:pPr>
    </w:p>
    <w:p>
      <w:pPr>
        <w:ind w:left="200" w:right="160" w:hanging="192"/>
        <w:spacing w:after="0" w:line="286" w:lineRule="auto"/>
        <w:tabs>
          <w:tab w:leader="none" w:pos="17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compensation design recommendations from the Company’s Management and provides recommendations to the Compensation Committee on the impact of those recommendations;</w:t>
      </w:r>
    </w:p>
    <w:p>
      <w:pPr>
        <w:spacing w:after="0" w:line="20"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equity compensation philosophy and incentive design;</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impact of regulatory changes on our NEOs’ and non-employee directors’ compensation;</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our risk assessment of the Company’s incentive plans and programs;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our NEOs’ compensation disclosures;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non-employee director compensation; and</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change in control agreements.</w:t>
      </w:r>
    </w:p>
    <w:p>
      <w:pPr>
        <w:spacing w:after="0" w:line="200" w:lineRule="exact"/>
        <w:rPr>
          <w:sz w:val="20"/>
          <w:szCs w:val="20"/>
          <w:color w:val="auto"/>
        </w:rPr>
      </w:pPr>
    </w:p>
    <w:p>
      <w:pPr>
        <w:spacing w:after="0" w:line="23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October 2023, the Compensation Committee reviewed FW Cook’s performance, and in December 2023, the Compensation Committee assessed FW Cook’s independence against the independence factors set forth in the applicable Nasdaq rules. The Compensation Committee determined that FW Cook was independent and reengaged FW Cook for 2024. FW Cook performs no other services for the Company, and its services for the Compensation Committee do not raise any conflicts of interest.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Peer Group</w:t>
      </w:r>
    </w:p>
    <w:p>
      <w:pPr>
        <w:spacing w:after="0" w:line="11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Each year, the Compensation Committee reviews the Company’s peer group with the assistance of its compensation consultant and makes changes as appropriate. In making 2023 compensation decisions, the peer group consisted of the following companies: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Borders>
              <w:top w:val="single" w:sz="8" w:color="939598"/>
              <w:bottom w:val="single" w:sz="8" w:color="939598"/>
            </w:tcBorders>
          </w:tcPr>
          <w:p>
            <w:pPr>
              <w:ind w:left="20"/>
              <w:spacing w:after="0"/>
              <w:rPr>
                <w:sz w:val="20"/>
                <w:szCs w:val="20"/>
                <w:color w:val="auto"/>
              </w:rPr>
            </w:pPr>
            <w:r>
              <w:rPr>
                <w:rFonts w:ascii="Arial" w:cs="Arial" w:eastAsia="Arial" w:hAnsi="Arial"/>
                <w:sz w:val="16"/>
                <w:szCs w:val="16"/>
                <w:color w:val="auto"/>
              </w:rPr>
              <w:t>Akamai Technologies</w:t>
            </w:r>
          </w:p>
        </w:tc>
        <w:tc>
          <w:tcPr>
            <w:tcW w:w="3400" w:type="dxa"/>
            <w:vAlign w:val="bottom"/>
            <w:tcBorders>
              <w:top w:val="single" w:sz="8" w:color="939598"/>
              <w:bottom w:val="single" w:sz="8" w:color="939598"/>
            </w:tcBorders>
          </w:tcPr>
          <w:p>
            <w:pPr>
              <w:ind w:left="620"/>
              <w:spacing w:after="0"/>
              <w:rPr>
                <w:sz w:val="20"/>
                <w:szCs w:val="20"/>
                <w:color w:val="auto"/>
              </w:rPr>
            </w:pPr>
            <w:r>
              <w:rPr>
                <w:rFonts w:ascii="Arial" w:cs="Arial" w:eastAsia="Arial" w:hAnsi="Arial"/>
                <w:sz w:val="16"/>
                <w:szCs w:val="16"/>
                <w:color w:val="auto"/>
              </w:rPr>
              <w:t>F5 Networks</w:t>
            </w:r>
          </w:p>
        </w:tc>
        <w:tc>
          <w:tcPr>
            <w:tcW w:w="3940" w:type="dxa"/>
            <w:vAlign w:val="bottom"/>
            <w:tcBorders>
              <w:top w:val="single" w:sz="8" w:color="939598"/>
              <w:bottom w:val="single" w:sz="8" w:color="939598"/>
            </w:tcBorders>
          </w:tcPr>
          <w:p>
            <w:pPr>
              <w:ind w:left="840"/>
              <w:spacing w:after="0"/>
              <w:rPr>
                <w:sz w:val="20"/>
                <w:szCs w:val="20"/>
                <w:color w:val="auto"/>
              </w:rPr>
            </w:pPr>
            <w:r>
              <w:rPr>
                <w:rFonts w:ascii="Arial" w:cs="Arial" w:eastAsia="Arial" w:hAnsi="Arial"/>
                <w:sz w:val="16"/>
                <w:szCs w:val="16"/>
                <w:color w:val="auto"/>
              </w:rPr>
              <w:t>Jack Henry</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ANSYS</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Factset Research Systems</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Paychex</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Autodesk</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Fiserv</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Roper Technologies</w:t>
            </w:r>
          </w:p>
        </w:tc>
      </w:tr>
      <w:tr>
        <w:trPr>
          <w:trHeight w:val="209"/>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Broadridge Financial</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Fortinet</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Synopsys</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Cadence Design Systems</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Global Payments</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Teradata</w:t>
            </w:r>
          </w:p>
        </w:tc>
      </w:tr>
      <w:tr>
        <w:trPr>
          <w:trHeight w:val="209"/>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Corpay (formerly known as FLEETCOR)</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Intuit</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Verisk Analytics</w:t>
            </w:r>
          </w:p>
        </w:tc>
      </w:tr>
      <w:tr>
        <w:trPr>
          <w:trHeight w:val="236"/>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Equinix</w:t>
            </w:r>
          </w:p>
        </w:tc>
        <w:tc>
          <w:tcPr>
            <w:tcW w:w="3400" w:type="dxa"/>
            <w:vAlign w:val="bottom"/>
            <w:tcBorders>
              <w:bottom w:val="single" w:sz="8" w:color="939598"/>
            </w:tcBorders>
          </w:tcPr>
          <w:p>
            <w:pPr>
              <w:spacing w:after="0"/>
              <w:rPr>
                <w:sz w:val="20"/>
                <w:szCs w:val="20"/>
                <w:color w:val="auto"/>
              </w:rPr>
            </w:pPr>
          </w:p>
        </w:tc>
        <w:tc>
          <w:tcPr>
            <w:tcW w:w="3940" w:type="dxa"/>
            <w:vAlign w:val="bottom"/>
            <w:tcBorders>
              <w:bottom w:val="single" w:sz="8" w:color="939598"/>
            </w:tcBorders>
          </w:tcPr>
          <w:p>
            <w:pPr>
              <w:spacing w:after="0"/>
              <w:rPr>
                <w:sz w:val="20"/>
                <w:szCs w:val="20"/>
                <w:color w:val="auto"/>
              </w:rPr>
            </w:pPr>
          </w:p>
        </w:tc>
      </w:tr>
    </w:tbl>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At the time the Compensation Committee determined the 2023 peer group, Verisign’s revenue, operating income before depreciation and amortization (“Adjusted Operating Income”), and market capitalization as compared to our 2023 peer group were as follows: first quartile for revenue, second quartile for Adjusted Operating Income, and second quartile for market capitalization.</w:t>
      </w:r>
    </w:p>
    <w:p>
      <w:pPr>
        <w:spacing w:after="0" w:line="5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October 2023, as part of its annual review of our peer group, the compensation consultant provided the Compensation Committee with an evaluation of, and recommendation for, our peer group based on revenue, market capitalization, free cash flow yield, Adjusted Operating Income growth, use of dividends or buybacks, inclusion in the S&amp;P 500 index and their industry. Based on this review, the Compensation Committee approved the same 19 peer group companies to be used in setting 2024 compensation.</w:t>
      </w:r>
    </w:p>
    <w:p>
      <w:pPr>
        <w:spacing w:after="0" w:line="200" w:lineRule="exact"/>
        <w:rPr>
          <w:sz w:val="20"/>
          <w:szCs w:val="20"/>
          <w:color w:val="auto"/>
        </w:rPr>
      </w:pPr>
    </w:p>
    <w:p>
      <w:pPr>
        <w:spacing w:after="0" w:line="324"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Base Salary</w:t>
      </w:r>
    </w:p>
    <w:p>
      <w:pPr>
        <w:spacing w:after="0" w:line="11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Based on the review described above under the “Role of the Compensation Committee,” the Compensation Committee approved adjustments to our NEOs’ salaries as summarized in the chart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2022 BASE</w:t>
            </w: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2023 BASE</w:t>
            </w:r>
          </w:p>
        </w:tc>
        <w:tc>
          <w:tcPr>
            <w:tcW w:w="5580" w:type="dxa"/>
            <w:vAlign w:val="bottom"/>
          </w:tcPr>
          <w:p>
            <w:pPr>
              <w:spacing w:after="0"/>
              <w:rPr>
                <w:sz w:val="13"/>
                <w:szCs w:val="13"/>
                <w:color w:val="auto"/>
              </w:rPr>
            </w:pPr>
          </w:p>
        </w:tc>
      </w:tr>
      <w:tr>
        <w:trPr>
          <w:trHeight w:val="18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right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right w:val="single" w:sz="8" w:color="auto"/>
            </w:tcBorders>
          </w:tcPr>
          <w:p>
            <w:pPr>
              <w:spacing w:after="0"/>
              <w:rPr>
                <w:sz w:val="16"/>
                <w:szCs w:val="16"/>
                <w:color w:val="auto"/>
              </w:rPr>
            </w:pPr>
          </w:p>
        </w:tc>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RATIONALE FOR ADJUSTMENT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D. James Bidzos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859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Todd B. Strubbe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85950" cy="351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85950" cy="3511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George E. Kilguss,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859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Danny R.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85950" cy="351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85950" cy="351155"/>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859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29210</wp:posOffset>
            </wp:positionV>
            <wp:extent cx="7543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$590,000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29210</wp:posOffset>
            </wp:positionV>
            <wp:extent cx="754380" cy="351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54380" cy="3511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123825</wp:posOffset>
            </wp:positionV>
            <wp:extent cx="7543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123825</wp:posOffset>
            </wp:positionV>
            <wp:extent cx="754380" cy="3511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54380" cy="3511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$515,000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123825</wp:posOffset>
            </wp:positionV>
            <wp:extent cx="7543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29210</wp:posOffset>
            </wp:positionV>
            <wp:extent cx="7543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$590,000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29210</wp:posOffset>
            </wp:positionV>
            <wp:extent cx="754380" cy="3511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3511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$555,000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123825</wp:posOffset>
            </wp:positionV>
            <wp:extent cx="7543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$555,000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123825</wp:posOffset>
            </wp:positionV>
            <wp:extent cx="754380" cy="3511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3511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$555,000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123825</wp:posOffset>
            </wp:positionV>
            <wp:extent cx="7543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Mr. Kilguss received a salary increase to create better alignment both internally with respect to the executive leadership and externally with peer group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-349250</wp:posOffset>
            </wp:positionV>
            <wp:extent cx="3557270" cy="360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57270" cy="3600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-512445</wp:posOffset>
            </wp:positionV>
            <wp:extent cx="35572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jc w:val="both"/>
        <w:ind w:right="240"/>
        <w:spacing w:after="0" w:line="234" w:lineRule="auto"/>
        <w:rPr>
          <w:sz w:val="20"/>
          <w:szCs w:val="20"/>
          <w:color w:val="auto"/>
        </w:rPr>
      </w:pPr>
      <w:r>
        <w:rPr>
          <w:rFonts w:ascii="Arial" w:cs="Arial" w:eastAsia="Arial" w:hAnsi="Arial"/>
          <w:sz w:val="16"/>
          <w:szCs w:val="16"/>
          <w:color w:val="auto"/>
        </w:rPr>
        <w:t>Mr. McPherson received a salary increase to create better alignment both internally with respect to the executive leadership and externally with peer group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3557270" cy="351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57270" cy="351155"/>
                    </a:xfrm>
                    <a:prstGeom prst="rect">
                      <a:avLst/>
                    </a:prstGeom>
                    <a:noFill/>
                  </pic:spPr>
                </pic:pic>
              </a:graphicData>
            </a:graphic>
          </wp:anchor>
        </w:drawing>
      </w:r>
    </w:p>
    <w:p>
      <w:pPr>
        <w:ind w:right="240"/>
        <w:spacing w:after="0" w:line="234" w:lineRule="auto"/>
        <w:rPr>
          <w:sz w:val="20"/>
          <w:szCs w:val="20"/>
          <w:color w:val="auto"/>
        </w:rPr>
      </w:pPr>
      <w:r>
        <w:rPr>
          <w:rFonts w:ascii="Arial" w:cs="Arial" w:eastAsia="Arial" w:hAnsi="Arial"/>
          <w:sz w:val="16"/>
          <w:szCs w:val="16"/>
          <w:color w:val="auto"/>
        </w:rPr>
        <w:t>Mr. Indelicarto received a salary increase to create better alignment both internally with respect to the executive leadership and externally with peer group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35572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840" w:space="720"/>
            <w:col w:w="680" w:space="600"/>
            <w:col w:w="680" w:space="180"/>
            <w:col w:w="5540"/>
          </w:cols>
          <w:pgMar w:left="320" w:top="121"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Annual Incentive Bonus</w:t>
      </w:r>
    </w:p>
    <w:p>
      <w:pPr>
        <w:spacing w:after="0" w:line="11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NEOs participate in the Verisign Performance Plan (“VPP”), which is a cash-based annual bonus plan. VPP bonuses are based on the Company’s achievement of financial goals established by the Compensation Committee in advance, as well as individual performance. The Compensation Committee determines the target annual incentive opportunity for each of our NEOs based on a comparison to our peer group and FW Cook’s executive compensation benchmarking report. For 2023, the Compensation Committee approved the following VPP bonus targets as a percentage of base salary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67310</wp:posOffset>
            </wp:positionV>
            <wp:extent cx="1157605" cy="3600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57605"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91502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15025" cy="16319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D. James Bidzos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150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Todd B. Strubbe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15025"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15025" cy="1460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George E. Kilguss, III</w:t>
      </w:r>
      <w:r>
        <w:rPr>
          <w:rFonts w:ascii="Arial" w:cs="Arial" w:eastAsia="Arial" w:hAnsi="Arial"/>
          <w:sz w:val="21"/>
          <w:szCs w:val="21"/>
          <w:b w:val="1"/>
          <w:bCs w:val="1"/>
          <w:color w:val="004A9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9150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4A98"/>
        </w:rPr>
        <w:t>Danny R. McPherson</w:t>
      </w:r>
      <w:r>
        <w:rPr>
          <w:rFonts w:ascii="Arial" w:cs="Arial" w:eastAsia="Arial" w:hAnsi="Arial"/>
          <w:sz w:val="21"/>
          <w:szCs w:val="21"/>
          <w:b w:val="1"/>
          <w:bCs w:val="1"/>
          <w:color w:val="004A9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91502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1502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4A98"/>
        </w:rPr>
        <w:t>Thomas Indelicarto</w:t>
      </w:r>
      <w:r>
        <w:rPr>
          <w:rFonts w:ascii="Arial" w:cs="Arial" w:eastAsia="Arial" w:hAnsi="Arial"/>
          <w:sz w:val="21"/>
          <w:szCs w:val="21"/>
          <w:b w:val="1"/>
          <w:bCs w:val="1"/>
          <w:color w:val="004A9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150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0"/>
          <w:szCs w:val="10"/>
          <w:b w:val="1"/>
          <w:bCs w:val="1"/>
          <w:color w:val="auto"/>
        </w:rPr>
        <w:t>2023 BONUS TARGET AS A</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1"/>
          <w:szCs w:val="11"/>
          <w:b w:val="1"/>
          <w:bCs w:val="1"/>
          <w:color w:val="auto"/>
        </w:rPr>
        <w:t>% OF BASE SALARY</w:t>
      </w:r>
    </w:p>
    <w:p>
      <w:pPr>
        <w:spacing w:after="0" w:line="5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29210</wp:posOffset>
            </wp:positionV>
            <wp:extent cx="11576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1157605"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57605" cy="14605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11576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5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115760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57605" cy="14605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1157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ind w:left="260" w:right="220" w:hanging="252"/>
        <w:spacing w:after="0" w:line="231" w:lineRule="auto"/>
        <w:tabs>
          <w:tab w:leader="none" w:pos="264"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For 2023, all Executive Vice Presidents, including Messrs. Kilguss, McPherson and Indelicarto, received a bonus target % increase from 95% to 100% to better align with peer group market data. There was no change to Mr. Bidzos’ or Mr. Strubbe’s target bonus.</w:t>
      </w:r>
    </w:p>
    <w:p>
      <w:pPr>
        <w:spacing w:after="0" w:line="8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Compensation Committee approves the actual annual incentive award payments for our NEOs after reviewing the Company’s and the individual’s performance. The Company’s performance determines the initial level of funding for the annual incentive bonus pool. The Compensation Committee then considers, and approves or amends as appropriate, the CEO’s recommendations for modifying any individual award above or below that level of funding based on an assessment of each NEO’s performance, and the Board’s assessment of the CEO’s performance. All annual bonus awards are subject to a maximum of 175% of the NEO’s target bonus under the VPP.</w:t>
      </w:r>
    </w:p>
    <w:p>
      <w:pPr>
        <w:spacing w:after="0" w:line="8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Company’s performance goals for the 2023 VPP were approved by the Compensation Committee in December 2022 and were based on two financial measures, weighted equally: (i) revenue and (ii) operating margin. The Company’s 2023 performance must have equaled or exceeded 98% of the established target for either revenue or operating margin before any funding of the bonus pool may occur. The table below illustrates different achievement levels for funding of the 2023 VPP bonus pool (threshold, target, and maximum) for each of these financial measures. The table also illustrates adjusted actual revenue and operating margin achieved for 2023 and the corresponding funding levels that resulted in an 88.8% funding for the 2023 VPP bonus pool.</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771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Revenue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3771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Total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9"/>
          <w:szCs w:val="9"/>
          <w:color w:val="auto"/>
        </w:rPr>
        <w:t>(1) Actual funding for performance achievement of 100% to 101% of the target is 100%.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252095</wp:posOffset>
            </wp:positionV>
            <wp:extent cx="3274695" cy="274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4695" cy="2743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219"/>
        <w:spacing w:after="0"/>
        <w:rPr>
          <w:sz w:val="20"/>
          <w:szCs w:val="20"/>
          <w:color w:val="auto"/>
        </w:rPr>
      </w:pPr>
      <w:r>
        <w:rPr>
          <w:rFonts w:ascii="Arial" w:cs="Arial" w:eastAsia="Arial" w:hAnsi="Arial"/>
          <w:sz w:val="15"/>
          <w:szCs w:val="15"/>
          <w:b w:val="1"/>
          <w:bCs w:val="1"/>
          <w:color w:val="auto"/>
        </w:rPr>
        <w:t>ACTUAL</w:t>
      </w:r>
    </w:p>
    <w:p>
      <w:pPr>
        <w:jc w:val="center"/>
        <w:ind w:left="-219"/>
        <w:spacing w:after="0"/>
        <w:rPr>
          <w:sz w:val="20"/>
          <w:szCs w:val="20"/>
          <w:color w:val="auto"/>
        </w:rPr>
      </w:pPr>
      <w:r>
        <w:rPr>
          <w:rFonts w:ascii="Arial" w:cs="Arial" w:eastAsia="Arial" w:hAnsi="Arial"/>
          <w:sz w:val="15"/>
          <w:szCs w:val="15"/>
          <w:b w:val="1"/>
          <w:bCs w:val="1"/>
          <w:color w:val="auto"/>
        </w:rPr>
        <w:t>FUNDING</w:t>
      </w:r>
      <w:r>
        <w:rPr>
          <w:rFonts w:ascii="Arial" w:cs="Arial" w:eastAsia="Arial" w:hAnsi="Arial"/>
          <w:sz w:val="19"/>
          <w:szCs w:val="19"/>
          <w:b w:val="1"/>
          <w:bCs w:val="1"/>
          <w:color w:val="auto"/>
          <w:vertAlign w:val="superscript"/>
        </w:rPr>
        <w:t>(1)</w:t>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38.8 %</w:t>
      </w: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50.0 %</w:t>
      </w: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88.8 %</w:t>
      </w:r>
    </w:p>
    <w:p>
      <w:pPr>
        <w:spacing w:after="0" w:line="329" w:lineRule="exact"/>
        <w:rPr>
          <w:sz w:val="20"/>
          <w:szCs w:val="20"/>
          <w:color w:val="auto"/>
        </w:rPr>
      </w:pPr>
    </w:p>
    <w:p>
      <w:pPr>
        <w:sectPr>
          <w:pgSz w:w="11900" w:h="16838" w:orient="portrait"/>
          <w:cols w:equalWidth="0" w:num="2">
            <w:col w:w="8720" w:space="720"/>
            <w:col w:w="1800"/>
          </w:cols>
          <w:pgMar w:left="320" w:top="121" w:right="339" w:bottom="1440" w:gutter="0" w:footer="0" w:header="0"/>
        </w:sectPr>
      </w:pPr>
    </w:p>
    <w:p>
      <w:pPr>
        <w:ind w:right="460"/>
        <w:spacing w:after="0" w:line="268" w:lineRule="auto"/>
        <w:rPr>
          <w:sz w:val="20"/>
          <w:szCs w:val="20"/>
          <w:color w:val="auto"/>
        </w:rPr>
      </w:pPr>
      <w:r>
        <w:rPr>
          <w:rFonts w:ascii="Arial" w:cs="Arial" w:eastAsia="Arial" w:hAnsi="Arial"/>
          <w:sz w:val="16"/>
          <w:szCs w:val="16"/>
          <w:color w:val="auto"/>
        </w:rPr>
        <w:t>The chart below indicates the Compensation Committee’s approved annual incentive bonus award for each NEO under the 2023 VPP. All of our NEOs received a bonus payment at the funding multiplier level with no further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5080</wp:posOffset>
            </wp:positionV>
            <wp:extent cx="8255" cy="5740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57404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5080</wp:posOffset>
            </wp:positionV>
            <wp:extent cx="8890" cy="5740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890" cy="5740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5080</wp:posOffset>
            </wp:positionV>
            <wp:extent cx="8890" cy="5740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574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BONUS</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98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2023 ACTUAL BONUS PAYMENT</w:t>
            </w:r>
          </w:p>
        </w:tc>
        <w:tc>
          <w:tcPr>
            <w:tcW w:w="820" w:type="dxa"/>
            <w:vAlign w:val="bottom"/>
            <w:tcBorders>
              <w:bottom w:val="single" w:sz="8" w:color="auto"/>
            </w:tcBorders>
          </w:tcPr>
          <w:p>
            <w:pPr>
              <w:spacing w:after="0"/>
              <w:rPr>
                <w:sz w:val="17"/>
                <w:szCs w:val="17"/>
                <w:color w:val="auto"/>
              </w:rPr>
            </w:pPr>
          </w:p>
        </w:tc>
      </w:tr>
      <w:tr>
        <w:trPr>
          <w:trHeight w:val="171"/>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FUNDING</w:t>
            </w:r>
          </w:p>
        </w:tc>
        <w:tc>
          <w:tcPr>
            <w:tcW w:w="1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ACTUAL</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8"/>
        </w:trPr>
        <w:tc>
          <w:tcPr>
            <w:tcW w:w="3500" w:type="dxa"/>
            <w:vAlign w:val="bottom"/>
          </w:tcPr>
          <w:p>
            <w:pPr>
              <w:spacing w:after="0"/>
              <w:rPr>
                <w:sz w:val="12"/>
                <w:szCs w:val="12"/>
                <w:color w:val="auto"/>
              </w:rPr>
            </w:pPr>
          </w:p>
        </w:tc>
        <w:tc>
          <w:tcPr>
            <w:tcW w:w="120" w:type="dxa"/>
            <w:vAlign w:val="bottom"/>
            <w:tcBorders>
              <w:right w:val="single" w:sz="8" w:color="auto"/>
            </w:tcBorders>
            <w:gridSpan w:val="2"/>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AS A % OF</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MULTIPLIER</w:t>
            </w:r>
          </w:p>
        </w:tc>
        <w:tc>
          <w:tcPr>
            <w:tcW w:w="1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PAYOUT</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ACTUAL</w:t>
            </w: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BASE</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BASE</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AS A % OF</w:t>
            </w:r>
          </w:p>
        </w:tc>
        <w:tc>
          <w:tcPr>
            <w:tcW w:w="1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AS A % OF</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185"/>
        </w:trPr>
        <w:tc>
          <w:tcPr>
            <w:tcW w:w="3500" w:type="dxa"/>
            <w:vAlign w:val="bottom"/>
          </w:tcPr>
          <w:p>
            <w:pPr>
              <w:ind w:left="4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TARGET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r>
      <w:tr>
        <w:trPr>
          <w:trHeight w:val="22"/>
        </w:trPr>
        <w:tc>
          <w:tcPr>
            <w:tcW w:w="3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6E7E8"/>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3"/>
        </w:trPr>
        <w:tc>
          <w:tcPr>
            <w:tcW w:w="3500" w:type="dxa"/>
            <w:vAlign w:val="bottom"/>
            <w:tcBorders>
              <w:bottom w:val="single" w:sz="8" w:color="949699"/>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D. James Bidzos</w:t>
            </w:r>
          </w:p>
        </w:tc>
        <w:tc>
          <w:tcPr>
            <w:tcW w:w="80" w:type="dxa"/>
            <w:vAlign w:val="bottom"/>
          </w:tcPr>
          <w:p>
            <w:pPr>
              <w:spacing w:after="0"/>
              <w:rPr>
                <w:sz w:val="20"/>
                <w:szCs w:val="20"/>
                <w:color w:val="auto"/>
              </w:rPr>
            </w:pPr>
          </w:p>
        </w:tc>
        <w:tc>
          <w:tcPr>
            <w:tcW w:w="1100" w:type="dxa"/>
            <w:vAlign w:val="bottom"/>
            <w:tcBorders>
              <w:bottom w:val="single" w:sz="8" w:color="949699"/>
            </w:tcBorders>
            <w:gridSpan w:val="2"/>
            <w:shd w:val="clear" w:color="auto" w:fill="E6E7E8"/>
          </w:tcPr>
          <w:p>
            <w:pPr>
              <w:jc w:val="right"/>
              <w:spacing w:after="0"/>
              <w:rPr>
                <w:sz w:val="20"/>
                <w:szCs w:val="20"/>
                <w:color w:val="auto"/>
              </w:rPr>
            </w:pPr>
            <w:r>
              <w:rPr>
                <w:rFonts w:ascii="Arial" w:cs="Arial" w:eastAsia="Arial" w:hAnsi="Arial"/>
                <w:sz w:val="14"/>
                <w:szCs w:val="14"/>
                <w:color w:val="auto"/>
              </w:rPr>
              <w:t>$950,000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40" w:type="dxa"/>
            <w:vAlign w:val="bottom"/>
            <w:tcBorders>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180" w:type="dxa"/>
            <w:vAlign w:val="bottom"/>
            <w:tcBorders>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right w:val="single" w:sz="8" w:color="E6E7E8"/>
            </w:tcBorders>
          </w:tcPr>
          <w:p>
            <w:pPr>
              <w:spacing w:after="0"/>
              <w:rPr>
                <w:sz w:val="20"/>
                <w:szCs w:val="20"/>
                <w:color w:val="auto"/>
              </w:rPr>
            </w:pPr>
          </w:p>
        </w:tc>
        <w:tc>
          <w:tcPr>
            <w:tcW w:w="1160" w:type="dxa"/>
            <w:vAlign w:val="bottom"/>
            <w:tcBorders>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Borders>
              <w:right w:val="single" w:sz="8" w:color="E6E7E8"/>
            </w:tcBorders>
          </w:tcPr>
          <w:p>
            <w:pPr>
              <w:spacing w:after="0"/>
              <w:rPr>
                <w:sz w:val="20"/>
                <w:szCs w:val="20"/>
                <w:color w:val="auto"/>
              </w:rPr>
            </w:pPr>
          </w:p>
        </w:tc>
        <w:tc>
          <w:tcPr>
            <w:tcW w:w="400" w:type="dxa"/>
            <w:vAlign w:val="bottom"/>
            <w:tcBorders>
              <w:bottom w:val="single" w:sz="8" w:color="949699"/>
            </w:tcBorders>
            <w:shd w:val="clear" w:color="auto" w:fill="E6E7E8"/>
          </w:tcPr>
          <w:p>
            <w:pPr>
              <w:spacing w:after="0"/>
              <w:rPr>
                <w:sz w:val="20"/>
                <w:szCs w:val="20"/>
                <w:color w:val="auto"/>
              </w:rPr>
            </w:pPr>
          </w:p>
        </w:tc>
        <w:tc>
          <w:tcPr>
            <w:tcW w:w="820" w:type="dxa"/>
            <w:vAlign w:val="bottom"/>
            <w:tcBorders>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$1,265,400</w:t>
            </w:r>
          </w:p>
        </w:tc>
      </w:tr>
      <w:tr>
        <w:trPr>
          <w:trHeight w:val="236"/>
        </w:trPr>
        <w:tc>
          <w:tcPr>
            <w:tcW w:w="3500" w:type="dxa"/>
            <w:vAlign w:val="bottom"/>
          </w:tcPr>
          <w:p>
            <w:pPr>
              <w:ind w:left="20"/>
              <w:spacing w:after="0"/>
              <w:rPr>
                <w:sz w:val="20"/>
                <w:szCs w:val="20"/>
                <w:color w:val="auto"/>
              </w:rPr>
            </w:pPr>
            <w:r>
              <w:rPr>
                <w:rFonts w:ascii="Arial" w:cs="Arial" w:eastAsia="Arial" w:hAnsi="Arial"/>
                <w:sz w:val="16"/>
                <w:szCs w:val="16"/>
                <w:b w:val="1"/>
                <w:bCs w:val="1"/>
                <w:color w:val="004A98"/>
              </w:rPr>
              <w:t>Todd B. Strubbe</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$590,000</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88.8%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$523,920</w:t>
            </w:r>
          </w:p>
        </w:tc>
      </w:tr>
      <w:tr>
        <w:trPr>
          <w:trHeight w:val="237"/>
        </w:trPr>
        <w:tc>
          <w:tcPr>
            <w:tcW w:w="3500" w:type="dxa"/>
            <w:vAlign w:val="bottom"/>
            <w:tcBorders>
              <w:top w:val="single" w:sz="8" w:color="949699"/>
              <w:bottom w:val="single" w:sz="8" w:color="949699"/>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80" w:type="dxa"/>
            <w:vAlign w:val="bottom"/>
          </w:tcPr>
          <w:p>
            <w:pPr>
              <w:spacing w:after="0"/>
              <w:rPr>
                <w:sz w:val="20"/>
                <w:szCs w:val="20"/>
                <w:color w:val="auto"/>
              </w:rPr>
            </w:pPr>
          </w:p>
        </w:tc>
        <w:tc>
          <w:tcPr>
            <w:tcW w:w="1100" w:type="dxa"/>
            <w:vAlign w:val="bottom"/>
            <w:tcBorders>
              <w:top w:val="single" w:sz="8" w:color="949699"/>
              <w:bottom w:val="single" w:sz="8" w:color="949699"/>
            </w:tcBorders>
            <w:gridSpan w:val="2"/>
            <w:shd w:val="clear" w:color="auto" w:fill="E6E7E8"/>
          </w:tcPr>
          <w:p>
            <w:pPr>
              <w:jc w:val="right"/>
              <w:spacing w:after="0"/>
              <w:rPr>
                <w:sz w:val="20"/>
                <w:szCs w:val="20"/>
                <w:color w:val="auto"/>
              </w:rPr>
            </w:pPr>
            <w:r>
              <w:rPr>
                <w:rFonts w:ascii="Arial" w:cs="Arial" w:eastAsia="Arial" w:hAnsi="Arial"/>
                <w:sz w:val="14"/>
                <w:szCs w:val="14"/>
                <w:color w:val="auto"/>
              </w:rPr>
              <w:t>$555,000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4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18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right w:val="single" w:sz="8" w:color="E6E7E8"/>
            </w:tcBorders>
          </w:tcPr>
          <w:p>
            <w:pPr>
              <w:spacing w:after="0"/>
              <w:rPr>
                <w:sz w:val="20"/>
                <w:szCs w:val="20"/>
                <w:color w:val="auto"/>
              </w:rPr>
            </w:pPr>
          </w:p>
        </w:tc>
        <w:tc>
          <w:tcPr>
            <w:tcW w:w="116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Borders>
              <w:right w:val="single" w:sz="8" w:color="E6E7E8"/>
            </w:tcBorders>
          </w:tcPr>
          <w:p>
            <w:pPr>
              <w:spacing w:after="0"/>
              <w:rPr>
                <w:sz w:val="20"/>
                <w:szCs w:val="20"/>
                <w:color w:val="auto"/>
              </w:rPr>
            </w:pPr>
          </w:p>
        </w:tc>
        <w:tc>
          <w:tcPr>
            <w:tcW w:w="400" w:type="dxa"/>
            <w:vAlign w:val="bottom"/>
            <w:tcBorders>
              <w:top w:val="single" w:sz="8" w:color="949699"/>
              <w:bottom w:val="single" w:sz="8" w:color="949699"/>
            </w:tcBorders>
            <w:shd w:val="clear" w:color="auto" w:fill="E6E7E8"/>
          </w:tcPr>
          <w:p>
            <w:pPr>
              <w:spacing w:after="0"/>
              <w:rPr>
                <w:sz w:val="20"/>
                <w:szCs w:val="20"/>
                <w:color w:val="auto"/>
              </w:rPr>
            </w:pPr>
          </w:p>
        </w:tc>
        <w:tc>
          <w:tcPr>
            <w:tcW w:w="82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$492,840</w:t>
            </w:r>
          </w:p>
        </w:tc>
      </w:tr>
      <w:tr>
        <w:trPr>
          <w:trHeight w:val="237"/>
        </w:trPr>
        <w:tc>
          <w:tcPr>
            <w:tcW w:w="3500" w:type="dxa"/>
            <w:vAlign w:val="bottom"/>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$555,000</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88.8%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$492,840</w:t>
            </w:r>
          </w:p>
        </w:tc>
      </w:tr>
      <w:tr>
        <w:trPr>
          <w:trHeight w:val="213"/>
        </w:trPr>
        <w:tc>
          <w:tcPr>
            <w:tcW w:w="3500" w:type="dxa"/>
            <w:vAlign w:val="bottom"/>
            <w:tcBorders>
              <w:top w:val="single" w:sz="8" w:color="949699"/>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80" w:type="dxa"/>
            <w:vAlign w:val="bottom"/>
          </w:tcPr>
          <w:p>
            <w:pPr>
              <w:spacing w:after="0"/>
              <w:rPr>
                <w:sz w:val="18"/>
                <w:szCs w:val="18"/>
                <w:color w:val="auto"/>
              </w:rPr>
            </w:pPr>
          </w:p>
        </w:tc>
        <w:tc>
          <w:tcPr>
            <w:tcW w:w="1100" w:type="dxa"/>
            <w:vAlign w:val="bottom"/>
            <w:tcBorders>
              <w:top w:val="single" w:sz="8" w:color="949699"/>
              <w:bottom w:val="single" w:sz="8" w:color="949699"/>
            </w:tcBorders>
            <w:gridSpan w:val="2"/>
            <w:shd w:val="clear" w:color="auto" w:fill="E6E7E8"/>
          </w:tcPr>
          <w:p>
            <w:pPr>
              <w:jc w:val="right"/>
              <w:spacing w:after="0"/>
              <w:rPr>
                <w:sz w:val="20"/>
                <w:szCs w:val="20"/>
                <w:color w:val="auto"/>
              </w:rPr>
            </w:pPr>
            <w:r>
              <w:rPr>
                <w:rFonts w:ascii="Arial" w:cs="Arial" w:eastAsia="Arial" w:hAnsi="Arial"/>
                <w:sz w:val="14"/>
                <w:szCs w:val="14"/>
                <w:color w:val="auto"/>
              </w:rPr>
              <w:t>$555,000</w:t>
            </w:r>
          </w:p>
        </w:tc>
        <w:tc>
          <w:tcPr>
            <w:tcW w:w="20" w:type="dxa"/>
            <w:vAlign w:val="bottom"/>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4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18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right w:val="single" w:sz="8" w:color="E6E7E8"/>
            </w:tcBorders>
          </w:tcPr>
          <w:p>
            <w:pPr>
              <w:spacing w:after="0"/>
              <w:rPr>
                <w:sz w:val="18"/>
                <w:szCs w:val="18"/>
                <w:color w:val="auto"/>
              </w:rPr>
            </w:pPr>
          </w:p>
        </w:tc>
        <w:tc>
          <w:tcPr>
            <w:tcW w:w="116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88.8 %</w:t>
            </w:r>
          </w:p>
        </w:tc>
        <w:tc>
          <w:tcPr>
            <w:tcW w:w="120" w:type="dxa"/>
            <w:vAlign w:val="bottom"/>
            <w:tcBorders>
              <w:right w:val="single" w:sz="8" w:color="E6E7E8"/>
            </w:tcBorders>
          </w:tcPr>
          <w:p>
            <w:pPr>
              <w:spacing w:after="0"/>
              <w:rPr>
                <w:sz w:val="18"/>
                <w:szCs w:val="18"/>
                <w:color w:val="auto"/>
              </w:rPr>
            </w:pPr>
          </w:p>
        </w:tc>
        <w:tc>
          <w:tcPr>
            <w:tcW w:w="400" w:type="dxa"/>
            <w:vAlign w:val="bottom"/>
            <w:tcBorders>
              <w:top w:val="single" w:sz="8" w:color="949699"/>
              <w:bottom w:val="single" w:sz="8" w:color="949699"/>
            </w:tcBorders>
            <w:shd w:val="clear" w:color="auto" w:fill="E6E7E8"/>
          </w:tcPr>
          <w:p>
            <w:pPr>
              <w:spacing w:after="0"/>
              <w:rPr>
                <w:sz w:val="18"/>
                <w:szCs w:val="18"/>
                <w:color w:val="auto"/>
              </w:rPr>
            </w:pPr>
          </w:p>
        </w:tc>
        <w:tc>
          <w:tcPr>
            <w:tcW w:w="82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$492,840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Long-Term Incentive Compensation</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Equity-based grants are a key element of our total compensation program, and we issue them in accordance with our Amended and Restated VeriSign, Inc. 2006 Equity Incentive Plan (the “2006 Plan”). Consistent with our compensation philosophy, we believe it is important that these awards have a performance component and that they are based in part on TSR. Individual target award amounts are based on several factors including competitiveness as determined by data provided by our compensation consultant, job responsibilities, individual contributions, and the future potential of the NEO.</w:t>
      </w:r>
    </w:p>
    <w:p>
      <w:pPr>
        <w:spacing w:after="0" w:line="6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In 2023, the Compensation Committee granted (i) a long-term equity award to Mr. Bidzos consisting of 60% performance-based restricted stock units (“PSUs”) and 40% time-based restricted stock units (“RSUs”) and (ii) long-term equity awards to our other NEOs consisting of 50% PSUs and 50% RSUs. The RSUs provide strong retention value for our executive talent as they vest ratably over four years (25% on the first anniversary of the grant date and</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6.25% on each quarterly anniversary thereafter), subject to continued employment. They are also directly linked to changes in stockholder value as their value goes up or down in connection with Verisign’s stock price. The performance metrics associated with the 2023 PSUs consist of two measures, each measured over a three-year performance period from January 1, 2023 through December 31, 2025. These measures are: (i) compound annual growth rate (“CAGR”) of the Company’s operating income and (ii) TSR of Verisign compared to the TSR of the S&amp;P 500 Index. The number of PSUs earned may range from 50% to 200% of the target award based on CAGR of operating income for the performance period, but no more than 100% of the target may be earned unless the TSR of Verisign equals or outperforms the TSR of the S&amp;P 500 Index for the performance period. We believe that these performance metrics coincide with the interests of our stockholders, create a long-term performance focus, and complement the performance metrics underlying the Company’s short term annual cash incentive plan. Cliff vesting after the three-year performance period of the 2023 PSUs supports long-term alignment with shareholder value and provides strong retention of the Company’s NEOs.</w:t>
      </w:r>
    </w:p>
    <w:p>
      <w:pPr>
        <w:spacing w:after="0" w:line="7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Compensation Committee granted equity awards on the basis described above to our NEOs on February 13, 2023 at its regularly scheduled meeting. Before determining the number of PSUs and RSUs to be granted to each NEO, the Compensation Committee determined the total dollar value of the target awards it wished to make to each NEO. The target number of PSUs granted to each of our NEOs was determined by dividing the total dollar value of the target award by the closing stock price on the date of grant rounded down to the nearest whole number of shares.</w:t>
      </w:r>
    </w:p>
    <w:p>
      <w:pPr>
        <w:spacing w:after="0" w:line="29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equity awards granted to each NEO in February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ind w:left="1240"/>
              <w:spacing w:after="0"/>
              <w:rPr>
                <w:sz w:val="20"/>
                <w:szCs w:val="20"/>
                <w:color w:val="auto"/>
              </w:rPr>
            </w:pPr>
            <w:r>
              <w:rPr>
                <w:rFonts w:ascii="Arial" w:cs="Arial" w:eastAsia="Arial" w:hAnsi="Arial"/>
                <w:sz w:val="13"/>
                <w:szCs w:val="13"/>
                <w:b w:val="1"/>
                <w:bCs w:val="1"/>
                <w:color w:val="auto"/>
              </w:rPr>
              <w:t>2023 EQUITY GRANTS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MARKET VALUE</w:t>
            </w:r>
          </w:p>
        </w:tc>
        <w:tc>
          <w:tcPr>
            <w:tcW w:w="12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GRANT DATE</w:t>
            </w:r>
          </w:p>
        </w:tc>
        <w:tc>
          <w:tcPr>
            <w:tcW w:w="66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TIME-BASED RSUs</w:t>
            </w:r>
          </w:p>
        </w:tc>
        <w:tc>
          <w:tcPr>
            <w:tcW w:w="120" w:type="dxa"/>
            <w:vAlign w:val="bottom"/>
            <w:tcBorders>
              <w:right w:val="single" w:sz="8" w:color="auto"/>
            </w:tcBorders>
          </w:tcPr>
          <w:p>
            <w:pPr>
              <w:spacing w:after="0"/>
              <w:rPr>
                <w:sz w:val="21"/>
                <w:szCs w:val="21"/>
                <w:color w:val="auto"/>
              </w:rPr>
            </w:pPr>
          </w:p>
        </w:tc>
        <w:tc>
          <w:tcPr>
            <w:tcW w:w="1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TARGET PSUs</w:t>
            </w:r>
          </w:p>
        </w:tc>
        <w:tc>
          <w:tcPr>
            <w:tcW w:w="0" w:type="dxa"/>
            <w:vAlign w:val="bottom"/>
          </w:tcPr>
          <w:p>
            <w:pPr>
              <w:spacing w:after="0"/>
              <w:rPr>
                <w:sz w:val="1"/>
                <w:szCs w:val="1"/>
                <w:color w:val="auto"/>
              </w:rPr>
            </w:pPr>
          </w:p>
        </w:tc>
      </w:tr>
      <w:tr>
        <w:trPr>
          <w:trHeight w:val="126"/>
        </w:trPr>
        <w:tc>
          <w:tcPr>
            <w:tcW w:w="3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rPr>
              <w:t>FAIR VALUE PER</w:t>
            </w:r>
          </w:p>
        </w:tc>
        <w:tc>
          <w:tcPr>
            <w:tcW w:w="6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2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OF EQUITY GRANT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gridSpan w:val="2"/>
          </w:tcPr>
          <w:p>
            <w:pPr>
              <w:ind w:left="1400"/>
              <w:spacing w:after="0"/>
              <w:rPr>
                <w:sz w:val="20"/>
                <w:szCs w:val="20"/>
                <w:color w:val="auto"/>
              </w:rPr>
            </w:pPr>
            <w:r>
              <w:rPr>
                <w:rFonts w:ascii="Arial" w:cs="Arial" w:eastAsia="Arial" w:hAnsi="Arial"/>
                <w:sz w:val="13"/>
                <w:szCs w:val="13"/>
                <w:b w:val="1"/>
                <w:bCs w:val="1"/>
                <w:color w:val="auto"/>
              </w:rPr>
              <w:t>SHARE</w:t>
            </w:r>
          </w:p>
        </w:tc>
        <w:tc>
          <w:tcPr>
            <w:tcW w:w="66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GRANTED</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5"/>
                <w:szCs w:val="15"/>
                <w:color w:val="auto"/>
              </w:rPr>
            </w:pPr>
          </w:p>
        </w:tc>
        <w:tc>
          <w:tcPr>
            <w:tcW w:w="192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GRANTED</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5E5E5"/>
            </w:tcBorders>
          </w:tcPr>
          <w:p>
            <w:pPr>
              <w:spacing w:after="0"/>
              <w:rPr>
                <w:sz w:val="18"/>
                <w:szCs w:val="18"/>
                <w:color w:val="auto"/>
              </w:rPr>
            </w:pPr>
          </w:p>
        </w:tc>
        <w:tc>
          <w:tcPr>
            <w:tcW w:w="2020" w:type="dxa"/>
            <w:vAlign w:val="bottom"/>
            <w:tcBorders>
              <w:top w:val="single" w:sz="8" w:color="auto"/>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$9,999,781</w:t>
            </w:r>
          </w:p>
        </w:tc>
        <w:tc>
          <w:tcPr>
            <w:tcW w:w="120" w:type="dxa"/>
            <w:vAlign w:val="bottom"/>
            <w:tcBorders>
              <w:right w:val="single" w:sz="8" w:color="E5E5E5"/>
            </w:tcBorders>
          </w:tcPr>
          <w:p>
            <w:pPr>
              <w:spacing w:after="0"/>
              <w:rPr>
                <w:sz w:val="18"/>
                <w:szCs w:val="18"/>
                <w:color w:val="auto"/>
              </w:rPr>
            </w:pPr>
          </w:p>
        </w:tc>
        <w:tc>
          <w:tcPr>
            <w:tcW w:w="1900" w:type="dxa"/>
            <w:vAlign w:val="bottom"/>
            <w:tcBorders>
              <w:top w:val="single" w:sz="8" w:color="auto"/>
              <w:bottom w:val="single" w:sz="8" w:color="949699"/>
            </w:tcBorders>
            <w:shd w:val="clear" w:color="auto" w:fill="E5E5E5"/>
          </w:tcPr>
          <w:p>
            <w:pPr>
              <w:ind w:left="1380"/>
              <w:spacing w:after="0"/>
              <w:rPr>
                <w:sz w:val="20"/>
                <w:szCs w:val="20"/>
                <w:color w:val="auto"/>
              </w:rPr>
            </w:pPr>
            <w:r>
              <w:rPr>
                <w:rFonts w:ascii="Arial" w:cs="Arial" w:eastAsia="Arial" w:hAnsi="Arial"/>
                <w:sz w:val="16"/>
                <w:szCs w:val="16"/>
                <w:color w:val="auto"/>
              </w:rPr>
              <w:t>212.87</w:t>
            </w:r>
          </w:p>
        </w:tc>
        <w:tc>
          <w:tcPr>
            <w:tcW w:w="120" w:type="dxa"/>
            <w:vAlign w:val="bottom"/>
            <w:tcBorders>
              <w:right w:val="single" w:sz="8" w:color="E5E5E5"/>
            </w:tcBorders>
          </w:tcPr>
          <w:p>
            <w:pPr>
              <w:spacing w:after="0"/>
              <w:rPr>
                <w:sz w:val="18"/>
                <w:szCs w:val="18"/>
                <w:color w:val="auto"/>
              </w:rPr>
            </w:pPr>
          </w:p>
        </w:tc>
        <w:tc>
          <w:tcPr>
            <w:tcW w:w="660" w:type="dxa"/>
            <w:vAlign w:val="bottom"/>
            <w:tcBorders>
              <w:top w:val="single" w:sz="8" w:color="auto"/>
              <w:bottom w:val="single" w:sz="8" w:color="949699"/>
            </w:tcBorders>
            <w:shd w:val="clear" w:color="auto" w:fill="E5E5E5"/>
          </w:tcPr>
          <w:p>
            <w:pPr>
              <w:spacing w:after="0"/>
              <w:rPr>
                <w:sz w:val="18"/>
                <w:szCs w:val="18"/>
                <w:color w:val="auto"/>
              </w:rPr>
            </w:pPr>
          </w:p>
        </w:tc>
        <w:tc>
          <w:tcPr>
            <w:tcW w:w="1260" w:type="dxa"/>
            <w:vAlign w:val="bottom"/>
            <w:tcBorders>
              <w:top w:val="single" w:sz="8" w:color="auto"/>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18,790</w:t>
            </w:r>
          </w:p>
        </w:tc>
        <w:tc>
          <w:tcPr>
            <w:tcW w:w="120" w:type="dxa"/>
            <w:vAlign w:val="bottom"/>
            <w:tcBorders>
              <w:right w:val="single" w:sz="8" w:color="E5E5E5"/>
            </w:tcBorders>
          </w:tcPr>
          <w:p>
            <w:pPr>
              <w:spacing w:after="0"/>
              <w:rPr>
                <w:sz w:val="18"/>
                <w:szCs w:val="18"/>
                <w:color w:val="auto"/>
              </w:rPr>
            </w:pPr>
          </w:p>
        </w:tc>
        <w:tc>
          <w:tcPr>
            <w:tcW w:w="1920" w:type="dxa"/>
            <w:vAlign w:val="bottom"/>
            <w:tcBorders>
              <w:top w:val="single" w:sz="8" w:color="auto"/>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28,186</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949699"/>
            </w:tcBorders>
          </w:tcPr>
          <w:p>
            <w:pPr>
              <w:ind w:left="2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Pr>
          <w:p>
            <w:pPr>
              <w:spacing w:after="0"/>
              <w:rPr>
                <w:sz w:val="18"/>
                <w:szCs w:val="18"/>
                <w:color w:val="auto"/>
              </w:rPr>
            </w:pPr>
          </w:p>
        </w:tc>
        <w:tc>
          <w:tcPr>
            <w:tcW w:w="202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$3,499,583</w:t>
            </w:r>
          </w:p>
        </w:tc>
        <w:tc>
          <w:tcPr>
            <w:tcW w:w="120" w:type="dxa"/>
            <w:vAlign w:val="bottom"/>
          </w:tcPr>
          <w:p>
            <w:pPr>
              <w:spacing w:after="0"/>
              <w:rPr>
                <w:sz w:val="18"/>
                <w:szCs w:val="18"/>
                <w:color w:val="auto"/>
              </w:rPr>
            </w:pPr>
          </w:p>
        </w:tc>
        <w:tc>
          <w:tcPr>
            <w:tcW w:w="1900" w:type="dxa"/>
            <w:vAlign w:val="bottom"/>
            <w:tcBorders>
              <w:bottom w:val="single" w:sz="8" w:color="949699"/>
            </w:tcBorders>
          </w:tcPr>
          <w:p>
            <w:pPr>
              <w:ind w:left="1380"/>
              <w:spacing w:after="0"/>
              <w:rPr>
                <w:sz w:val="20"/>
                <w:szCs w:val="20"/>
                <w:color w:val="auto"/>
              </w:rPr>
            </w:pPr>
            <w:r>
              <w:rPr>
                <w:rFonts w:ascii="Arial" w:cs="Arial" w:eastAsia="Arial" w:hAnsi="Arial"/>
                <w:sz w:val="16"/>
                <w:szCs w:val="16"/>
                <w:color w:val="auto"/>
              </w:rPr>
              <w:t>212.87</w:t>
            </w:r>
          </w:p>
        </w:tc>
        <w:tc>
          <w:tcPr>
            <w:tcW w:w="120" w:type="dxa"/>
            <w:vAlign w:val="bottom"/>
          </w:tcPr>
          <w:p>
            <w:pPr>
              <w:spacing w:after="0"/>
              <w:rPr>
                <w:sz w:val="18"/>
                <w:szCs w:val="18"/>
                <w:color w:val="auto"/>
              </w:rPr>
            </w:pPr>
          </w:p>
        </w:tc>
        <w:tc>
          <w:tcPr>
            <w:tcW w:w="660" w:type="dxa"/>
            <w:vAlign w:val="bottom"/>
            <w:tcBorders>
              <w:bottom w:val="single" w:sz="8" w:color="949699"/>
            </w:tcBorders>
          </w:tcPr>
          <w:p>
            <w:pPr>
              <w:spacing w:after="0"/>
              <w:rPr>
                <w:sz w:val="18"/>
                <w:szCs w:val="18"/>
                <w:color w:val="auto"/>
              </w:rPr>
            </w:pPr>
          </w:p>
        </w:tc>
        <w:tc>
          <w:tcPr>
            <w:tcW w:w="126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8,220</w:t>
            </w:r>
          </w:p>
        </w:tc>
        <w:tc>
          <w:tcPr>
            <w:tcW w:w="120" w:type="dxa"/>
            <w:vAlign w:val="bottom"/>
          </w:tcPr>
          <w:p>
            <w:pPr>
              <w:spacing w:after="0"/>
              <w:rPr>
                <w:sz w:val="18"/>
                <w:szCs w:val="18"/>
                <w:color w:val="auto"/>
              </w:rPr>
            </w:pPr>
          </w:p>
        </w:tc>
        <w:tc>
          <w:tcPr>
            <w:tcW w:w="192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8,220</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5E5E5"/>
            </w:tcBorders>
          </w:tcPr>
          <w:p>
            <w:pPr>
              <w:spacing w:after="0"/>
              <w:rPr>
                <w:sz w:val="18"/>
                <w:szCs w:val="18"/>
                <w:color w:val="auto"/>
              </w:rPr>
            </w:pPr>
          </w:p>
        </w:tc>
        <w:tc>
          <w:tcPr>
            <w:tcW w:w="202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$3,199,862</w:t>
            </w:r>
          </w:p>
        </w:tc>
        <w:tc>
          <w:tcPr>
            <w:tcW w:w="120" w:type="dxa"/>
            <w:vAlign w:val="bottom"/>
            <w:tcBorders>
              <w:right w:val="single" w:sz="8" w:color="E5E5E5"/>
            </w:tcBorders>
          </w:tcPr>
          <w:p>
            <w:pPr>
              <w:spacing w:after="0"/>
              <w:rPr>
                <w:sz w:val="18"/>
                <w:szCs w:val="18"/>
                <w:color w:val="auto"/>
              </w:rPr>
            </w:pPr>
          </w:p>
        </w:tc>
        <w:tc>
          <w:tcPr>
            <w:tcW w:w="1900" w:type="dxa"/>
            <w:vAlign w:val="bottom"/>
            <w:tcBorders>
              <w:bottom w:val="single" w:sz="8" w:color="949699"/>
            </w:tcBorders>
            <w:shd w:val="clear" w:color="auto" w:fill="E5E5E5"/>
          </w:tcPr>
          <w:p>
            <w:pPr>
              <w:ind w:left="1380"/>
              <w:spacing w:after="0"/>
              <w:rPr>
                <w:sz w:val="20"/>
                <w:szCs w:val="20"/>
                <w:color w:val="auto"/>
              </w:rPr>
            </w:pPr>
            <w:r>
              <w:rPr>
                <w:rFonts w:ascii="Arial" w:cs="Arial" w:eastAsia="Arial" w:hAnsi="Arial"/>
                <w:sz w:val="16"/>
                <w:szCs w:val="16"/>
                <w:color w:val="auto"/>
              </w:rPr>
              <w:t>212.87</w:t>
            </w:r>
          </w:p>
        </w:tc>
        <w:tc>
          <w:tcPr>
            <w:tcW w:w="120" w:type="dxa"/>
            <w:vAlign w:val="bottom"/>
            <w:tcBorders>
              <w:right w:val="single" w:sz="8" w:color="E5E5E5"/>
            </w:tcBorders>
          </w:tcPr>
          <w:p>
            <w:pPr>
              <w:spacing w:after="0"/>
              <w:rPr>
                <w:sz w:val="18"/>
                <w:szCs w:val="18"/>
                <w:color w:val="auto"/>
              </w:rPr>
            </w:pPr>
          </w:p>
        </w:tc>
        <w:tc>
          <w:tcPr>
            <w:tcW w:w="660" w:type="dxa"/>
            <w:vAlign w:val="bottom"/>
            <w:tcBorders>
              <w:bottom w:val="single" w:sz="8" w:color="949699"/>
            </w:tcBorders>
            <w:shd w:val="clear" w:color="auto" w:fill="E5E5E5"/>
          </w:tcPr>
          <w:p>
            <w:pPr>
              <w:spacing w:after="0"/>
              <w:rPr>
                <w:sz w:val="18"/>
                <w:szCs w:val="18"/>
                <w:color w:val="auto"/>
              </w:rPr>
            </w:pPr>
          </w:p>
        </w:tc>
        <w:tc>
          <w:tcPr>
            <w:tcW w:w="126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7,516</w:t>
            </w:r>
          </w:p>
        </w:tc>
        <w:tc>
          <w:tcPr>
            <w:tcW w:w="120" w:type="dxa"/>
            <w:vAlign w:val="bottom"/>
            <w:tcBorders>
              <w:right w:val="single" w:sz="8" w:color="E5E5E5"/>
            </w:tcBorders>
          </w:tcPr>
          <w:p>
            <w:pPr>
              <w:spacing w:after="0"/>
              <w:rPr>
                <w:sz w:val="18"/>
                <w:szCs w:val="18"/>
                <w:color w:val="auto"/>
              </w:rPr>
            </w:pPr>
          </w:p>
        </w:tc>
        <w:tc>
          <w:tcPr>
            <w:tcW w:w="192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949699"/>
            </w:tcBorders>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202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$3,199,862</w:t>
            </w:r>
          </w:p>
        </w:tc>
        <w:tc>
          <w:tcPr>
            <w:tcW w:w="120" w:type="dxa"/>
            <w:vAlign w:val="bottom"/>
          </w:tcPr>
          <w:p>
            <w:pPr>
              <w:spacing w:after="0"/>
              <w:rPr>
                <w:sz w:val="18"/>
                <w:szCs w:val="18"/>
                <w:color w:val="auto"/>
              </w:rPr>
            </w:pPr>
          </w:p>
        </w:tc>
        <w:tc>
          <w:tcPr>
            <w:tcW w:w="1900" w:type="dxa"/>
            <w:vAlign w:val="bottom"/>
            <w:tcBorders>
              <w:bottom w:val="single" w:sz="8" w:color="949699"/>
            </w:tcBorders>
          </w:tcPr>
          <w:p>
            <w:pPr>
              <w:ind w:left="1380"/>
              <w:spacing w:after="0"/>
              <w:rPr>
                <w:sz w:val="20"/>
                <w:szCs w:val="20"/>
                <w:color w:val="auto"/>
              </w:rPr>
            </w:pPr>
            <w:r>
              <w:rPr>
                <w:rFonts w:ascii="Arial" w:cs="Arial" w:eastAsia="Arial" w:hAnsi="Arial"/>
                <w:sz w:val="16"/>
                <w:szCs w:val="16"/>
                <w:color w:val="auto"/>
              </w:rPr>
              <w:t>212.87</w:t>
            </w:r>
          </w:p>
        </w:tc>
        <w:tc>
          <w:tcPr>
            <w:tcW w:w="120" w:type="dxa"/>
            <w:vAlign w:val="bottom"/>
          </w:tcPr>
          <w:p>
            <w:pPr>
              <w:spacing w:after="0"/>
              <w:rPr>
                <w:sz w:val="18"/>
                <w:szCs w:val="18"/>
                <w:color w:val="auto"/>
              </w:rPr>
            </w:pPr>
          </w:p>
        </w:tc>
        <w:tc>
          <w:tcPr>
            <w:tcW w:w="660" w:type="dxa"/>
            <w:vAlign w:val="bottom"/>
            <w:tcBorders>
              <w:bottom w:val="single" w:sz="8" w:color="949699"/>
            </w:tcBorders>
          </w:tcPr>
          <w:p>
            <w:pPr>
              <w:spacing w:after="0"/>
              <w:rPr>
                <w:sz w:val="18"/>
                <w:szCs w:val="18"/>
                <w:color w:val="auto"/>
              </w:rPr>
            </w:pPr>
          </w:p>
        </w:tc>
        <w:tc>
          <w:tcPr>
            <w:tcW w:w="126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18"/>
                <w:szCs w:val="18"/>
                <w:color w:val="auto"/>
              </w:rPr>
            </w:pPr>
          </w:p>
        </w:tc>
        <w:tc>
          <w:tcPr>
            <w:tcW w:w="192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Borders>
              <w:right w:val="single" w:sz="8" w:color="E5E5E5"/>
            </w:tcBorders>
          </w:tcPr>
          <w:p>
            <w:pPr>
              <w:spacing w:after="0"/>
              <w:rPr>
                <w:sz w:val="18"/>
                <w:szCs w:val="18"/>
                <w:color w:val="auto"/>
              </w:rPr>
            </w:pPr>
          </w:p>
        </w:tc>
        <w:tc>
          <w:tcPr>
            <w:tcW w:w="202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$3,199,862</w:t>
            </w:r>
          </w:p>
        </w:tc>
        <w:tc>
          <w:tcPr>
            <w:tcW w:w="120" w:type="dxa"/>
            <w:vAlign w:val="bottom"/>
            <w:tcBorders>
              <w:right w:val="single" w:sz="8" w:color="E5E5E5"/>
            </w:tcBorders>
          </w:tcPr>
          <w:p>
            <w:pPr>
              <w:spacing w:after="0"/>
              <w:rPr>
                <w:sz w:val="18"/>
                <w:szCs w:val="18"/>
                <w:color w:val="auto"/>
              </w:rPr>
            </w:pPr>
          </w:p>
        </w:tc>
        <w:tc>
          <w:tcPr>
            <w:tcW w:w="1900" w:type="dxa"/>
            <w:vAlign w:val="bottom"/>
            <w:tcBorders>
              <w:bottom w:val="single" w:sz="8" w:color="949699"/>
            </w:tcBorders>
            <w:shd w:val="clear" w:color="auto" w:fill="E5E5E5"/>
          </w:tcPr>
          <w:p>
            <w:pPr>
              <w:ind w:left="1380"/>
              <w:spacing w:after="0"/>
              <w:rPr>
                <w:sz w:val="20"/>
                <w:szCs w:val="20"/>
                <w:color w:val="auto"/>
              </w:rPr>
            </w:pPr>
            <w:r>
              <w:rPr>
                <w:rFonts w:ascii="Arial" w:cs="Arial" w:eastAsia="Arial" w:hAnsi="Arial"/>
                <w:sz w:val="16"/>
                <w:szCs w:val="16"/>
                <w:color w:val="auto"/>
              </w:rPr>
              <w:t>212.87</w:t>
            </w:r>
          </w:p>
        </w:tc>
        <w:tc>
          <w:tcPr>
            <w:tcW w:w="120" w:type="dxa"/>
            <w:vAlign w:val="bottom"/>
            <w:tcBorders>
              <w:right w:val="single" w:sz="8" w:color="E5E5E5"/>
            </w:tcBorders>
          </w:tcPr>
          <w:p>
            <w:pPr>
              <w:spacing w:after="0"/>
              <w:rPr>
                <w:sz w:val="18"/>
                <w:szCs w:val="18"/>
                <w:color w:val="auto"/>
              </w:rPr>
            </w:pPr>
          </w:p>
        </w:tc>
        <w:tc>
          <w:tcPr>
            <w:tcW w:w="660" w:type="dxa"/>
            <w:vAlign w:val="bottom"/>
            <w:tcBorders>
              <w:bottom w:val="single" w:sz="8" w:color="949699"/>
            </w:tcBorders>
            <w:shd w:val="clear" w:color="auto" w:fill="E5E5E5"/>
          </w:tcPr>
          <w:p>
            <w:pPr>
              <w:spacing w:after="0"/>
              <w:rPr>
                <w:sz w:val="18"/>
                <w:szCs w:val="18"/>
                <w:color w:val="auto"/>
              </w:rPr>
            </w:pPr>
          </w:p>
        </w:tc>
        <w:tc>
          <w:tcPr>
            <w:tcW w:w="126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7,516</w:t>
            </w:r>
          </w:p>
        </w:tc>
        <w:tc>
          <w:tcPr>
            <w:tcW w:w="120" w:type="dxa"/>
            <w:vAlign w:val="bottom"/>
            <w:tcBorders>
              <w:right w:val="single" w:sz="8" w:color="E5E5E5"/>
            </w:tcBorders>
          </w:tcPr>
          <w:p>
            <w:pPr>
              <w:spacing w:after="0"/>
              <w:rPr>
                <w:sz w:val="18"/>
                <w:szCs w:val="18"/>
                <w:color w:val="auto"/>
              </w:rPr>
            </w:pPr>
          </w:p>
        </w:tc>
        <w:tc>
          <w:tcPr>
            <w:tcW w:w="192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The total market value of the equity award is the combined value of RSUs and PSUs based on the grant date fair value per share.</w:t>
      </w:r>
    </w:p>
    <w:p>
      <w:pPr>
        <w:spacing w:after="0" w:line="57"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25% vested on February 15, 2024, and the remainder vests ratably, 6.25% each quarter for three years thereafter.</w:t>
      </w:r>
    </w:p>
    <w:p>
      <w:pPr>
        <w:spacing w:after="0" w:line="57" w:lineRule="exact"/>
        <w:rPr>
          <w:rFonts w:ascii="Arial" w:cs="Arial" w:eastAsia="Arial" w:hAnsi="Arial"/>
          <w:sz w:val="19"/>
          <w:szCs w:val="19"/>
          <w:color w:val="auto"/>
          <w:vertAlign w:val="superscript"/>
        </w:rPr>
      </w:pPr>
    </w:p>
    <w:p>
      <w:pPr>
        <w:jc w:val="both"/>
        <w:ind w:left="260" w:right="140" w:hanging="252"/>
        <w:spacing w:after="0" w:line="280" w:lineRule="auto"/>
        <w:tabs>
          <w:tab w:leader="none" w:pos="264"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number of target PSUs granted represents shares that would be earned based on achievement at 100% of target. The performance period is January 1, 2023 through December 31, 2025. Vesting occurs after the performance achievement has been certified by the Compensation Committee and the Company has received an unqualified signed opinion on the Company’s financial statements for the year ending December 31, 2025 from its independent registered public accounting firm.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PSUs Granted in 2021</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February 2021, the Compensation Committee granted PSUs with a performance period of January 1, 2021 through December 31, 2023 to our NEOs. The number of PSUs that could be earned ranged from 0% to 200% of the target award based on CAGR of operating income per share for the performance period, but no more than 100% of target could be earned unless the TSR of Verisign equaled or outperformed the TSR of the S&amp;P 500 Index for the performance period. The threshold for the CAGR of operating income per share was 7.9% to earn 10% of the PSUs granted. In order to receive an award of 100% of the PSUs granted, attainment of 11.9% CAGR of operating income per share was necessary. Attainment of at least 15.9% CAGR of operating income per share was required to earn 200% of the PSUs granted. In February 2024, the Compensation Committee reviewed the Company’s performance against the performance goals for these PSUs. The CAGR of operating income per share for the performance period was 10.6% compared to the target of 11.9%. This resulted in a calculated achievement of 71% of target. The chart below shows the number of PSUs that were determined to be earned and vested in February 2024 based on achievement of the performance goals for the performance period.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right w:val="single" w:sz="8" w:color="auto"/>
            </w:tcBorders>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TOTAL PSUs</w:t>
            </w:r>
          </w:p>
        </w:tc>
        <w:tc>
          <w:tcPr>
            <w:tcW w:w="100" w:type="dxa"/>
            <w:vAlign w:val="bottom"/>
            <w:tcBorders>
              <w:right w:val="single" w:sz="8" w:color="auto"/>
            </w:tcBorders>
          </w:tcPr>
          <w:p>
            <w:pPr>
              <w:spacing w:after="0"/>
              <w:rPr>
                <w:sz w:val="12"/>
                <w:szCs w:val="12"/>
                <w:color w:val="auto"/>
              </w:rPr>
            </w:pPr>
          </w:p>
        </w:tc>
        <w:tc>
          <w:tcPr>
            <w:tcW w:w="1280" w:type="dxa"/>
            <w:vAlign w:val="bottom"/>
          </w:tcPr>
          <w:p>
            <w:pPr>
              <w:jc w:val="right"/>
              <w:ind w:right="4"/>
              <w:spacing w:after="0"/>
              <w:rPr>
                <w:sz w:val="20"/>
                <w:szCs w:val="20"/>
                <w:color w:val="auto"/>
              </w:rPr>
            </w:pPr>
            <w:r>
              <w:rPr>
                <w:rFonts w:ascii="Arial" w:cs="Arial" w:eastAsia="Arial" w:hAnsi="Arial"/>
                <w:sz w:val="13"/>
                <w:szCs w:val="13"/>
                <w:b w:val="1"/>
                <w:bCs w:val="1"/>
                <w:color w:val="auto"/>
              </w:rPr>
              <w:t>GOAL</w:t>
            </w:r>
          </w:p>
        </w:tc>
        <w:tc>
          <w:tcPr>
            <w:tcW w:w="100" w:type="dxa"/>
            <w:vAlign w:val="bottom"/>
            <w:tcBorders>
              <w:right w:val="single" w:sz="8" w:color="auto"/>
            </w:tcBorders>
          </w:tcPr>
          <w:p>
            <w:pPr>
              <w:spacing w:after="0"/>
              <w:rPr>
                <w:sz w:val="12"/>
                <w:szCs w:val="12"/>
                <w:color w:val="auto"/>
              </w:rPr>
            </w:pPr>
          </w:p>
        </w:tc>
        <w:tc>
          <w:tcPr>
            <w:tcW w:w="2280" w:type="dxa"/>
            <w:vAlign w:val="bottom"/>
          </w:tcPr>
          <w:p>
            <w:pPr>
              <w:jc w:val="right"/>
              <w:spacing w:after="0"/>
              <w:rPr>
                <w:sz w:val="20"/>
                <w:szCs w:val="20"/>
                <w:color w:val="auto"/>
              </w:rPr>
            </w:pPr>
            <w:r>
              <w:rPr>
                <w:rFonts w:ascii="Arial" w:cs="Arial" w:eastAsia="Arial" w:hAnsi="Arial"/>
                <w:sz w:val="13"/>
                <w:szCs w:val="13"/>
                <w:b w:val="1"/>
                <w:bCs w:val="1"/>
                <w:color w:val="auto"/>
              </w:rPr>
              <w:t>ACTUAL PSUs EARNED AND</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GRANTED IN 2021</w:t>
            </w:r>
          </w:p>
        </w:tc>
        <w:tc>
          <w:tcPr>
            <w:tcW w:w="100" w:type="dxa"/>
            <w:vAlign w:val="bottom"/>
            <w:tcBorders>
              <w:right w:val="single" w:sz="8" w:color="auto"/>
            </w:tcBorders>
          </w:tcPr>
          <w:p>
            <w:pPr>
              <w:spacing w:after="0"/>
              <w:rPr>
                <w:sz w:val="16"/>
                <w:szCs w:val="16"/>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ACHIEVEMENT</w:t>
            </w:r>
          </w:p>
        </w:tc>
        <w:tc>
          <w:tcPr>
            <w:tcW w:w="100" w:type="dxa"/>
            <w:vAlign w:val="bottom"/>
            <w:tcBorders>
              <w:right w:val="single" w:sz="8" w:color="auto"/>
            </w:tcBorders>
          </w:tcPr>
          <w:p>
            <w:pPr>
              <w:spacing w:after="0"/>
              <w:rPr>
                <w:sz w:val="16"/>
                <w:szCs w:val="16"/>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VESTED IN FEBRUARY 2024</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5E5E5"/>
            </w:tcBorders>
          </w:tcPr>
          <w:p>
            <w:pPr>
              <w:spacing w:after="0"/>
              <w:rPr>
                <w:sz w:val="18"/>
                <w:szCs w:val="18"/>
                <w:color w:val="auto"/>
              </w:rPr>
            </w:pPr>
          </w:p>
        </w:tc>
        <w:tc>
          <w:tcPr>
            <w:tcW w:w="150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23,467</w:t>
            </w:r>
          </w:p>
        </w:tc>
        <w:tc>
          <w:tcPr>
            <w:tcW w:w="100" w:type="dxa"/>
            <w:vAlign w:val="bottom"/>
            <w:tcBorders>
              <w:right w:val="single" w:sz="8" w:color="E5E5E5"/>
            </w:tcBorders>
          </w:tcPr>
          <w:p>
            <w:pPr>
              <w:spacing w:after="0"/>
              <w:rPr>
                <w:sz w:val="18"/>
                <w:szCs w:val="18"/>
                <w:color w:val="auto"/>
              </w:rPr>
            </w:pPr>
          </w:p>
        </w:tc>
        <w:tc>
          <w:tcPr>
            <w:tcW w:w="128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right w:val="single" w:sz="8" w:color="E5E5E5"/>
            </w:tcBorders>
          </w:tcPr>
          <w:p>
            <w:pPr>
              <w:spacing w:after="0"/>
              <w:rPr>
                <w:sz w:val="18"/>
                <w:szCs w:val="18"/>
                <w:color w:val="auto"/>
              </w:rPr>
            </w:pPr>
          </w:p>
        </w:tc>
        <w:tc>
          <w:tcPr>
            <w:tcW w:w="2280" w:type="dxa"/>
            <w:vAlign w:val="bottom"/>
            <w:tcBorders>
              <w:bottom w:val="single" w:sz="8" w:color="949699"/>
            </w:tcBorders>
            <w:shd w:val="clear" w:color="auto" w:fill="E5E5E5"/>
          </w:tcPr>
          <w:p>
            <w:pPr>
              <w:jc w:val="right"/>
              <w:ind w:right="4"/>
              <w:spacing w:after="0"/>
              <w:rPr>
                <w:sz w:val="20"/>
                <w:szCs w:val="20"/>
                <w:color w:val="auto"/>
              </w:rPr>
            </w:pPr>
            <w:r>
              <w:rPr>
                <w:rFonts w:ascii="Arial" w:cs="Arial" w:eastAsia="Arial" w:hAnsi="Arial"/>
                <w:sz w:val="16"/>
                <w:szCs w:val="16"/>
                <w:color w:val="auto"/>
              </w:rPr>
              <w:t>16,661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949699"/>
            </w:tcBorders>
          </w:tcPr>
          <w:p>
            <w:pPr>
              <w:ind w:left="2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Pr>
          <w:p>
            <w:pPr>
              <w:spacing w:after="0"/>
              <w:rPr>
                <w:sz w:val="18"/>
                <w:szCs w:val="18"/>
                <w:color w:val="auto"/>
              </w:rPr>
            </w:pPr>
          </w:p>
        </w:tc>
        <w:tc>
          <w:tcPr>
            <w:tcW w:w="150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7,570</w:t>
            </w:r>
          </w:p>
        </w:tc>
        <w:tc>
          <w:tcPr>
            <w:tcW w:w="100" w:type="dxa"/>
            <w:vAlign w:val="bottom"/>
          </w:tcPr>
          <w:p>
            <w:pPr>
              <w:spacing w:after="0"/>
              <w:rPr>
                <w:sz w:val="18"/>
                <w:szCs w:val="18"/>
                <w:color w:val="auto"/>
              </w:rPr>
            </w:pPr>
          </w:p>
        </w:tc>
        <w:tc>
          <w:tcPr>
            <w:tcW w:w="128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280" w:type="dxa"/>
            <w:vAlign w:val="bottom"/>
            <w:tcBorders>
              <w:bottom w:val="single" w:sz="8" w:color="949699"/>
            </w:tcBorders>
          </w:tcPr>
          <w:p>
            <w:pPr>
              <w:jc w:val="right"/>
              <w:ind w:right="4"/>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5E5E5"/>
            </w:tcBorders>
          </w:tcPr>
          <w:p>
            <w:pPr>
              <w:spacing w:after="0"/>
              <w:rPr>
                <w:sz w:val="18"/>
                <w:szCs w:val="18"/>
                <w:color w:val="auto"/>
              </w:rPr>
            </w:pPr>
          </w:p>
        </w:tc>
        <w:tc>
          <w:tcPr>
            <w:tcW w:w="150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6,056</w:t>
            </w:r>
          </w:p>
        </w:tc>
        <w:tc>
          <w:tcPr>
            <w:tcW w:w="100" w:type="dxa"/>
            <w:vAlign w:val="bottom"/>
            <w:tcBorders>
              <w:right w:val="single" w:sz="8" w:color="E5E5E5"/>
            </w:tcBorders>
          </w:tcPr>
          <w:p>
            <w:pPr>
              <w:spacing w:after="0"/>
              <w:rPr>
                <w:sz w:val="18"/>
                <w:szCs w:val="18"/>
                <w:color w:val="auto"/>
              </w:rPr>
            </w:pPr>
          </w:p>
        </w:tc>
        <w:tc>
          <w:tcPr>
            <w:tcW w:w="128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right w:val="single" w:sz="8" w:color="E5E5E5"/>
            </w:tcBorders>
          </w:tcPr>
          <w:p>
            <w:pPr>
              <w:spacing w:after="0"/>
              <w:rPr>
                <w:sz w:val="18"/>
                <w:szCs w:val="18"/>
                <w:color w:val="auto"/>
              </w:rPr>
            </w:pPr>
          </w:p>
        </w:tc>
        <w:tc>
          <w:tcPr>
            <w:tcW w:w="2280" w:type="dxa"/>
            <w:vAlign w:val="bottom"/>
            <w:tcBorders>
              <w:bottom w:val="single" w:sz="8" w:color="949699"/>
            </w:tcBorders>
            <w:shd w:val="clear" w:color="auto" w:fill="E5E5E5"/>
          </w:tcPr>
          <w:p>
            <w:pPr>
              <w:jc w:val="right"/>
              <w:ind w:right="4"/>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949699"/>
            </w:tcBorders>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150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Pr>
          <w:p>
            <w:pPr>
              <w:spacing w:after="0"/>
              <w:rPr>
                <w:sz w:val="18"/>
                <w:szCs w:val="18"/>
                <w:color w:val="auto"/>
              </w:rPr>
            </w:pPr>
          </w:p>
        </w:tc>
        <w:tc>
          <w:tcPr>
            <w:tcW w:w="1280" w:type="dxa"/>
            <w:vAlign w:val="bottom"/>
            <w:tcBorders>
              <w:bottom w:val="single" w:sz="8" w:color="949699"/>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280" w:type="dxa"/>
            <w:vAlign w:val="bottom"/>
            <w:tcBorders>
              <w:bottom w:val="single" w:sz="8" w:color="949699"/>
            </w:tcBorders>
          </w:tcPr>
          <w:p>
            <w:pPr>
              <w:jc w:val="right"/>
              <w:ind w:right="4"/>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949699"/>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Borders>
              <w:right w:val="single" w:sz="8" w:color="E5E5E5"/>
            </w:tcBorders>
          </w:tcPr>
          <w:p>
            <w:pPr>
              <w:spacing w:after="0"/>
              <w:rPr>
                <w:sz w:val="18"/>
                <w:szCs w:val="18"/>
                <w:color w:val="auto"/>
              </w:rPr>
            </w:pPr>
          </w:p>
        </w:tc>
        <w:tc>
          <w:tcPr>
            <w:tcW w:w="150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4,542</w:t>
            </w:r>
          </w:p>
        </w:tc>
        <w:tc>
          <w:tcPr>
            <w:tcW w:w="100" w:type="dxa"/>
            <w:vAlign w:val="bottom"/>
            <w:tcBorders>
              <w:right w:val="single" w:sz="8" w:color="E5E5E5"/>
            </w:tcBorders>
          </w:tcPr>
          <w:p>
            <w:pPr>
              <w:spacing w:after="0"/>
              <w:rPr>
                <w:sz w:val="18"/>
                <w:szCs w:val="18"/>
                <w:color w:val="auto"/>
              </w:rPr>
            </w:pPr>
          </w:p>
        </w:tc>
        <w:tc>
          <w:tcPr>
            <w:tcW w:w="1280" w:type="dxa"/>
            <w:vAlign w:val="bottom"/>
            <w:tcBorders>
              <w:bottom w:val="single" w:sz="8" w:color="949699"/>
            </w:tcBorders>
            <w:shd w:val="clear" w:color="auto" w:fill="E5E5E5"/>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right w:val="single" w:sz="8" w:color="E5E5E5"/>
            </w:tcBorders>
          </w:tcPr>
          <w:p>
            <w:pPr>
              <w:spacing w:after="0"/>
              <w:rPr>
                <w:sz w:val="18"/>
                <w:szCs w:val="18"/>
                <w:color w:val="auto"/>
              </w:rPr>
            </w:pPr>
          </w:p>
        </w:tc>
        <w:tc>
          <w:tcPr>
            <w:tcW w:w="2280" w:type="dxa"/>
            <w:vAlign w:val="bottom"/>
            <w:tcBorders>
              <w:bottom w:val="single" w:sz="8" w:color="949699"/>
            </w:tcBorders>
            <w:shd w:val="clear" w:color="auto" w:fill="E5E5E5"/>
          </w:tcPr>
          <w:p>
            <w:pPr>
              <w:jc w:val="right"/>
              <w:ind w:right="4"/>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Features of our Executive Compensation Program</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Recovery of Incentive Compensation</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Effective October 2, 2023, we modified our compensation recoupment policy such that it now is intended to comply with the requirements of Nasdaq Listing Standard 5608 implementing Rule 10D-1 under the Securities Exchange Act of 1934.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covered executive otherwise would have received had the incentive-based compensation been determined based on the restated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Equity Award Practices</w:t>
      </w:r>
    </w:p>
    <w:p>
      <w:pPr>
        <w:spacing w:after="0" w:line="1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Compensation Committee approves all equity awards granted to our NEOs, the aggregate annual equity pool for all employees, employee grant guidelines, and all equity awards granted to eligible employees during the annual grant process, which generally takes place in February. A separate grant committee makes equity awards to non-executives at times other than the annual grant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Benefits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generally do not provide our NEOs with any benefits other than those provided to all of our other U.S.-based employees. All of our U.S.-based employees are eligible for medical, dental and vision insurance, life insurance, short and long-term disability, paid time off, an employee stock purchase plan, and a qualified 401(k) salary deferral plan. None of our NEOs are eligible to participate in any defined pension plans or non-qualified defined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Severance or Employment Agreements</w:t>
      </w:r>
    </w:p>
    <w:p>
      <w:pPr>
        <w:spacing w:after="0" w:line="112"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We generally do not enter into severance or employment agreements with our NEOs (except as described below), nor do we provide severance or other benefits following voluntary termination. However, the Compensation Committee may determine in special circumstances that providing such severance payments or benefits or entering into employment agreements is necessary to attract an NEO or for other business considerations.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Change in Control and Retention Agreements</w:t>
      </w:r>
    </w:p>
    <w:p>
      <w:pPr>
        <w:spacing w:after="0" w:line="11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have entered into change in control and retention agreements with our NEOs. These agreements provide for change in control severance benefits and payments in the event the NEO’s employment is terminated in connection with a change in control of the Company. These agreements are “double trigger” agreements which means the NEOs will only be eligible for payments under the agreements if both a change in control of the Company occurs and the NEO’s employment is terminated without cause (or by the NEO for good reason) within 24 months of the change in control.</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Compensation Committee believes these agreements are necessary to attract and retain executive talent and to remove any potential conflicts of interests of our NEOs when making decisions related to potentially beneficial corporate transactions. The Compensation Committee periodically reviews the provisions of these agreements with its compensation consultant and makes adjustments as necessary to encourage alignment of NEOs’ interests with stockholders’ interests. The compensation consultant advised the Compensation Committee that the agreements were consistent with best practices, which include double trigger benefits, severance multiples less than or equal to 2x base salary and target bonus, and no tax-gross up provision. Based on the compensation consultant’s analysis and the Compensation Committee’s review, no changes were made to the benefits provided under the agreements in 2023. The CEO’s change in control agreement provides for a severance payment of 2x base salary and a bonus payment of 2x target bonus plus the cash equivalent of two years of continuation of health benefits if he participates in the Company’s health plans as of the date of his termination. The other terms of his change in control agreement are the same as the other NEOs. Additional details about these agreements, including potential payments, may be found in the “Potential Payments Upon Termination or Change in Control” section and the “Termination and Change in Control Benefit Estimates as of December 31, 2023” table below in this Proxy Statement.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Risk Assessment</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2023, we performed a comprehensive assessment of our compensation policies and program design to determine whether risks arising under them would be reasonably likely to have a material adverse effect on the Company. The Compensation Committee reviewed Management’s risk assessment, which considered each element of our compensation programs and policies. Management’s risk assessment (which included input from FW Cook) determined that none of our compensation policies and programs creates a risk that is reasonably likely to have a material adverse effect on the Company.</w:t>
      </w:r>
    </w:p>
    <w:p>
      <w:pPr>
        <w:spacing w:after="0" w:line="28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Committee Report</w:t>
      </w:r>
    </w:p>
    <w:p>
      <w:pPr>
        <w:spacing w:after="0" w:line="14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Compensation Committee has reviewed the Compensation Discussion and Analysis included in this Proxy Statement. Based on the review, the Compensation Committee recommended to the Board that the Compensation Discussion and Analysis be included in this Proxy Statement.</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This report is submitted by the Compensation Committee</w:t>
      </w:r>
    </w:p>
    <w:p>
      <w:pPr>
        <w:spacing w:after="0" w:line="221"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 xml:space="preserve">Thomas F. Frist III </w:t>
      </w:r>
      <w:r>
        <w:rPr>
          <w:rFonts w:ascii="Arial" w:cs="Arial" w:eastAsia="Arial" w:hAnsi="Arial"/>
          <w:sz w:val="16"/>
          <w:szCs w:val="16"/>
          <w:color w:val="000000"/>
        </w:rPr>
        <w:t>(Chairperson)</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Courtney D. Armstrong</w:t>
      </w:r>
    </w:p>
    <w:p>
      <w:pPr>
        <w:spacing w:after="0" w:line="39"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Jamie S. Gorelick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Timothy Tomlinson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Committee Interlocks and Insider Participation</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members of the Compensation Committee during 2023 were Thomas F. Frist III, Courtney D. Armstrong, Jamie S. Gorelick, and Timothy Tomlinson. All of the members of the Compensation Committee during 2023 were independent directors, and none of the members of the Compensation Committee during 2023 were employees or officers or former officers of Verisign during the prior three years, as required for director independence under the applicable Nasdaq rules. No Executive Officer of Verisign has served on the Compensation Committee (or other board committee performing equivalent functions, if any) or the board of directors of another entity, one of whose executive officers served as a member of the Compensation Committee of Verisign during 2023; and no Executive Officer of Verisign has served on the Compensation Committee (or other board committee performing equivalent functions or, in the absence of any such committee, the entire board of directors) of another entity, one of whose executive officers served as a member of our Board during 2023.</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Executive Compensation Tables</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summary information concerning the compensation of our NEOs for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right w:val="single" w:sz="8" w:color="auto"/>
            </w:tcBorders>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NON-EQUITY</w:t>
            </w:r>
          </w:p>
        </w:tc>
        <w:tc>
          <w:tcPr>
            <w:tcW w:w="120" w:type="dxa"/>
            <w:vAlign w:val="bottom"/>
            <w:tcBorders>
              <w:right w:val="single" w:sz="8" w:color="auto"/>
            </w:tcBorders>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12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INCENTIVE PLAN</w:t>
            </w:r>
          </w:p>
        </w:tc>
        <w:tc>
          <w:tcPr>
            <w:tcW w:w="120" w:type="dxa"/>
            <w:vAlign w:val="bottom"/>
            <w:tcBorders>
              <w:right w:val="single" w:sz="8" w:color="auto"/>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9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righ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AWARDS</w:t>
            </w:r>
          </w:p>
        </w:tc>
        <w:tc>
          <w:tcPr>
            <w:tcW w:w="120" w:type="dxa"/>
            <w:vAlign w:val="bottom"/>
            <w:tcBorders>
              <w:right w:val="single" w:sz="8" w:color="auto"/>
            </w:tcBorders>
          </w:tcPr>
          <w:p>
            <w:pPr>
              <w:spacing w:after="0"/>
              <w:rPr>
                <w:sz w:val="10"/>
                <w:szCs w:val="10"/>
                <w:color w:val="auto"/>
              </w:rPr>
            </w:pPr>
          </w:p>
        </w:tc>
        <w:tc>
          <w:tcPr>
            <w:tcW w:w="1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3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AND PRINCIPAL POSITION</w:t>
            </w: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050505"/>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2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104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6"/>
                <w:szCs w:val="16"/>
                <w:color w:val="auto"/>
              </w:rPr>
            </w:pPr>
          </w:p>
        </w:tc>
        <w:tc>
          <w:tcPr>
            <w:tcW w:w="144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(3)</w:t>
            </w:r>
          </w:p>
        </w:tc>
        <w:tc>
          <w:tcPr>
            <w:tcW w:w="120" w:type="dxa"/>
            <w:vAlign w:val="bottom"/>
            <w:tcBorders>
              <w:right w:val="single" w:sz="8" w:color="auto"/>
            </w:tcBorders>
          </w:tcPr>
          <w:p>
            <w:pPr>
              <w:spacing w:after="0"/>
              <w:rPr>
                <w:sz w:val="16"/>
                <w:szCs w:val="16"/>
                <w:color w:val="auto"/>
              </w:rPr>
            </w:pPr>
          </w:p>
        </w:tc>
        <w:tc>
          <w:tcPr>
            <w:tcW w:w="1340" w:type="dxa"/>
            <w:vAlign w:val="bottom"/>
            <w:tcBorders>
              <w:bottom w:val="single" w:sz="8" w:color="050505"/>
            </w:tcBorders>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(4)(5)</w:t>
            </w:r>
          </w:p>
        </w:tc>
        <w:tc>
          <w:tcPr>
            <w:tcW w:w="120" w:type="dxa"/>
            <w:vAlign w:val="bottom"/>
            <w:tcBorders>
              <w:right w:val="single" w:sz="8" w:color="auto"/>
            </w:tcBorders>
          </w:tcPr>
          <w:p>
            <w:pPr>
              <w:spacing w:after="0"/>
              <w:rPr>
                <w:sz w:val="16"/>
                <w:szCs w:val="16"/>
                <w:color w:val="auto"/>
              </w:rPr>
            </w:pPr>
          </w:p>
        </w:tc>
        <w:tc>
          <w:tcPr>
            <w:tcW w:w="118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950,000</w:t>
            </w:r>
          </w:p>
        </w:tc>
        <w:tc>
          <w:tcPr>
            <w:tcW w:w="120" w:type="dxa"/>
            <w:vAlign w:val="bottom"/>
            <w:tcBorders>
              <w:right w:val="single" w:sz="8" w:color="E5E5E5"/>
            </w:tcBorders>
          </w:tcPr>
          <w:p>
            <w:pPr>
              <w:spacing w:after="0"/>
              <w:rPr>
                <w:sz w:val="18"/>
                <w:szCs w:val="18"/>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9,999,781</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1,265,400</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30,720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12,245,901</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Chairman, President and</w:t>
            </w:r>
          </w:p>
        </w:tc>
        <w:tc>
          <w:tcPr>
            <w:tcW w:w="120" w:type="dxa"/>
            <w:vAlign w:val="bottom"/>
            <w:tcBorders>
              <w:right w:val="single" w:sz="8" w:color="E5E5E5"/>
            </w:tcBorders>
          </w:tcPr>
          <w:p>
            <w:pPr>
              <w:spacing w:after="0"/>
              <w:rPr>
                <w:sz w:val="16"/>
                <w:szCs w:val="16"/>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946,154</w:t>
            </w:r>
          </w:p>
        </w:tc>
        <w:tc>
          <w:tcPr>
            <w:tcW w:w="120" w:type="dxa"/>
            <w:vAlign w:val="bottom"/>
            <w:tcBorders>
              <w:right w:val="single" w:sz="8" w:color="E5E5E5"/>
            </w:tcBorders>
          </w:tcPr>
          <w:p>
            <w:pPr>
              <w:spacing w:after="0"/>
              <w:rPr>
                <w:sz w:val="16"/>
                <w:szCs w:val="16"/>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8,999,846</w:t>
            </w:r>
          </w:p>
        </w:tc>
        <w:tc>
          <w:tcPr>
            <w:tcW w:w="120" w:type="dxa"/>
            <w:vAlign w:val="bottom"/>
            <w:tcBorders>
              <w:right w:val="single" w:sz="8" w:color="E5E5E5"/>
            </w:tcBorders>
          </w:tcPr>
          <w:p>
            <w:pPr>
              <w:spacing w:after="0"/>
              <w:rPr>
                <w:sz w:val="16"/>
                <w:szCs w:val="16"/>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1,332,375</w:t>
            </w:r>
          </w:p>
        </w:tc>
        <w:tc>
          <w:tcPr>
            <w:tcW w:w="120" w:type="dxa"/>
            <w:vAlign w:val="bottom"/>
            <w:tcBorders>
              <w:right w:val="single" w:sz="8" w:color="E5E5E5"/>
            </w:tcBorders>
          </w:tcPr>
          <w:p>
            <w:pPr>
              <w:spacing w:after="0"/>
              <w:rPr>
                <w:sz w:val="16"/>
                <w:szCs w:val="16"/>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6"/>
                <w:szCs w:val="16"/>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11,279,095</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color w:val="auto"/>
              </w:rPr>
              <w:t>Chief Executive Officer</w:t>
            </w:r>
          </w:p>
        </w:tc>
        <w:tc>
          <w:tcPr>
            <w:tcW w:w="120" w:type="dxa"/>
            <w:vAlign w:val="bottom"/>
            <w:tcBorders>
              <w:right w:val="single" w:sz="8" w:color="E5E5E5"/>
            </w:tcBorders>
          </w:tcPr>
          <w:p>
            <w:pPr>
              <w:spacing w:after="0"/>
              <w:rPr>
                <w:sz w:val="17"/>
                <w:szCs w:val="17"/>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925,000</w:t>
            </w:r>
          </w:p>
        </w:tc>
        <w:tc>
          <w:tcPr>
            <w:tcW w:w="120" w:type="dxa"/>
            <w:vAlign w:val="bottom"/>
            <w:tcBorders>
              <w:right w:val="single" w:sz="8" w:color="E5E5E5"/>
            </w:tcBorders>
          </w:tcPr>
          <w:p>
            <w:pPr>
              <w:spacing w:after="0"/>
              <w:rPr>
                <w:sz w:val="17"/>
                <w:szCs w:val="17"/>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7,749,845</w:t>
            </w:r>
          </w:p>
        </w:tc>
        <w:tc>
          <w:tcPr>
            <w:tcW w:w="120" w:type="dxa"/>
            <w:vAlign w:val="bottom"/>
            <w:tcBorders>
              <w:right w:val="single" w:sz="8" w:color="E5E5E5"/>
            </w:tcBorders>
          </w:tcPr>
          <w:p>
            <w:pPr>
              <w:spacing w:after="0"/>
              <w:rPr>
                <w:sz w:val="17"/>
                <w:szCs w:val="17"/>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1,443,000</w:t>
            </w:r>
          </w:p>
        </w:tc>
        <w:tc>
          <w:tcPr>
            <w:tcW w:w="120" w:type="dxa"/>
            <w:vAlign w:val="bottom"/>
            <w:tcBorders>
              <w:right w:val="single" w:sz="8" w:color="E5E5E5"/>
            </w:tcBorders>
          </w:tcPr>
          <w:p>
            <w:pPr>
              <w:spacing w:after="0"/>
              <w:rPr>
                <w:sz w:val="17"/>
                <w:szCs w:val="17"/>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7"/>
                <w:szCs w:val="17"/>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10,118,565</w:t>
            </w:r>
          </w:p>
        </w:tc>
        <w:tc>
          <w:tcPr>
            <w:tcW w:w="0" w:type="dxa"/>
            <w:vAlign w:val="bottom"/>
          </w:tcPr>
          <w:p>
            <w:pPr>
              <w:spacing w:after="0"/>
              <w:rPr>
                <w:sz w:val="1"/>
                <w:szCs w:val="1"/>
                <w:color w:val="auto"/>
              </w:rPr>
            </w:pPr>
          </w:p>
        </w:tc>
      </w:tr>
      <w:tr>
        <w:trPr>
          <w:trHeight w:val="211"/>
        </w:trPr>
        <w:tc>
          <w:tcPr>
            <w:tcW w:w="3920" w:type="dxa"/>
            <w:vAlign w:val="bottom"/>
          </w:tcPr>
          <w:p>
            <w:pPr>
              <w:ind w:left="6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Pr>
          <w:p>
            <w:pPr>
              <w:spacing w:after="0"/>
              <w:rPr>
                <w:sz w:val="18"/>
                <w:szCs w:val="18"/>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590,000</w:t>
            </w:r>
          </w:p>
        </w:tc>
        <w:tc>
          <w:tcPr>
            <w:tcW w:w="120" w:type="dxa"/>
            <w:vAlign w:val="bottom"/>
          </w:tcPr>
          <w:p>
            <w:pPr>
              <w:spacing w:after="0"/>
              <w:rPr>
                <w:sz w:val="18"/>
                <w:szCs w:val="18"/>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3,499,583</w:t>
            </w:r>
          </w:p>
        </w:tc>
        <w:tc>
          <w:tcPr>
            <w:tcW w:w="120" w:type="dxa"/>
            <w:vAlign w:val="bottom"/>
          </w:tcPr>
          <w:p>
            <w:pPr>
              <w:spacing w:after="0"/>
              <w:rPr>
                <w:sz w:val="18"/>
                <w:szCs w:val="18"/>
                <w:color w:val="auto"/>
              </w:rPr>
            </w:pPr>
          </w:p>
        </w:tc>
        <w:tc>
          <w:tcPr>
            <w:tcW w:w="14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523,920</w:t>
            </w:r>
          </w:p>
        </w:tc>
        <w:tc>
          <w:tcPr>
            <w:tcW w:w="120" w:type="dxa"/>
            <w:vAlign w:val="bottom"/>
          </w:tcPr>
          <w:p>
            <w:pPr>
              <w:spacing w:after="0"/>
              <w:rPr>
                <w:sz w:val="18"/>
                <w:szCs w:val="18"/>
                <w:color w:val="auto"/>
              </w:rPr>
            </w:pP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Pr>
          <w:p>
            <w:pPr>
              <w:spacing w:after="0"/>
              <w:rPr>
                <w:sz w:val="18"/>
                <w:szCs w:val="18"/>
                <w:color w:val="auto"/>
              </w:rPr>
            </w:pPr>
          </w:p>
        </w:tc>
        <w:tc>
          <w:tcPr>
            <w:tcW w:w="11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4,625,473</w:t>
            </w:r>
          </w:p>
        </w:tc>
        <w:tc>
          <w:tcPr>
            <w:tcW w:w="0" w:type="dxa"/>
            <w:vAlign w:val="bottom"/>
          </w:tcPr>
          <w:p>
            <w:pPr>
              <w:spacing w:after="0"/>
              <w:rPr>
                <w:sz w:val="1"/>
                <w:szCs w:val="1"/>
                <w:color w:val="auto"/>
              </w:rPr>
            </w:pPr>
          </w:p>
        </w:tc>
      </w:tr>
      <w:tr>
        <w:trPr>
          <w:trHeight w:val="195"/>
        </w:trPr>
        <w:tc>
          <w:tcPr>
            <w:tcW w:w="3920" w:type="dxa"/>
            <w:vAlign w:val="bottom"/>
          </w:tcPr>
          <w:p>
            <w:pPr>
              <w:ind w:left="60"/>
              <w:spacing w:after="0"/>
              <w:rPr>
                <w:sz w:val="20"/>
                <w:szCs w:val="20"/>
                <w:color w:val="auto"/>
              </w:rPr>
            </w:pPr>
            <w:r>
              <w:rPr>
                <w:rFonts w:ascii="Arial" w:cs="Arial" w:eastAsia="Arial" w:hAnsi="Arial"/>
                <w:sz w:val="16"/>
                <w:szCs w:val="16"/>
                <w:color w:val="auto"/>
              </w:rPr>
              <w:t>Former President and Chief</w:t>
            </w:r>
          </w:p>
        </w:tc>
        <w:tc>
          <w:tcPr>
            <w:tcW w:w="120" w:type="dxa"/>
            <w:vAlign w:val="bottom"/>
          </w:tcPr>
          <w:p>
            <w:pPr>
              <w:spacing w:after="0"/>
              <w:rPr>
                <w:sz w:val="16"/>
                <w:szCs w:val="16"/>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587,692</w:t>
            </w:r>
          </w:p>
        </w:tc>
        <w:tc>
          <w:tcPr>
            <w:tcW w:w="120" w:type="dxa"/>
            <w:vAlign w:val="bottom"/>
          </w:tcPr>
          <w:p>
            <w:pPr>
              <w:spacing w:after="0"/>
              <w:rPr>
                <w:sz w:val="16"/>
                <w:szCs w:val="16"/>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3,499,821</w:t>
            </w:r>
          </w:p>
        </w:tc>
        <w:tc>
          <w:tcPr>
            <w:tcW w:w="120" w:type="dxa"/>
            <w:vAlign w:val="bottom"/>
          </w:tcPr>
          <w:p>
            <w:pPr>
              <w:spacing w:after="0"/>
              <w:rPr>
                <w:sz w:val="16"/>
                <w:szCs w:val="16"/>
                <w:color w:val="auto"/>
              </w:rPr>
            </w:pPr>
          </w:p>
        </w:tc>
        <w:tc>
          <w:tcPr>
            <w:tcW w:w="14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551,650</w:t>
            </w:r>
          </w:p>
        </w:tc>
        <w:tc>
          <w:tcPr>
            <w:tcW w:w="120" w:type="dxa"/>
            <w:vAlign w:val="bottom"/>
          </w:tcPr>
          <w:p>
            <w:pPr>
              <w:spacing w:after="0"/>
              <w:rPr>
                <w:sz w:val="16"/>
                <w:szCs w:val="16"/>
                <w:color w:val="auto"/>
              </w:rPr>
            </w:pP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10,970</w:t>
            </w:r>
          </w:p>
        </w:tc>
        <w:tc>
          <w:tcPr>
            <w:tcW w:w="120" w:type="dxa"/>
            <w:vAlign w:val="bottom"/>
          </w:tcPr>
          <w:p>
            <w:pPr>
              <w:spacing w:after="0"/>
              <w:rPr>
                <w:sz w:val="16"/>
                <w:szCs w:val="16"/>
                <w:color w:val="auto"/>
              </w:rPr>
            </w:pPr>
          </w:p>
        </w:tc>
        <w:tc>
          <w:tcPr>
            <w:tcW w:w="11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4,650,133</w:t>
            </w:r>
          </w:p>
        </w:tc>
        <w:tc>
          <w:tcPr>
            <w:tcW w:w="0" w:type="dxa"/>
            <w:vAlign w:val="bottom"/>
          </w:tcPr>
          <w:p>
            <w:pPr>
              <w:spacing w:after="0"/>
              <w:rPr>
                <w:sz w:val="1"/>
                <w:szCs w:val="1"/>
                <w:color w:val="auto"/>
              </w:rPr>
            </w:pPr>
          </w:p>
        </w:tc>
      </w:tr>
      <w:tr>
        <w:trPr>
          <w:trHeight w:val="196"/>
        </w:trPr>
        <w:tc>
          <w:tcPr>
            <w:tcW w:w="3920" w:type="dxa"/>
            <w:vAlign w:val="bottom"/>
          </w:tcPr>
          <w:p>
            <w:pPr>
              <w:ind w:left="60"/>
              <w:spacing w:after="0"/>
              <w:rPr>
                <w:sz w:val="20"/>
                <w:szCs w:val="20"/>
                <w:color w:val="auto"/>
              </w:rPr>
            </w:pPr>
            <w:r>
              <w:rPr>
                <w:rFonts w:ascii="Arial" w:cs="Arial" w:eastAsia="Arial" w:hAnsi="Arial"/>
                <w:sz w:val="16"/>
                <w:szCs w:val="16"/>
                <w:color w:val="auto"/>
              </w:rPr>
              <w:t>Operating Officer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573,462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2,999,991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568,100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10,470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4,152,023</w:t>
            </w:r>
          </w:p>
        </w:tc>
        <w:tc>
          <w:tcPr>
            <w:tcW w:w="0" w:type="dxa"/>
            <w:vAlign w:val="bottom"/>
          </w:tcPr>
          <w:p>
            <w:pPr>
              <w:spacing w:after="0"/>
              <w:rPr>
                <w:sz w:val="1"/>
                <w:szCs w:val="1"/>
                <w:color w:val="auto"/>
              </w:rPr>
            </w:pPr>
          </w:p>
        </w:tc>
      </w:tr>
      <w:tr>
        <w:trPr>
          <w:trHeight w:val="211"/>
        </w:trPr>
        <w:tc>
          <w:tcPr>
            <w:tcW w:w="3920" w:type="dxa"/>
            <w:vAlign w:val="bottom"/>
            <w:tcBorders>
              <w:top w:val="single" w:sz="8" w:color="939598"/>
              <w:bottom w:val="single" w:sz="8" w:color="E5E5E5"/>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5E5E5"/>
            </w:tcBorders>
          </w:tcPr>
          <w:p>
            <w:pPr>
              <w:spacing w:after="0"/>
              <w:rPr>
                <w:sz w:val="18"/>
                <w:szCs w:val="18"/>
                <w:color w:val="auto"/>
              </w:rPr>
            </w:pPr>
          </w:p>
        </w:tc>
        <w:tc>
          <w:tcPr>
            <w:tcW w:w="68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554,231</w:t>
            </w:r>
          </w:p>
        </w:tc>
        <w:tc>
          <w:tcPr>
            <w:tcW w:w="120" w:type="dxa"/>
            <w:vAlign w:val="bottom"/>
            <w:tcBorders>
              <w:right w:val="single" w:sz="8" w:color="E5E5E5"/>
            </w:tcBorders>
          </w:tcPr>
          <w:p>
            <w:pPr>
              <w:spacing w:after="0"/>
              <w:rPr>
                <w:sz w:val="18"/>
                <w:szCs w:val="18"/>
                <w:color w:val="auto"/>
              </w:rPr>
            </w:pPr>
          </w:p>
        </w:tc>
        <w:tc>
          <w:tcPr>
            <w:tcW w:w="104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Borders>
              <w:right w:val="single" w:sz="8" w:color="E5E5E5"/>
            </w:tcBorders>
          </w:tcPr>
          <w:p>
            <w:pPr>
              <w:spacing w:after="0"/>
              <w:rPr>
                <w:sz w:val="18"/>
                <w:szCs w:val="18"/>
                <w:color w:val="auto"/>
              </w:rPr>
            </w:pPr>
          </w:p>
        </w:tc>
        <w:tc>
          <w:tcPr>
            <w:tcW w:w="144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Borders>
              <w:right w:val="single" w:sz="8" w:color="E5E5E5"/>
            </w:tcBorders>
          </w:tcPr>
          <w:p>
            <w:pPr>
              <w:spacing w:after="0"/>
              <w:rPr>
                <w:sz w:val="18"/>
                <w:szCs w:val="18"/>
                <w:color w:val="auto"/>
              </w:rPr>
            </w:pPr>
          </w:p>
        </w:tc>
        <w:tc>
          <w:tcPr>
            <w:tcW w:w="134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Borders>
              <w:right w:val="single" w:sz="8" w:color="E5E5E5"/>
            </w:tcBorders>
          </w:tcPr>
          <w:p>
            <w:pPr>
              <w:spacing w:after="0"/>
              <w:rPr>
                <w:sz w:val="18"/>
                <w:szCs w:val="18"/>
                <w:color w:val="auto"/>
              </w:rPr>
            </w:pPr>
          </w:p>
        </w:tc>
        <w:tc>
          <w:tcPr>
            <w:tcW w:w="118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4,258,903</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Vice President,</w:t>
            </w:r>
          </w:p>
        </w:tc>
        <w:tc>
          <w:tcPr>
            <w:tcW w:w="120" w:type="dxa"/>
            <w:vAlign w:val="bottom"/>
            <w:tcBorders>
              <w:right w:val="single" w:sz="8" w:color="E5E5E5"/>
            </w:tcBorders>
          </w:tcPr>
          <w:p>
            <w:pPr>
              <w:spacing w:after="0"/>
              <w:rPr>
                <w:sz w:val="16"/>
                <w:szCs w:val="16"/>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546,923</w:t>
            </w:r>
          </w:p>
        </w:tc>
        <w:tc>
          <w:tcPr>
            <w:tcW w:w="120" w:type="dxa"/>
            <w:vAlign w:val="bottom"/>
            <w:tcBorders>
              <w:right w:val="single" w:sz="8" w:color="E5E5E5"/>
            </w:tcBorders>
          </w:tcPr>
          <w:p>
            <w:pPr>
              <w:spacing w:after="0"/>
              <w:rPr>
                <w:sz w:val="16"/>
                <w:szCs w:val="16"/>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2,799,772</w:t>
            </w:r>
          </w:p>
        </w:tc>
        <w:tc>
          <w:tcPr>
            <w:tcW w:w="120" w:type="dxa"/>
            <w:vAlign w:val="bottom"/>
            <w:tcBorders>
              <w:right w:val="single" w:sz="8" w:color="E5E5E5"/>
            </w:tcBorders>
          </w:tcPr>
          <w:p>
            <w:pPr>
              <w:spacing w:after="0"/>
              <w:rPr>
                <w:sz w:val="16"/>
                <w:szCs w:val="16"/>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488,538</w:t>
            </w:r>
          </w:p>
        </w:tc>
        <w:tc>
          <w:tcPr>
            <w:tcW w:w="120" w:type="dxa"/>
            <w:vAlign w:val="bottom"/>
            <w:tcBorders>
              <w:right w:val="single" w:sz="8" w:color="E5E5E5"/>
            </w:tcBorders>
          </w:tcPr>
          <w:p>
            <w:pPr>
              <w:spacing w:after="0"/>
              <w:rPr>
                <w:sz w:val="16"/>
                <w:szCs w:val="16"/>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10,970</w:t>
            </w:r>
          </w:p>
        </w:tc>
        <w:tc>
          <w:tcPr>
            <w:tcW w:w="120" w:type="dxa"/>
            <w:vAlign w:val="bottom"/>
            <w:tcBorders>
              <w:right w:val="single" w:sz="8" w:color="E5E5E5"/>
            </w:tcBorders>
          </w:tcPr>
          <w:p>
            <w:pPr>
              <w:spacing w:after="0"/>
              <w:rPr>
                <w:sz w:val="16"/>
                <w:szCs w:val="16"/>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3,846,203</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color w:val="auto"/>
              </w:rPr>
              <w:t>Chief Financial Officer</w:t>
            </w:r>
          </w:p>
        </w:tc>
        <w:tc>
          <w:tcPr>
            <w:tcW w:w="120" w:type="dxa"/>
            <w:vAlign w:val="bottom"/>
            <w:tcBorders>
              <w:right w:val="single" w:sz="8" w:color="E5E5E5"/>
            </w:tcBorders>
          </w:tcPr>
          <w:p>
            <w:pPr>
              <w:spacing w:after="0"/>
              <w:rPr>
                <w:sz w:val="17"/>
                <w:szCs w:val="17"/>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529,231</w:t>
            </w:r>
          </w:p>
        </w:tc>
        <w:tc>
          <w:tcPr>
            <w:tcW w:w="120" w:type="dxa"/>
            <w:vAlign w:val="bottom"/>
            <w:tcBorders>
              <w:right w:val="single" w:sz="8" w:color="E5E5E5"/>
            </w:tcBorders>
          </w:tcPr>
          <w:p>
            <w:pPr>
              <w:spacing w:after="0"/>
              <w:rPr>
                <w:sz w:val="17"/>
                <w:szCs w:val="17"/>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2,399,993</w:t>
            </w:r>
          </w:p>
        </w:tc>
        <w:tc>
          <w:tcPr>
            <w:tcW w:w="120" w:type="dxa"/>
            <w:vAlign w:val="bottom"/>
            <w:tcBorders>
              <w:right w:val="single" w:sz="8" w:color="E5E5E5"/>
            </w:tcBorders>
          </w:tcPr>
          <w:p>
            <w:pPr>
              <w:spacing w:after="0"/>
              <w:rPr>
                <w:sz w:val="17"/>
                <w:szCs w:val="17"/>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496,080</w:t>
            </w:r>
          </w:p>
        </w:tc>
        <w:tc>
          <w:tcPr>
            <w:tcW w:w="120" w:type="dxa"/>
            <w:vAlign w:val="bottom"/>
            <w:tcBorders>
              <w:right w:val="single" w:sz="8" w:color="E5E5E5"/>
            </w:tcBorders>
          </w:tcPr>
          <w:p>
            <w:pPr>
              <w:spacing w:after="0"/>
              <w:rPr>
                <w:sz w:val="17"/>
                <w:szCs w:val="17"/>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10,470</w:t>
            </w:r>
          </w:p>
        </w:tc>
        <w:tc>
          <w:tcPr>
            <w:tcW w:w="120" w:type="dxa"/>
            <w:vAlign w:val="bottom"/>
            <w:tcBorders>
              <w:right w:val="single" w:sz="8" w:color="E5E5E5"/>
            </w:tcBorders>
          </w:tcPr>
          <w:p>
            <w:pPr>
              <w:spacing w:after="0"/>
              <w:rPr>
                <w:sz w:val="17"/>
                <w:szCs w:val="17"/>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3,435,774</w:t>
            </w:r>
          </w:p>
        </w:tc>
        <w:tc>
          <w:tcPr>
            <w:tcW w:w="0" w:type="dxa"/>
            <w:vAlign w:val="bottom"/>
          </w:tcPr>
          <w:p>
            <w:pPr>
              <w:spacing w:after="0"/>
              <w:rPr>
                <w:sz w:val="1"/>
                <w:szCs w:val="1"/>
                <w:color w:val="auto"/>
              </w:rPr>
            </w:pPr>
          </w:p>
        </w:tc>
      </w:tr>
      <w:tr>
        <w:trPr>
          <w:trHeight w:val="210"/>
        </w:trPr>
        <w:tc>
          <w:tcPr>
            <w:tcW w:w="3920" w:type="dxa"/>
            <w:vAlign w:val="bottom"/>
          </w:tcPr>
          <w:p>
            <w:pPr>
              <w:ind w:left="6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554,231</w:t>
            </w:r>
          </w:p>
        </w:tc>
        <w:tc>
          <w:tcPr>
            <w:tcW w:w="120" w:type="dxa"/>
            <w:vAlign w:val="bottom"/>
          </w:tcPr>
          <w:p>
            <w:pPr>
              <w:spacing w:after="0"/>
              <w:rPr>
                <w:sz w:val="18"/>
                <w:szCs w:val="18"/>
                <w:color w:val="auto"/>
              </w:rPr>
            </w:pP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Pr>
          <w:p>
            <w:pPr>
              <w:spacing w:after="0"/>
              <w:rPr>
                <w:sz w:val="18"/>
                <w:szCs w:val="18"/>
                <w:color w:val="auto"/>
              </w:rPr>
            </w:pPr>
          </w:p>
        </w:tc>
        <w:tc>
          <w:tcPr>
            <w:tcW w:w="14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Pr>
          <w:p>
            <w:pPr>
              <w:spacing w:after="0"/>
              <w:rPr>
                <w:sz w:val="18"/>
                <w:szCs w:val="18"/>
                <w:color w:val="auto"/>
              </w:rPr>
            </w:pP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Pr>
          <w:p>
            <w:pPr>
              <w:spacing w:after="0"/>
              <w:rPr>
                <w:sz w:val="18"/>
                <w:szCs w:val="18"/>
                <w:color w:val="auto"/>
              </w:rPr>
            </w:pPr>
          </w:p>
        </w:tc>
        <w:tc>
          <w:tcPr>
            <w:tcW w:w="11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4,258,903</w:t>
            </w:r>
          </w:p>
        </w:tc>
        <w:tc>
          <w:tcPr>
            <w:tcW w:w="0" w:type="dxa"/>
            <w:vAlign w:val="bottom"/>
          </w:tcPr>
          <w:p>
            <w:pPr>
              <w:spacing w:after="0"/>
              <w:rPr>
                <w:sz w:val="1"/>
                <w:szCs w:val="1"/>
                <w:color w:val="auto"/>
              </w:rPr>
            </w:pPr>
          </w:p>
        </w:tc>
      </w:tr>
      <w:tr>
        <w:trPr>
          <w:trHeight w:val="195"/>
        </w:trPr>
        <w:tc>
          <w:tcPr>
            <w:tcW w:w="3920" w:type="dxa"/>
            <w:vAlign w:val="bottom"/>
          </w:tcPr>
          <w:p>
            <w:pPr>
              <w:ind w:left="60"/>
              <w:spacing w:after="0"/>
              <w:rPr>
                <w:sz w:val="20"/>
                <w:szCs w:val="20"/>
                <w:color w:val="auto"/>
              </w:rPr>
            </w:pPr>
            <w:r>
              <w:rPr>
                <w:rFonts w:ascii="Arial" w:cs="Arial" w:eastAsia="Arial" w:hAnsi="Arial"/>
                <w:sz w:val="16"/>
                <w:szCs w:val="16"/>
                <w:color w:val="auto"/>
              </w:rPr>
              <w:t>Executive Vice President,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529,039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2,799,943</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488,538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10,970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3,828,490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Engineering, Operations and Chief Security Officer</w:t>
            </w:r>
          </w:p>
        </w:tc>
        <w:tc>
          <w:tcPr>
            <w:tcW w:w="120" w:type="dxa"/>
            <w:vAlign w:val="bottom"/>
          </w:tcPr>
          <w:p>
            <w:pPr>
              <w:spacing w:after="0"/>
              <w:rPr>
                <w:sz w:val="17"/>
                <w:szCs w:val="17"/>
                <w:color w:val="auto"/>
              </w:rPr>
            </w:pPr>
          </w:p>
        </w:tc>
        <w:tc>
          <w:tcPr>
            <w:tcW w:w="680" w:type="dxa"/>
            <w:vAlign w:val="bottom"/>
            <w:tcBorders>
              <w:top w:val="single" w:sz="8" w:color="939599"/>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939598"/>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939598"/>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939598"/>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939598"/>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939598"/>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548,846</w:t>
            </w:r>
          </w:p>
        </w:tc>
        <w:tc>
          <w:tcPr>
            <w:tcW w:w="120" w:type="dxa"/>
            <w:vAlign w:val="bottom"/>
            <w:tcBorders>
              <w:right w:val="single" w:sz="8" w:color="E5E5E5"/>
            </w:tcBorders>
          </w:tcPr>
          <w:p>
            <w:pPr>
              <w:spacing w:after="0"/>
              <w:rPr>
                <w:sz w:val="18"/>
                <w:szCs w:val="18"/>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4,242,268</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Vice President,</w:t>
            </w:r>
          </w:p>
        </w:tc>
        <w:tc>
          <w:tcPr>
            <w:tcW w:w="120" w:type="dxa"/>
            <w:vAlign w:val="bottom"/>
            <w:tcBorders>
              <w:right w:val="single" w:sz="8" w:color="E5E5E5"/>
            </w:tcBorders>
          </w:tcPr>
          <w:p>
            <w:pPr>
              <w:spacing w:after="0"/>
              <w:rPr>
                <w:sz w:val="16"/>
                <w:szCs w:val="16"/>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512,692</w:t>
            </w:r>
          </w:p>
        </w:tc>
        <w:tc>
          <w:tcPr>
            <w:tcW w:w="120" w:type="dxa"/>
            <w:vAlign w:val="bottom"/>
            <w:tcBorders>
              <w:right w:val="single" w:sz="8" w:color="E5E5E5"/>
            </w:tcBorders>
          </w:tcPr>
          <w:p>
            <w:pPr>
              <w:spacing w:after="0"/>
              <w:rPr>
                <w:sz w:val="16"/>
                <w:szCs w:val="16"/>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2,399,987</w:t>
            </w:r>
          </w:p>
        </w:tc>
        <w:tc>
          <w:tcPr>
            <w:tcW w:w="120" w:type="dxa"/>
            <w:vAlign w:val="bottom"/>
            <w:tcBorders>
              <w:right w:val="single" w:sz="8" w:color="E5E5E5"/>
            </w:tcBorders>
          </w:tcPr>
          <w:p>
            <w:pPr>
              <w:spacing w:after="0"/>
              <w:rPr>
                <w:sz w:val="16"/>
                <w:szCs w:val="16"/>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457,449</w:t>
            </w:r>
          </w:p>
        </w:tc>
        <w:tc>
          <w:tcPr>
            <w:tcW w:w="120" w:type="dxa"/>
            <w:vAlign w:val="bottom"/>
            <w:tcBorders>
              <w:right w:val="single" w:sz="8" w:color="E5E5E5"/>
            </w:tcBorders>
          </w:tcPr>
          <w:p>
            <w:pPr>
              <w:spacing w:after="0"/>
              <w:rPr>
                <w:sz w:val="16"/>
                <w:szCs w:val="16"/>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6"/>
                <w:szCs w:val="16"/>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3,370,848</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color w:val="auto"/>
              </w:rPr>
              <w:t>General Counsel and Secretary</w:t>
            </w:r>
          </w:p>
        </w:tc>
        <w:tc>
          <w:tcPr>
            <w:tcW w:w="120" w:type="dxa"/>
            <w:vAlign w:val="bottom"/>
            <w:tcBorders>
              <w:right w:val="single" w:sz="8" w:color="E5E5E5"/>
            </w:tcBorders>
          </w:tcPr>
          <w:p>
            <w:pPr>
              <w:spacing w:after="0"/>
              <w:rPr>
                <w:sz w:val="17"/>
                <w:szCs w:val="17"/>
                <w:color w:val="auto"/>
              </w:rPr>
            </w:pPr>
          </w:p>
        </w:tc>
        <w:tc>
          <w:tcPr>
            <w:tcW w:w="6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493,846</w:t>
            </w:r>
          </w:p>
        </w:tc>
        <w:tc>
          <w:tcPr>
            <w:tcW w:w="120" w:type="dxa"/>
            <w:vAlign w:val="bottom"/>
            <w:tcBorders>
              <w:right w:val="single" w:sz="8" w:color="E5E5E5"/>
            </w:tcBorders>
          </w:tcPr>
          <w:p>
            <w:pPr>
              <w:spacing w:after="0"/>
              <w:rPr>
                <w:sz w:val="17"/>
                <w:szCs w:val="17"/>
                <w:color w:val="auto"/>
              </w:rPr>
            </w:pPr>
          </w:p>
        </w:tc>
        <w:tc>
          <w:tcPr>
            <w:tcW w:w="10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1,799,995</w:t>
            </w:r>
          </w:p>
        </w:tc>
        <w:tc>
          <w:tcPr>
            <w:tcW w:w="120" w:type="dxa"/>
            <w:vAlign w:val="bottom"/>
            <w:tcBorders>
              <w:right w:val="single" w:sz="8" w:color="E5E5E5"/>
            </w:tcBorders>
          </w:tcPr>
          <w:p>
            <w:pPr>
              <w:spacing w:after="0"/>
              <w:rPr>
                <w:sz w:val="17"/>
                <w:szCs w:val="17"/>
                <w:color w:val="auto"/>
              </w:rPr>
            </w:pPr>
          </w:p>
        </w:tc>
        <w:tc>
          <w:tcPr>
            <w:tcW w:w="14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468,000</w:t>
            </w:r>
          </w:p>
        </w:tc>
        <w:tc>
          <w:tcPr>
            <w:tcW w:w="120" w:type="dxa"/>
            <w:vAlign w:val="bottom"/>
            <w:tcBorders>
              <w:right w:val="single" w:sz="8" w:color="E5E5E5"/>
            </w:tcBorders>
          </w:tcPr>
          <w:p>
            <w:pPr>
              <w:spacing w:after="0"/>
              <w:rPr>
                <w:sz w:val="17"/>
                <w:szCs w:val="17"/>
                <w:color w:val="auto"/>
              </w:rPr>
            </w:pPr>
          </w:p>
        </w:tc>
        <w:tc>
          <w:tcPr>
            <w:tcW w:w="13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Borders>
              <w:right w:val="single" w:sz="8" w:color="E5E5E5"/>
            </w:tcBorders>
          </w:tcPr>
          <w:p>
            <w:pPr>
              <w:spacing w:after="0"/>
              <w:rPr>
                <w:sz w:val="17"/>
                <w:szCs w:val="17"/>
                <w:color w:val="auto"/>
              </w:rPr>
            </w:pPr>
          </w:p>
        </w:tc>
        <w:tc>
          <w:tcPr>
            <w:tcW w:w="11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2,762,551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60" w:hanging="252"/>
        <w:spacing w:after="0" w:line="301" w:lineRule="auto"/>
        <w:tabs>
          <w:tab w:leader="none" w:pos="264"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where applicable, amounts electively contributed by each NEO to our 401(k) Plan. The amounts reported represent base salaries paid to each of the NEOs for the applicable fiscal year. Annual base salary for U.S. salaried employees is paid on a bi-weekly schedule over 26 pay periods.</w:t>
      </w:r>
    </w:p>
    <w:p>
      <w:pPr>
        <w:spacing w:after="0" w:line="1" w:lineRule="exact"/>
        <w:rPr>
          <w:rFonts w:ascii="Arial" w:cs="Arial" w:eastAsia="Arial" w:hAnsi="Arial"/>
          <w:sz w:val="9"/>
          <w:szCs w:val="9"/>
          <w:color w:val="auto"/>
        </w:rPr>
      </w:pPr>
    </w:p>
    <w:p>
      <w:pPr>
        <w:ind w:left="260" w:right="60" w:hanging="252"/>
        <w:spacing w:after="0" w:line="250" w:lineRule="auto"/>
        <w:tabs>
          <w:tab w:leader="none" w:pos="264" w:val="left"/>
        </w:tabs>
        <w:numPr>
          <w:ilvl w:val="0"/>
          <w:numId w:val="32"/>
        </w:numPr>
        <w:rPr>
          <w:rFonts w:ascii="Arial" w:cs="Arial" w:eastAsia="Arial" w:hAnsi="Arial"/>
          <w:sz w:val="9"/>
          <w:szCs w:val="9"/>
          <w:color w:val="auto"/>
        </w:rPr>
      </w:pPr>
      <w:r>
        <w:rPr>
          <w:rFonts w:ascii="Arial" w:cs="Arial" w:eastAsia="Arial" w:hAnsi="Arial"/>
          <w:sz w:val="14"/>
          <w:szCs w:val="14"/>
          <w:color w:val="auto"/>
        </w:rPr>
        <w:t>Amounts shown represent the aggregate grant date fair value, which is based on the closing share price on the date of the grant. Amounts for PSUs, which are subject to performance and market conditions, are based upon the probable outcome of the performance conditions as of the grant date of the award (i.e., the CAGR of operating income for the performance period). Amounts shown for 2023 include the following for PSUs: Mr. Bidzos, $5,999,954; Mr. Strubbe, $1,749,791; Mr. Kilguss, $1,599,931; Mr. McPherson $1,599,931; and Mr. Indelicarto, $1,599,931. Calculated in accordance with FASB ASC Topic 718 rules, the grant date fair value for PSUs granted in 2023, at the maximum achievement level (i.e., 200% payout) would be the following: Mr. Bidzos, $9,359,928; Mr. Strubbe, $2,729,675; Mr. Kilguss, $2,495,892; Mr. McPherson $2,495,892; and Mr. Indelicarto, $2,495,892. Amounts reported here may differ from the sum of amounts reported elsewhere in this document due to rounding.</w:t>
      </w:r>
    </w:p>
    <w:p>
      <w:pPr>
        <w:spacing w:after="0" w:line="46" w:lineRule="exact"/>
        <w:rPr>
          <w:rFonts w:ascii="Arial" w:cs="Arial" w:eastAsia="Arial" w:hAnsi="Arial"/>
          <w:sz w:val="9"/>
          <w:szCs w:val="9"/>
          <w:color w:val="auto"/>
        </w:rPr>
      </w:pPr>
    </w:p>
    <w:p>
      <w:pPr>
        <w:ind w:left="260" w:right="12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Amounts shown are for non-equity incentive plan compensation earned during the year indicated but paid in the following year, which for 2023 reflects the annual incentive bonuses earned under the 2023 VPP.</w:t>
      </w:r>
    </w:p>
    <w:p>
      <w:pPr>
        <w:spacing w:after="0" w:line="53"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Amounts in “All Other Compensation” for 2023 include, where applicable, matching contributions made by the Company to the VeriSign, Inc. 401(k) Plan, life insurance payments and accidental death and dismemberment insurance payments.</w:t>
      </w:r>
    </w:p>
    <w:p>
      <w:pPr>
        <w:spacing w:after="0" w:line="53" w:lineRule="exact"/>
        <w:rPr>
          <w:rFonts w:ascii="Arial" w:cs="Arial" w:eastAsia="Arial" w:hAnsi="Arial"/>
          <w:sz w:val="19"/>
          <w:szCs w:val="19"/>
          <w:color w:val="auto"/>
          <w:vertAlign w:val="superscript"/>
        </w:rPr>
      </w:pPr>
    </w:p>
    <w:p>
      <w:pPr>
        <w:ind w:left="260" w:right="20" w:hanging="252"/>
        <w:spacing w:after="0"/>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approved a fee payment of $30,000 on behalf of Mr. Bidzos in connection with a pre-acquisition notification filing under the Hart-Scott-Rodino Act.</w:t>
      </w:r>
    </w:p>
    <w:p>
      <w:pPr>
        <w:spacing w:after="0" w:line="200" w:lineRule="exact"/>
        <w:rPr>
          <w:sz w:val="20"/>
          <w:szCs w:val="20"/>
          <w:color w:val="auto"/>
        </w:rPr>
      </w:pPr>
    </w:p>
    <w:p>
      <w:pPr>
        <w:spacing w:after="0" w:line="216"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Grants of Plan-Based Awards in 2023</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NEOs for 2023 under annual and long-term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120" w:type="dxa"/>
            <w:vAlign w:val="bottom"/>
            <w:tcBorders>
              <w:right w:val="single" w:sz="8" w:color="auto"/>
            </w:tcBorders>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STOCK</w:t>
            </w:r>
          </w:p>
        </w:tc>
        <w:tc>
          <w:tcPr>
            <w:tcW w:w="120" w:type="dxa"/>
            <w:vAlign w:val="bottom"/>
            <w:tcBorders>
              <w:righ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000" w:type="dxa"/>
            <w:vAlign w:val="bottom"/>
            <w:gridSpan w:val="5"/>
          </w:tcPr>
          <w:p>
            <w:pPr>
              <w:jc w:val="center"/>
              <w:spacing w:after="0" w:line="135" w:lineRule="exact"/>
              <w:rPr>
                <w:sz w:val="20"/>
                <w:szCs w:val="20"/>
                <w:color w:val="auto"/>
              </w:rPr>
            </w:pPr>
            <w:r>
              <w:rPr>
                <w:rFonts w:ascii="Arial" w:cs="Arial" w:eastAsia="Arial" w:hAnsi="Arial"/>
                <w:sz w:val="12"/>
                <w:szCs w:val="12"/>
                <w:b w:val="1"/>
                <w:bCs w:val="1"/>
                <w:color w:val="auto"/>
                <w:w w:val="96"/>
              </w:rPr>
              <w:t>ESTIMATED FUTURE PAYOUTS UNDER</w:t>
            </w:r>
          </w:p>
        </w:tc>
        <w:tc>
          <w:tcPr>
            <w:tcW w:w="120" w:type="dxa"/>
            <w:vAlign w:val="bottom"/>
            <w:tcBorders>
              <w:right w:val="single" w:sz="8" w:color="auto"/>
            </w:tcBorders>
          </w:tcPr>
          <w:p>
            <w:pPr>
              <w:spacing w:after="0"/>
              <w:rPr>
                <w:sz w:val="11"/>
                <w:szCs w:val="11"/>
                <w:color w:val="auto"/>
              </w:rPr>
            </w:pPr>
          </w:p>
        </w:tc>
        <w:tc>
          <w:tcPr>
            <w:tcW w:w="2800" w:type="dxa"/>
            <w:vAlign w:val="bottom"/>
            <w:gridSpan w:val="6"/>
          </w:tcPr>
          <w:p>
            <w:pPr>
              <w:jc w:val="center"/>
              <w:spacing w:after="0" w:line="135" w:lineRule="exact"/>
              <w:rPr>
                <w:sz w:val="20"/>
                <w:szCs w:val="20"/>
                <w:color w:val="auto"/>
              </w:rPr>
            </w:pPr>
            <w:r>
              <w:rPr>
                <w:rFonts w:ascii="Arial" w:cs="Arial" w:eastAsia="Arial" w:hAnsi="Arial"/>
                <w:sz w:val="12"/>
                <w:szCs w:val="12"/>
                <w:b w:val="1"/>
                <w:bCs w:val="1"/>
                <w:color w:val="auto"/>
                <w:w w:val="95"/>
              </w:rPr>
              <w:t>ESTIMATED FUTURE PAYOUTS</w:t>
            </w:r>
          </w:p>
        </w:tc>
        <w:tc>
          <w:tcPr>
            <w:tcW w:w="120" w:type="dxa"/>
            <w:vAlign w:val="bottom"/>
            <w:tcBorders>
              <w:right w:val="single" w:sz="8" w:color="auto"/>
            </w:tcBorders>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AWARDS:</w:t>
            </w:r>
          </w:p>
        </w:tc>
        <w:tc>
          <w:tcPr>
            <w:tcW w:w="120" w:type="dxa"/>
            <w:vAlign w:val="bottom"/>
            <w:tcBorders>
              <w:right w:val="single" w:sz="8" w:color="auto"/>
            </w:tcBorders>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NON-EQUITY</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180" w:type="dxa"/>
            <w:vAlign w:val="bottom"/>
            <w:gridSpan w:val="5"/>
          </w:tcPr>
          <w:p>
            <w:pPr>
              <w:jc w:val="center"/>
              <w:ind w:left="534"/>
              <w:spacing w:after="0" w:line="122" w:lineRule="exact"/>
              <w:rPr>
                <w:sz w:val="20"/>
                <w:szCs w:val="20"/>
                <w:color w:val="auto"/>
              </w:rPr>
            </w:pPr>
            <w:r>
              <w:rPr>
                <w:rFonts w:ascii="Arial" w:cs="Arial" w:eastAsia="Arial" w:hAnsi="Arial"/>
                <w:sz w:val="12"/>
                <w:szCs w:val="12"/>
                <w:b w:val="1"/>
                <w:bCs w:val="1"/>
                <w:color w:val="auto"/>
                <w:w w:val="97"/>
              </w:rPr>
              <w:t>UNDER EQUITY INCENTIVE</w:t>
            </w: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0" w:type="dxa"/>
            <w:vAlign w:val="bottom"/>
            <w:gridSpan w:val="5"/>
          </w:tcPr>
          <w:p>
            <w:pPr>
              <w:jc w:val="center"/>
              <w:spacing w:after="0" w:line="108"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2"/>
                <w:szCs w:val="12"/>
                <w:b w:val="1"/>
                <w:bCs w:val="1"/>
                <w:color w:val="auto"/>
                <w:vertAlign w:val="superscript"/>
              </w:rPr>
              <w:t>(1)</w:t>
            </w:r>
          </w:p>
        </w:tc>
        <w:tc>
          <w:tcPr>
            <w:tcW w:w="120" w:type="dxa"/>
            <w:vAlign w:val="bottom"/>
            <w:tcBorders>
              <w:right w:val="single" w:sz="8" w:color="auto"/>
            </w:tcBorders>
          </w:tcPr>
          <w:p>
            <w:pPr>
              <w:spacing w:after="0"/>
              <w:rPr>
                <w:sz w:val="9"/>
                <w:szCs w:val="9"/>
                <w:color w:val="auto"/>
              </w:rPr>
            </w:pPr>
          </w:p>
        </w:tc>
        <w:tc>
          <w:tcPr>
            <w:tcW w:w="2180" w:type="dxa"/>
            <w:vAlign w:val="bottom"/>
            <w:gridSpan w:val="5"/>
          </w:tcPr>
          <w:p>
            <w:pPr>
              <w:jc w:val="center"/>
              <w:ind w:left="534"/>
              <w:spacing w:after="0" w:line="108"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2"/>
                <w:szCs w:val="12"/>
                <w:b w:val="1"/>
                <w:bCs w:val="1"/>
                <w:color w:val="auto"/>
                <w:vertAlign w:val="superscript"/>
              </w:rPr>
              <w:t>(2)</w:t>
            </w:r>
          </w:p>
        </w:tc>
        <w:tc>
          <w:tcPr>
            <w:tcW w:w="6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SHARES OF</w:t>
            </w:r>
          </w:p>
        </w:tc>
        <w:tc>
          <w:tcPr>
            <w:tcW w:w="120" w:type="dxa"/>
            <w:vAlign w:val="bottom"/>
            <w:tcBorders>
              <w:right w:val="single" w:sz="8" w:color="auto"/>
            </w:tcBorders>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75"/>
        </w:trPr>
        <w:tc>
          <w:tcPr>
            <w:tcW w:w="19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20" w:type="dxa"/>
            <w:vAlign w:val="bottom"/>
          </w:tcPr>
          <w:p>
            <w:pPr>
              <w:jc w:val="right"/>
              <w:spacing w:after="0" w:line="75" w:lineRule="exact"/>
              <w:rPr>
                <w:sz w:val="20"/>
                <w:szCs w:val="20"/>
                <w:color w:val="auto"/>
              </w:rPr>
            </w:pPr>
            <w:r>
              <w:rPr>
                <w:rFonts w:ascii="Arial" w:cs="Arial" w:eastAsia="Arial" w:hAnsi="Arial"/>
                <w:sz w:val="8"/>
                <w:szCs w:val="8"/>
                <w:b w:val="1"/>
                <w:bCs w:val="1"/>
                <w:color w:val="auto"/>
              </w:rPr>
              <w:t>STOCK OR</w:t>
            </w:r>
          </w:p>
        </w:tc>
        <w:tc>
          <w:tcPr>
            <w:tcW w:w="120" w:type="dxa"/>
            <w:vAlign w:val="bottom"/>
            <w:tcBorders>
              <w:right w:val="single" w:sz="8" w:color="auto"/>
            </w:tcBorders>
          </w:tcPr>
          <w:p>
            <w:pPr>
              <w:spacing w:after="0"/>
              <w:rPr>
                <w:sz w:val="6"/>
                <w:szCs w:val="6"/>
                <w:color w:val="auto"/>
              </w:rPr>
            </w:pPr>
          </w:p>
        </w:tc>
        <w:tc>
          <w:tcPr>
            <w:tcW w:w="920" w:type="dxa"/>
            <w:vAlign w:val="bottom"/>
          </w:tcPr>
          <w:p>
            <w:pPr>
              <w:jc w:val="right"/>
              <w:spacing w:after="0" w:line="75" w:lineRule="exact"/>
              <w:rPr>
                <w:sz w:val="20"/>
                <w:szCs w:val="20"/>
                <w:color w:val="auto"/>
              </w:rPr>
            </w:pPr>
            <w:r>
              <w:rPr>
                <w:rFonts w:ascii="Arial" w:cs="Arial" w:eastAsia="Arial" w:hAnsi="Arial"/>
                <w:sz w:val="8"/>
                <w:szCs w:val="8"/>
                <w:b w:val="1"/>
                <w:bCs w:val="1"/>
                <w:color w:val="auto"/>
              </w:rPr>
              <w:t>OPTION</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NAMED EXECUTIVE</w:t>
            </w:r>
          </w:p>
        </w:tc>
        <w:tc>
          <w:tcPr>
            <w:tcW w:w="100" w:type="dxa"/>
            <w:vAlign w:val="bottom"/>
            <w:tcBorders>
              <w:right w:val="single" w:sz="8" w:color="auto"/>
            </w:tcBorders>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 DATE</w:t>
            </w:r>
          </w:p>
        </w:tc>
        <w:tc>
          <w:tcPr>
            <w:tcW w:w="120" w:type="dxa"/>
            <w:vAlign w:val="bottom"/>
            <w:tcBorders>
              <w:right w:val="single" w:sz="8" w:color="auto"/>
            </w:tcBorders>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THRESHOLD</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TARGET</w:t>
            </w:r>
          </w:p>
        </w:tc>
        <w:tc>
          <w:tcPr>
            <w:tcW w:w="10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MAXIMUM</w:t>
            </w:r>
          </w:p>
        </w:tc>
        <w:tc>
          <w:tcPr>
            <w:tcW w:w="120" w:type="dxa"/>
            <w:vAlign w:val="bottom"/>
            <w:tcBorders>
              <w:right w:val="single" w:sz="8" w:color="auto"/>
            </w:tcBorders>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THRESHOLD</w:t>
            </w:r>
          </w:p>
        </w:tc>
        <w:tc>
          <w:tcPr>
            <w:tcW w:w="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gridSpan w:val="2"/>
          </w:tcPr>
          <w:p>
            <w:pPr>
              <w:jc w:val="right"/>
              <w:ind w:right="140"/>
              <w:spacing w:after="0" w:line="122" w:lineRule="exact"/>
              <w:rPr>
                <w:sz w:val="20"/>
                <w:szCs w:val="20"/>
                <w:color w:val="auto"/>
              </w:rPr>
            </w:pPr>
            <w:r>
              <w:rPr>
                <w:rFonts w:ascii="Arial" w:cs="Arial" w:eastAsia="Arial" w:hAnsi="Arial"/>
                <w:sz w:val="12"/>
                <w:szCs w:val="12"/>
                <w:b w:val="1"/>
                <w:bCs w:val="1"/>
                <w:color w:val="auto"/>
              </w:rPr>
              <w:t>TARGET</w:t>
            </w:r>
          </w:p>
        </w:tc>
        <w:tc>
          <w:tcPr>
            <w:tcW w:w="2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5"/>
              </w:rPr>
              <w:t>MAXIMUM</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UNITS</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OFFICER</w:t>
            </w:r>
          </w:p>
        </w:tc>
        <w:tc>
          <w:tcPr>
            <w:tcW w:w="10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(3)</w:t>
            </w:r>
          </w:p>
        </w:tc>
        <w:tc>
          <w:tcPr>
            <w:tcW w:w="120" w:type="dxa"/>
            <w:vAlign w:val="bottom"/>
            <w:tcBorders>
              <w:right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(4)</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5"/>
                <w:szCs w:val="15"/>
                <w:b w:val="1"/>
                <w:bCs w:val="1"/>
                <w:color w:val="004A98"/>
              </w:rPr>
              <w:t>D. James Bidzos</w:t>
            </w: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356,250</w:t>
            </w: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1,425,000</w:t>
            </w: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2,493,750</w:t>
            </w: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0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6"/>
                <w:szCs w:val="16"/>
                <w:color w:val="auto"/>
              </w:rPr>
            </w:pPr>
          </w:p>
        </w:tc>
        <w:tc>
          <w:tcPr>
            <w:tcW w:w="94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880" w:type="dxa"/>
            <w:vAlign w:val="bottom"/>
            <w:tcBorders>
              <w:bottom w:val="single" w:sz="8" w:color="939598"/>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96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14,093</w:t>
            </w:r>
          </w:p>
        </w:tc>
        <w:tc>
          <w:tcPr>
            <w:tcW w:w="100" w:type="dxa"/>
            <w:vAlign w:val="bottom"/>
            <w:tcBorders>
              <w:right w:val="single" w:sz="8" w:color="E5E5E5"/>
            </w:tcBorders>
          </w:tcPr>
          <w:p>
            <w:pPr>
              <w:spacing w:after="0"/>
              <w:rPr>
                <w:sz w:val="16"/>
                <w:szCs w:val="16"/>
                <w:color w:val="auto"/>
              </w:rPr>
            </w:pPr>
          </w:p>
        </w:tc>
        <w:tc>
          <w:tcPr>
            <w:tcW w:w="7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28,186</w:t>
            </w:r>
          </w:p>
        </w:tc>
        <w:tc>
          <w:tcPr>
            <w:tcW w:w="120" w:type="dxa"/>
            <w:vAlign w:val="bottom"/>
            <w:tcBorders>
              <w:right w:val="single" w:sz="8" w:color="E5E5E5"/>
            </w:tcBorders>
          </w:tcPr>
          <w:p>
            <w:pPr>
              <w:spacing w:after="0"/>
              <w:rPr>
                <w:sz w:val="16"/>
                <w:szCs w:val="16"/>
                <w:color w:val="auto"/>
              </w:rPr>
            </w:pPr>
          </w:p>
        </w:tc>
        <w:tc>
          <w:tcPr>
            <w:tcW w:w="200" w:type="dxa"/>
            <w:vAlign w:val="bottom"/>
            <w:tcBorders>
              <w:bottom w:val="single" w:sz="8" w:color="939598"/>
            </w:tcBorders>
            <w:shd w:val="clear" w:color="auto" w:fill="E5E5E5"/>
          </w:tcPr>
          <w:p>
            <w:pPr>
              <w:spacing w:after="0"/>
              <w:rPr>
                <w:sz w:val="16"/>
                <w:szCs w:val="16"/>
                <w:color w:val="auto"/>
              </w:rPr>
            </w:pPr>
          </w:p>
        </w:tc>
        <w:tc>
          <w:tcPr>
            <w:tcW w:w="620" w:type="dxa"/>
            <w:vAlign w:val="bottom"/>
            <w:tcBorders>
              <w:bottom w:val="single" w:sz="8" w:color="939598"/>
            </w:tcBorders>
            <w:shd w:val="clear" w:color="auto" w:fill="E5E5E5"/>
          </w:tcPr>
          <w:p>
            <w:pPr>
              <w:jc w:val="center"/>
              <w:spacing w:after="0"/>
              <w:rPr>
                <w:sz w:val="20"/>
                <w:szCs w:val="20"/>
                <w:color w:val="auto"/>
              </w:rPr>
            </w:pPr>
            <w:r>
              <w:rPr>
                <w:rFonts w:ascii="Arial" w:cs="Arial" w:eastAsia="Arial" w:hAnsi="Arial"/>
                <w:sz w:val="15"/>
                <w:szCs w:val="15"/>
                <w:color w:val="auto"/>
              </w:rPr>
              <w:t>56,372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5,999,954</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18,790</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3,999,827</w:t>
            </w:r>
          </w:p>
        </w:tc>
        <w:tc>
          <w:tcPr>
            <w:tcW w:w="0" w:type="dxa"/>
            <w:vAlign w:val="bottom"/>
          </w:tcPr>
          <w:p>
            <w:pPr>
              <w:spacing w:after="0"/>
              <w:rPr>
                <w:sz w:val="1"/>
                <w:szCs w:val="1"/>
                <w:color w:val="auto"/>
              </w:rPr>
            </w:pPr>
          </w:p>
        </w:tc>
      </w:tr>
      <w:tr>
        <w:trPr>
          <w:trHeight w:val="197"/>
        </w:trPr>
        <w:tc>
          <w:tcPr>
            <w:tcW w:w="1900" w:type="dxa"/>
            <w:vAlign w:val="bottom"/>
          </w:tcPr>
          <w:p>
            <w:pPr>
              <w:ind w:left="20"/>
              <w:spacing w:after="0"/>
              <w:rPr>
                <w:sz w:val="20"/>
                <w:szCs w:val="20"/>
                <w:color w:val="auto"/>
              </w:rPr>
            </w:pPr>
            <w:r>
              <w:rPr>
                <w:rFonts w:ascii="Arial" w:cs="Arial" w:eastAsia="Arial" w:hAnsi="Arial"/>
                <w:sz w:val="15"/>
                <w:szCs w:val="15"/>
                <w:b w:val="1"/>
                <w:bCs w:val="1"/>
                <w:color w:val="004A98"/>
              </w:rPr>
              <w:t>Todd B. Strubbe</w:t>
            </w:r>
          </w:p>
        </w:tc>
        <w:tc>
          <w:tcPr>
            <w:tcW w:w="100" w:type="dxa"/>
            <w:vAlign w:val="bottom"/>
          </w:tcPr>
          <w:p>
            <w:pPr>
              <w:spacing w:after="0"/>
              <w:rPr>
                <w:sz w:val="17"/>
                <w:szCs w:val="17"/>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147,500</w:t>
            </w:r>
          </w:p>
        </w:tc>
        <w:tc>
          <w:tcPr>
            <w:tcW w:w="120" w:type="dxa"/>
            <w:vAlign w:val="bottom"/>
          </w:tcPr>
          <w:p>
            <w:pPr>
              <w:spacing w:after="0"/>
              <w:rPr>
                <w:sz w:val="17"/>
                <w:szCs w:val="17"/>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590,000</w:t>
            </w:r>
          </w:p>
        </w:tc>
        <w:tc>
          <w:tcPr>
            <w:tcW w:w="100" w:type="dxa"/>
            <w:vAlign w:val="bottom"/>
          </w:tcPr>
          <w:p>
            <w:pPr>
              <w:spacing w:after="0"/>
              <w:rPr>
                <w:sz w:val="17"/>
                <w:szCs w:val="17"/>
                <w:color w:val="auto"/>
              </w:rPr>
            </w:pPr>
          </w:p>
        </w:tc>
        <w:tc>
          <w:tcPr>
            <w:tcW w:w="960" w:type="dxa"/>
            <w:vAlign w:val="bottom"/>
            <w:tcBorders>
              <w:bottom w:val="single" w:sz="8" w:color="939598"/>
            </w:tcBorders>
          </w:tcPr>
          <w:p>
            <w:pPr>
              <w:jc w:val="right"/>
              <w:ind w:right="9"/>
              <w:spacing w:after="0"/>
              <w:rPr>
                <w:sz w:val="20"/>
                <w:szCs w:val="20"/>
                <w:color w:val="auto"/>
              </w:rPr>
            </w:pPr>
            <w:r>
              <w:rPr>
                <w:rFonts w:ascii="Arial" w:cs="Arial" w:eastAsia="Arial" w:hAnsi="Arial"/>
                <w:sz w:val="15"/>
                <w:szCs w:val="15"/>
                <w:color w:val="auto"/>
              </w:rPr>
              <w:t>1,032,500</w:t>
            </w:r>
          </w:p>
        </w:tc>
        <w:tc>
          <w:tcPr>
            <w:tcW w:w="120" w:type="dxa"/>
            <w:vAlign w:val="bottom"/>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Pr>
          <w:p>
            <w:pPr>
              <w:spacing w:after="0"/>
              <w:rPr>
                <w:sz w:val="16"/>
                <w:szCs w:val="16"/>
                <w:color w:val="auto"/>
              </w:rPr>
            </w:pPr>
          </w:p>
        </w:tc>
        <w:tc>
          <w:tcPr>
            <w:tcW w:w="94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4,110</w:t>
            </w:r>
          </w:p>
        </w:tc>
        <w:tc>
          <w:tcPr>
            <w:tcW w:w="100" w:type="dxa"/>
            <w:vAlign w:val="bottom"/>
          </w:tcPr>
          <w:p>
            <w:pPr>
              <w:spacing w:after="0"/>
              <w:rPr>
                <w:sz w:val="16"/>
                <w:szCs w:val="16"/>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8,220</w:t>
            </w:r>
          </w:p>
        </w:tc>
        <w:tc>
          <w:tcPr>
            <w:tcW w:w="120" w:type="dxa"/>
            <w:vAlign w:val="bottom"/>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5"/>
                <w:szCs w:val="15"/>
                <w:color w:val="auto"/>
              </w:rPr>
              <w:t>16,440</w:t>
            </w:r>
          </w:p>
        </w:tc>
        <w:tc>
          <w:tcPr>
            <w:tcW w:w="120" w:type="dxa"/>
            <w:vAlign w:val="bottom"/>
          </w:tcPr>
          <w:p>
            <w:pPr>
              <w:spacing w:after="0"/>
              <w:rPr>
                <w:sz w:val="16"/>
                <w:szCs w:val="16"/>
                <w:color w:val="auto"/>
              </w:rPr>
            </w:pPr>
          </w:p>
        </w:tc>
        <w:tc>
          <w:tcPr>
            <w:tcW w:w="92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1,749,791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8,220</w:t>
            </w:r>
          </w:p>
        </w:tc>
        <w:tc>
          <w:tcPr>
            <w:tcW w:w="120" w:type="dxa"/>
            <w:vAlign w:val="bottom"/>
          </w:tcPr>
          <w:p>
            <w:pPr>
              <w:spacing w:after="0"/>
              <w:rPr>
                <w:sz w:val="17"/>
                <w:szCs w:val="17"/>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1,749,791</w:t>
            </w:r>
          </w:p>
        </w:tc>
        <w:tc>
          <w:tcPr>
            <w:tcW w:w="0" w:type="dxa"/>
            <w:vAlign w:val="bottom"/>
          </w:tcPr>
          <w:p>
            <w:pPr>
              <w:spacing w:after="0"/>
              <w:rPr>
                <w:sz w:val="1"/>
                <w:szCs w:val="1"/>
                <w:color w:val="auto"/>
              </w:rPr>
            </w:pPr>
          </w:p>
        </w:tc>
      </w:tr>
      <w:tr>
        <w:trPr>
          <w:trHeight w:val="197"/>
        </w:trPr>
        <w:tc>
          <w:tcPr>
            <w:tcW w:w="1900" w:type="dxa"/>
            <w:vAlign w:val="bottom"/>
            <w:tcBorders>
              <w:bottom w:val="single" w:sz="8" w:color="E5E5E5"/>
            </w:tcBorders>
            <w:shd w:val="clear" w:color="auto" w:fill="E6E7E8"/>
          </w:tcPr>
          <w:p>
            <w:pPr>
              <w:ind w:left="20"/>
              <w:spacing w:after="0"/>
              <w:rPr>
                <w:sz w:val="20"/>
                <w:szCs w:val="20"/>
                <w:color w:val="auto"/>
              </w:rPr>
            </w:pPr>
            <w:r>
              <w:rPr>
                <w:rFonts w:ascii="Arial" w:cs="Arial" w:eastAsia="Arial" w:hAnsi="Arial"/>
                <w:sz w:val="15"/>
                <w:szCs w:val="15"/>
                <w:b w:val="1"/>
                <w:bCs w:val="1"/>
                <w:color w:val="004A98"/>
              </w:rPr>
              <w:t>George E. Kilguss, III</w:t>
            </w: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jc w:val="right"/>
              <w:ind w:right="9"/>
              <w:spacing w:after="0"/>
              <w:rPr>
                <w:sz w:val="20"/>
                <w:szCs w:val="20"/>
                <w:color w:val="auto"/>
              </w:rPr>
            </w:pPr>
            <w:r>
              <w:rPr>
                <w:rFonts w:ascii="Arial" w:cs="Arial" w:eastAsia="Arial" w:hAnsi="Arial"/>
                <w:sz w:val="15"/>
                <w:szCs w:val="15"/>
                <w:color w:val="auto"/>
              </w:rPr>
              <w:t>971,250</w:t>
            </w: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0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6"/>
                <w:szCs w:val="16"/>
                <w:color w:val="auto"/>
              </w:rPr>
            </w:pPr>
          </w:p>
        </w:tc>
        <w:tc>
          <w:tcPr>
            <w:tcW w:w="94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880" w:type="dxa"/>
            <w:vAlign w:val="bottom"/>
            <w:tcBorders>
              <w:bottom w:val="single" w:sz="8" w:color="939598"/>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96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3,758</w:t>
            </w:r>
          </w:p>
        </w:tc>
        <w:tc>
          <w:tcPr>
            <w:tcW w:w="100" w:type="dxa"/>
            <w:vAlign w:val="bottom"/>
            <w:tcBorders>
              <w:right w:val="single" w:sz="8" w:color="E5E5E5"/>
            </w:tcBorders>
          </w:tcPr>
          <w:p>
            <w:pPr>
              <w:spacing w:after="0"/>
              <w:rPr>
                <w:sz w:val="16"/>
                <w:szCs w:val="16"/>
                <w:color w:val="auto"/>
              </w:rPr>
            </w:pPr>
          </w:p>
        </w:tc>
        <w:tc>
          <w:tcPr>
            <w:tcW w:w="7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Borders>
              <w:right w:val="single" w:sz="8" w:color="E5E5E5"/>
            </w:tcBorders>
          </w:tcPr>
          <w:p>
            <w:pPr>
              <w:spacing w:after="0"/>
              <w:rPr>
                <w:sz w:val="16"/>
                <w:szCs w:val="16"/>
                <w:color w:val="auto"/>
              </w:rPr>
            </w:pPr>
          </w:p>
        </w:tc>
        <w:tc>
          <w:tcPr>
            <w:tcW w:w="200" w:type="dxa"/>
            <w:vAlign w:val="bottom"/>
            <w:tcBorders>
              <w:bottom w:val="single" w:sz="8" w:color="939598"/>
            </w:tcBorders>
            <w:shd w:val="clear" w:color="auto" w:fill="E5E5E5"/>
          </w:tcPr>
          <w:p>
            <w:pPr>
              <w:spacing w:after="0"/>
              <w:rPr>
                <w:sz w:val="16"/>
                <w:szCs w:val="16"/>
                <w:color w:val="auto"/>
              </w:rPr>
            </w:pPr>
          </w:p>
        </w:tc>
        <w:tc>
          <w:tcPr>
            <w:tcW w:w="620" w:type="dxa"/>
            <w:vAlign w:val="bottom"/>
            <w:tcBorders>
              <w:bottom w:val="single" w:sz="8" w:color="939598"/>
            </w:tcBorders>
            <w:shd w:val="clear" w:color="auto" w:fill="E5E5E5"/>
          </w:tcPr>
          <w:p>
            <w:pPr>
              <w:jc w:val="center"/>
              <w:spacing w:after="0"/>
              <w:rPr>
                <w:sz w:val="20"/>
                <w:szCs w:val="20"/>
                <w:color w:val="auto"/>
              </w:rPr>
            </w:pPr>
            <w:r>
              <w:rPr>
                <w:rFonts w:ascii="Arial" w:cs="Arial" w:eastAsia="Arial" w:hAnsi="Arial"/>
                <w:sz w:val="15"/>
                <w:szCs w:val="15"/>
                <w:color w:val="auto"/>
              </w:rPr>
              <w:t>15,032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r>
        <w:trPr>
          <w:trHeight w:val="197"/>
        </w:trPr>
        <w:tc>
          <w:tcPr>
            <w:tcW w:w="1900" w:type="dxa"/>
            <w:vAlign w:val="bottom"/>
          </w:tcPr>
          <w:p>
            <w:pPr>
              <w:ind w:left="20"/>
              <w:spacing w:after="0"/>
              <w:rPr>
                <w:sz w:val="20"/>
                <w:szCs w:val="20"/>
                <w:color w:val="auto"/>
              </w:rPr>
            </w:pPr>
            <w:r>
              <w:rPr>
                <w:rFonts w:ascii="Arial" w:cs="Arial" w:eastAsia="Arial" w:hAnsi="Arial"/>
                <w:sz w:val="15"/>
                <w:szCs w:val="15"/>
                <w:b w:val="1"/>
                <w:bCs w:val="1"/>
                <w:color w:val="004A98"/>
              </w:rPr>
              <w:t>Danny R. McPherson</w:t>
            </w:r>
          </w:p>
        </w:tc>
        <w:tc>
          <w:tcPr>
            <w:tcW w:w="100" w:type="dxa"/>
            <w:vAlign w:val="bottom"/>
          </w:tcPr>
          <w:p>
            <w:pPr>
              <w:spacing w:after="0"/>
              <w:rPr>
                <w:sz w:val="17"/>
                <w:szCs w:val="17"/>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Pr>
          <w:p>
            <w:pPr>
              <w:spacing w:after="0"/>
              <w:rPr>
                <w:sz w:val="17"/>
                <w:szCs w:val="17"/>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Pr>
          <w:p>
            <w:pPr>
              <w:spacing w:after="0"/>
              <w:rPr>
                <w:sz w:val="17"/>
                <w:szCs w:val="17"/>
                <w:color w:val="auto"/>
              </w:rPr>
            </w:pPr>
          </w:p>
        </w:tc>
        <w:tc>
          <w:tcPr>
            <w:tcW w:w="960" w:type="dxa"/>
            <w:vAlign w:val="bottom"/>
            <w:tcBorders>
              <w:bottom w:val="single" w:sz="8" w:color="939598"/>
            </w:tcBorders>
          </w:tcPr>
          <w:p>
            <w:pPr>
              <w:jc w:val="right"/>
              <w:ind w:right="9"/>
              <w:spacing w:after="0"/>
              <w:rPr>
                <w:sz w:val="20"/>
                <w:szCs w:val="20"/>
                <w:color w:val="auto"/>
              </w:rPr>
            </w:pPr>
            <w:r>
              <w:rPr>
                <w:rFonts w:ascii="Arial" w:cs="Arial" w:eastAsia="Arial" w:hAnsi="Arial"/>
                <w:sz w:val="15"/>
                <w:szCs w:val="15"/>
                <w:color w:val="auto"/>
              </w:rPr>
              <w:t>971,250</w:t>
            </w:r>
          </w:p>
        </w:tc>
        <w:tc>
          <w:tcPr>
            <w:tcW w:w="120" w:type="dxa"/>
            <w:vAlign w:val="bottom"/>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Pr>
          <w:p>
            <w:pPr>
              <w:spacing w:after="0"/>
              <w:rPr>
                <w:sz w:val="16"/>
                <w:szCs w:val="16"/>
                <w:color w:val="auto"/>
              </w:rPr>
            </w:pPr>
          </w:p>
        </w:tc>
        <w:tc>
          <w:tcPr>
            <w:tcW w:w="94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3,758</w:t>
            </w:r>
          </w:p>
        </w:tc>
        <w:tc>
          <w:tcPr>
            <w:tcW w:w="100" w:type="dxa"/>
            <w:vAlign w:val="bottom"/>
          </w:tcPr>
          <w:p>
            <w:pPr>
              <w:spacing w:after="0"/>
              <w:rPr>
                <w:sz w:val="16"/>
                <w:szCs w:val="16"/>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5"/>
                <w:szCs w:val="15"/>
                <w:color w:val="auto"/>
              </w:rPr>
              <w:t>15,032</w:t>
            </w:r>
          </w:p>
        </w:tc>
        <w:tc>
          <w:tcPr>
            <w:tcW w:w="120" w:type="dxa"/>
            <w:vAlign w:val="bottom"/>
          </w:tcPr>
          <w:p>
            <w:pPr>
              <w:spacing w:after="0"/>
              <w:rPr>
                <w:sz w:val="16"/>
                <w:szCs w:val="16"/>
                <w:color w:val="auto"/>
              </w:rPr>
            </w:pPr>
          </w:p>
        </w:tc>
        <w:tc>
          <w:tcPr>
            <w:tcW w:w="920" w:type="dxa"/>
            <w:vAlign w:val="bottom"/>
            <w:tcBorders>
              <w:bottom w:val="single" w:sz="8" w:color="939598"/>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E6E7E8"/>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E5E5E5"/>
            </w:tcBorders>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Pr>
          <w:p>
            <w:pPr>
              <w:spacing w:after="0"/>
              <w:rPr>
                <w:sz w:val="17"/>
                <w:szCs w:val="17"/>
                <w:color w:val="auto"/>
              </w:rPr>
            </w:pPr>
          </w:p>
        </w:tc>
        <w:tc>
          <w:tcPr>
            <w:tcW w:w="94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939598"/>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Pr>
          <w:p>
            <w:pPr>
              <w:spacing w:after="0"/>
              <w:rPr>
                <w:sz w:val="17"/>
                <w:szCs w:val="17"/>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r>
        <w:trPr>
          <w:trHeight w:val="197"/>
        </w:trPr>
        <w:tc>
          <w:tcPr>
            <w:tcW w:w="1900" w:type="dxa"/>
            <w:vAlign w:val="bottom"/>
            <w:tcBorders>
              <w:bottom w:val="single" w:sz="8" w:color="E5E5E5"/>
            </w:tcBorders>
            <w:shd w:val="clear" w:color="auto" w:fill="E6E7E8"/>
          </w:tcPr>
          <w:p>
            <w:pPr>
              <w:ind w:left="20"/>
              <w:spacing w:after="0"/>
              <w:rPr>
                <w:sz w:val="20"/>
                <w:szCs w:val="20"/>
                <w:color w:val="auto"/>
              </w:rPr>
            </w:pPr>
            <w:r>
              <w:rPr>
                <w:rFonts w:ascii="Arial" w:cs="Arial" w:eastAsia="Arial" w:hAnsi="Arial"/>
                <w:sz w:val="15"/>
                <w:szCs w:val="15"/>
                <w:b w:val="1"/>
                <w:bCs w:val="1"/>
                <w:color w:val="004A98"/>
              </w:rPr>
              <w:t>Thomas C. Indelicarto</w:t>
            </w: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jc w:val="right"/>
              <w:ind w:right="9"/>
              <w:spacing w:after="0"/>
              <w:rPr>
                <w:sz w:val="20"/>
                <w:szCs w:val="20"/>
                <w:color w:val="auto"/>
              </w:rPr>
            </w:pPr>
            <w:r>
              <w:rPr>
                <w:rFonts w:ascii="Arial" w:cs="Arial" w:eastAsia="Arial" w:hAnsi="Arial"/>
                <w:sz w:val="15"/>
                <w:szCs w:val="15"/>
                <w:color w:val="auto"/>
              </w:rPr>
              <w:t>971,250</w:t>
            </w: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0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6"/>
                <w:szCs w:val="16"/>
                <w:color w:val="auto"/>
              </w:rPr>
            </w:pPr>
          </w:p>
        </w:tc>
        <w:tc>
          <w:tcPr>
            <w:tcW w:w="94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880" w:type="dxa"/>
            <w:vAlign w:val="bottom"/>
            <w:tcBorders>
              <w:bottom w:val="single" w:sz="8" w:color="939598"/>
            </w:tcBorders>
            <w:shd w:val="clear" w:color="auto" w:fill="E5E5E5"/>
          </w:tcPr>
          <w:p>
            <w:pPr>
              <w:spacing w:after="0"/>
              <w:rPr>
                <w:sz w:val="16"/>
                <w:szCs w:val="16"/>
                <w:color w:val="auto"/>
              </w:rPr>
            </w:pPr>
          </w:p>
        </w:tc>
        <w:tc>
          <w:tcPr>
            <w:tcW w:w="100" w:type="dxa"/>
            <w:vAlign w:val="bottom"/>
            <w:tcBorders>
              <w:right w:val="single" w:sz="8" w:color="E5E5E5"/>
            </w:tcBorders>
          </w:tcPr>
          <w:p>
            <w:pPr>
              <w:spacing w:after="0"/>
              <w:rPr>
                <w:sz w:val="16"/>
                <w:szCs w:val="16"/>
                <w:color w:val="auto"/>
              </w:rPr>
            </w:pPr>
          </w:p>
        </w:tc>
        <w:tc>
          <w:tcPr>
            <w:tcW w:w="96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3,758</w:t>
            </w:r>
          </w:p>
        </w:tc>
        <w:tc>
          <w:tcPr>
            <w:tcW w:w="100" w:type="dxa"/>
            <w:vAlign w:val="bottom"/>
            <w:tcBorders>
              <w:right w:val="single" w:sz="8" w:color="E5E5E5"/>
            </w:tcBorders>
          </w:tcPr>
          <w:p>
            <w:pPr>
              <w:spacing w:after="0"/>
              <w:rPr>
                <w:sz w:val="16"/>
                <w:szCs w:val="16"/>
                <w:color w:val="auto"/>
              </w:rPr>
            </w:pPr>
          </w:p>
        </w:tc>
        <w:tc>
          <w:tcPr>
            <w:tcW w:w="7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Borders>
              <w:right w:val="single" w:sz="8" w:color="E5E5E5"/>
            </w:tcBorders>
          </w:tcPr>
          <w:p>
            <w:pPr>
              <w:spacing w:after="0"/>
              <w:rPr>
                <w:sz w:val="16"/>
                <w:szCs w:val="16"/>
                <w:color w:val="auto"/>
              </w:rPr>
            </w:pPr>
          </w:p>
        </w:tc>
        <w:tc>
          <w:tcPr>
            <w:tcW w:w="200" w:type="dxa"/>
            <w:vAlign w:val="bottom"/>
            <w:tcBorders>
              <w:bottom w:val="single" w:sz="8" w:color="939598"/>
            </w:tcBorders>
            <w:shd w:val="clear" w:color="auto" w:fill="E5E5E5"/>
          </w:tcPr>
          <w:p>
            <w:pPr>
              <w:spacing w:after="0"/>
              <w:rPr>
                <w:sz w:val="16"/>
                <w:szCs w:val="16"/>
                <w:color w:val="auto"/>
              </w:rPr>
            </w:pPr>
          </w:p>
        </w:tc>
        <w:tc>
          <w:tcPr>
            <w:tcW w:w="620" w:type="dxa"/>
            <w:vAlign w:val="bottom"/>
            <w:tcBorders>
              <w:bottom w:val="single" w:sz="8" w:color="939598"/>
            </w:tcBorders>
            <w:shd w:val="clear" w:color="auto" w:fill="E5E5E5"/>
          </w:tcPr>
          <w:p>
            <w:pPr>
              <w:jc w:val="center"/>
              <w:spacing w:after="0"/>
              <w:rPr>
                <w:sz w:val="20"/>
                <w:szCs w:val="20"/>
                <w:color w:val="auto"/>
              </w:rPr>
            </w:pPr>
            <w:r>
              <w:rPr>
                <w:rFonts w:ascii="Arial" w:cs="Arial" w:eastAsia="Arial" w:hAnsi="Arial"/>
                <w:sz w:val="15"/>
                <w:szCs w:val="15"/>
                <w:color w:val="auto"/>
              </w:rPr>
              <w:t>15,032</w:t>
            </w: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spacing w:after="0"/>
              <w:rPr>
                <w:sz w:val="16"/>
                <w:szCs w:val="16"/>
                <w:color w:val="auto"/>
              </w:rPr>
            </w:pPr>
          </w:p>
        </w:tc>
        <w:tc>
          <w:tcPr>
            <w:tcW w:w="120" w:type="dxa"/>
            <w:vAlign w:val="bottom"/>
            <w:tcBorders>
              <w:right w:val="single" w:sz="8" w:color="E5E5E5"/>
            </w:tcBorders>
          </w:tcPr>
          <w:p>
            <w:pPr>
              <w:spacing w:after="0"/>
              <w:rPr>
                <w:sz w:val="16"/>
                <w:szCs w:val="16"/>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r>
        <w:trPr>
          <w:trHeight w:val="197"/>
        </w:trPr>
        <w:tc>
          <w:tcPr>
            <w:tcW w:w="190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10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2/13/2023</w:t>
            </w:r>
          </w:p>
        </w:tc>
        <w:tc>
          <w:tcPr>
            <w:tcW w:w="120" w:type="dxa"/>
            <w:vAlign w:val="bottom"/>
            <w:tcBorders>
              <w:right w:val="single" w:sz="8" w:color="E5E5E5"/>
            </w:tcBorders>
          </w:tcPr>
          <w:p>
            <w:pPr>
              <w:spacing w:after="0"/>
              <w:rPr>
                <w:sz w:val="17"/>
                <w:szCs w:val="17"/>
                <w:color w:val="auto"/>
              </w:rPr>
            </w:pPr>
          </w:p>
        </w:tc>
        <w:tc>
          <w:tcPr>
            <w:tcW w:w="94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8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96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80" w:type="dxa"/>
            <w:vAlign w:val="bottom"/>
            <w:tcBorders>
              <w:bottom w:val="single" w:sz="8" w:color="939598"/>
            </w:tcBorders>
            <w:shd w:val="clear" w:color="auto" w:fill="E5E5E5"/>
          </w:tcPr>
          <w:p>
            <w:pPr>
              <w:spacing w:after="0"/>
              <w:rPr>
                <w:sz w:val="17"/>
                <w:szCs w:val="17"/>
                <w:color w:val="auto"/>
              </w:rPr>
            </w:pPr>
          </w:p>
        </w:tc>
        <w:tc>
          <w:tcPr>
            <w:tcW w:w="100" w:type="dxa"/>
            <w:vAlign w:val="bottom"/>
            <w:tcBorders>
              <w:right w:val="single" w:sz="8" w:color="E5E5E5"/>
            </w:tcBorders>
          </w:tcPr>
          <w:p>
            <w:pPr>
              <w:spacing w:after="0"/>
              <w:rPr>
                <w:sz w:val="17"/>
                <w:szCs w:val="17"/>
                <w:color w:val="auto"/>
              </w:rPr>
            </w:pPr>
          </w:p>
        </w:tc>
        <w:tc>
          <w:tcPr>
            <w:tcW w:w="78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200" w:type="dxa"/>
            <w:vAlign w:val="bottom"/>
            <w:tcBorders>
              <w:bottom w:val="single" w:sz="8" w:color="939598"/>
            </w:tcBorders>
            <w:shd w:val="clear" w:color="auto" w:fill="E5E5E5"/>
          </w:tcPr>
          <w:p>
            <w:pPr>
              <w:spacing w:after="0"/>
              <w:rPr>
                <w:sz w:val="17"/>
                <w:szCs w:val="17"/>
                <w:color w:val="auto"/>
              </w:rPr>
            </w:pPr>
          </w:p>
        </w:tc>
        <w:tc>
          <w:tcPr>
            <w:tcW w:w="620" w:type="dxa"/>
            <w:vAlign w:val="bottom"/>
            <w:tcBorders>
              <w:bottom w:val="single" w:sz="8" w:color="939598"/>
            </w:tcBorders>
            <w:shd w:val="clear" w:color="auto" w:fill="E5E5E5"/>
          </w:tcPr>
          <w:p>
            <w:pPr>
              <w:spacing w:after="0"/>
              <w:rPr>
                <w:sz w:val="17"/>
                <w:szCs w:val="17"/>
                <w:color w:val="auto"/>
              </w:rPr>
            </w:pP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7,516</w:t>
            </w:r>
          </w:p>
        </w:tc>
        <w:tc>
          <w:tcPr>
            <w:tcW w:w="120" w:type="dxa"/>
            <w:vAlign w:val="bottom"/>
            <w:tcBorders>
              <w:right w:val="single" w:sz="8" w:color="E5E5E5"/>
            </w:tcBorders>
          </w:tcPr>
          <w:p>
            <w:pPr>
              <w:spacing w:after="0"/>
              <w:rPr>
                <w:sz w:val="17"/>
                <w:szCs w:val="17"/>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1,599,931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40" w:hanging="252"/>
        <w:spacing w:after="0" w:line="222" w:lineRule="auto"/>
        <w:tabs>
          <w:tab w:leader="none" w:pos="264"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Each of our NEOs received an annual cash bonus under the VPP as described in “Compensation Discussion and Analysis” earlier in this Proxy Statement. The actual amount of the annual cash bonus paid to the NEOs is reflected in the Summary Compensation Table above.</w:t>
      </w:r>
    </w:p>
    <w:p>
      <w:pPr>
        <w:spacing w:after="0" w:line="40" w:lineRule="exact"/>
        <w:rPr>
          <w:rFonts w:ascii="Arial" w:cs="Arial" w:eastAsia="Arial" w:hAnsi="Arial"/>
          <w:sz w:val="19"/>
          <w:szCs w:val="19"/>
          <w:color w:val="auto"/>
          <w:vertAlign w:val="superscript"/>
        </w:rPr>
      </w:pPr>
    </w:p>
    <w:p>
      <w:pPr>
        <w:ind w:left="260" w:right="120" w:hanging="252"/>
        <w:spacing w:after="0" w:line="256" w:lineRule="auto"/>
        <w:tabs>
          <w:tab w:leader="none" w:pos="250" w:val="left"/>
        </w:tabs>
        <w:numPr>
          <w:ilvl w:val="0"/>
          <w:numId w:val="33"/>
        </w:numPr>
        <w:rPr>
          <w:rFonts w:ascii="Arial" w:cs="Arial" w:eastAsia="Arial" w:hAnsi="Arial"/>
          <w:sz w:val="9"/>
          <w:szCs w:val="9"/>
          <w:color w:val="auto"/>
        </w:rPr>
      </w:pPr>
      <w:r>
        <w:rPr>
          <w:rFonts w:ascii="Arial" w:cs="Arial" w:eastAsia="Arial" w:hAnsi="Arial"/>
          <w:sz w:val="14"/>
          <w:szCs w:val="14"/>
          <w:color w:val="auto"/>
        </w:rPr>
        <w:t>Each of our NEOs was awarded PSUs on February 13, 2023, to be earned based on Company performance and subject to a relative TSR achievement threshold in 2025 and determination to be made after the end of 2025. The maximum value set forth in the third column of “Estimated Future Payouts Under Equity Incentive Plan Awards” is described in footnote (2) of the Summary Compensation Table, and the target value set forth in the second column of “Estimated Future Payouts Under Equity Incentive Plan Awards” was included in the “Stock Awards” column of the Summary Compensation Table.</w:t>
      </w:r>
    </w:p>
    <w:p>
      <w:pPr>
        <w:spacing w:after="0" w:line="27" w:lineRule="exact"/>
        <w:rPr>
          <w:rFonts w:ascii="Arial" w:cs="Arial" w:eastAsia="Arial" w:hAnsi="Arial"/>
          <w:sz w:val="9"/>
          <w:szCs w:val="9"/>
          <w:color w:val="auto"/>
        </w:rPr>
      </w:pPr>
    </w:p>
    <w:p>
      <w:pPr>
        <w:ind w:left="280" w:hanging="272"/>
        <w:spacing w:after="0"/>
        <w:tabs>
          <w:tab w:leader="none" w:pos="28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The RSU awards vested 25% of the total award on February 15, 2024, and the remainder vests 6.25% of the total award each quarter thereafter, until fully vested.</w:t>
      </w:r>
    </w:p>
    <w:p>
      <w:pPr>
        <w:spacing w:after="0" w:line="57" w:lineRule="exact"/>
        <w:rPr>
          <w:rFonts w:ascii="Arial" w:cs="Arial" w:eastAsia="Arial" w:hAnsi="Arial"/>
          <w:sz w:val="19"/>
          <w:szCs w:val="19"/>
          <w:color w:val="auto"/>
          <w:vertAlign w:val="superscript"/>
        </w:rPr>
      </w:pPr>
    </w:p>
    <w:p>
      <w:pPr>
        <w:ind w:left="260" w:hanging="252"/>
        <w:spacing w:after="0" w:line="244" w:lineRule="auto"/>
        <w:tabs>
          <w:tab w:leader="none" w:pos="264"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Under the applicable FASB ASC Topic 718 rules, the total amount reported in this column represents the fair value of the 2023 PSU or RSU award on its “grant date” (i.e., the date the Compensation Committee approved each award), based (i) for a PSU, upon the then-probable outcome of the CAGR of operating income performance condition (i.e., the target value of the award), and (ii) for an RSU award upon the full number of shares subject to the award. See Note 8 to our 2023 financial statements included in our Annual Report on Form 10-K for the year ended December 31, 2023, regarding assumptions underlying the valuation of these awards, and footnote (2) to the Summary Compensation Table for additional information.</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Outstanding Equity Awards at 2023 Year-End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outstanding equity awards held by our NEOs as of the end of 2023 granted under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88"/>
              <w:spacing w:after="0"/>
              <w:rPr>
                <w:sz w:val="20"/>
                <w:szCs w:val="20"/>
                <w:color w:val="auto"/>
              </w:rPr>
            </w:pPr>
            <w:r>
              <w:rPr>
                <w:rFonts w:ascii="Arial" w:cs="Arial" w:eastAsia="Arial" w:hAnsi="Arial"/>
                <w:sz w:val="13"/>
                <w:szCs w:val="13"/>
                <w:b w:val="1"/>
                <w:bCs w:val="1"/>
                <w:color w:val="auto"/>
                <w:w w:val="94"/>
              </w:rPr>
              <w:t>STOCK AWARDS</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w:t>
            </w:r>
          </w:p>
        </w:tc>
        <w:tc>
          <w:tcPr>
            <w:tcW w:w="120" w:type="dxa"/>
            <w:vAlign w:val="bottom"/>
            <w:tcBorders>
              <w:right w:val="single" w:sz="8" w:color="auto"/>
            </w:tcBorders>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EQUITY INCENTIVE</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PLAN AWARDS: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w:t>
            </w: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w:t>
            </w:r>
          </w:p>
        </w:tc>
        <w:tc>
          <w:tcPr>
            <w:tcW w:w="140" w:type="dxa"/>
            <w:vAlign w:val="bottom"/>
            <w:tcBorders>
              <w:right w:val="single" w:sz="8" w:color="auto"/>
            </w:tcBorders>
          </w:tcPr>
          <w:p>
            <w:pPr>
              <w:spacing w:after="0"/>
              <w:rPr>
                <w:sz w:val="11"/>
                <w:szCs w:val="11"/>
                <w:color w:val="auto"/>
              </w:rPr>
            </w:pPr>
          </w:p>
        </w:tc>
        <w:tc>
          <w:tcPr>
            <w:tcW w:w="21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right w:val="single" w:sz="8" w:color="auto"/>
            </w:tcBorders>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OR UNITS</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 OR</w:t>
            </w: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UNEARNED</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PAYOUT VALUE OF</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STOCK</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UNITS OF</w:t>
            </w: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SHARES, UNITS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UNEARNED SHARES,</w:t>
            </w:r>
          </w:p>
        </w:tc>
        <w:tc>
          <w:tcPr>
            <w:tcW w:w="0" w:type="dxa"/>
            <w:vAlign w:val="bottom"/>
          </w:tcPr>
          <w:p>
            <w:pPr>
              <w:spacing w:after="0"/>
              <w:rPr>
                <w:sz w:val="1"/>
                <w:szCs w:val="1"/>
                <w:color w:val="auto"/>
              </w:rPr>
            </w:pPr>
          </w:p>
        </w:tc>
      </w:tr>
      <w:tr>
        <w:trPr>
          <w:trHeight w:val="122"/>
        </w:trPr>
        <w:tc>
          <w:tcPr>
            <w:tcW w:w="27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NAMED</w:t>
            </w: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THAT</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STOCK THAT</w:t>
            </w: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OR OTHER RIGHTS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UNITS OR OTHER</w:t>
            </w:r>
          </w:p>
        </w:tc>
        <w:tc>
          <w:tcPr>
            <w:tcW w:w="0" w:type="dxa"/>
            <w:vAlign w:val="bottom"/>
          </w:tcPr>
          <w:p>
            <w:pPr>
              <w:spacing w:after="0"/>
              <w:rPr>
                <w:sz w:val="1"/>
                <w:szCs w:val="1"/>
                <w:color w:val="auto"/>
              </w:rPr>
            </w:pPr>
          </w:p>
        </w:tc>
      </w:tr>
      <w:tr>
        <w:trPr>
          <w:trHeight w:val="135"/>
        </w:trPr>
        <w:tc>
          <w:tcPr>
            <w:tcW w:w="27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GRANT</w:t>
            </w: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140" w:type="dxa"/>
            <w:vAlign w:val="bottom"/>
            <w:tcBorders>
              <w:right w:val="single" w:sz="8" w:color="auto"/>
            </w:tcBorders>
          </w:tcPr>
          <w:p>
            <w:pPr>
              <w:spacing w:after="0"/>
              <w:rPr>
                <w:sz w:val="11"/>
                <w:szCs w:val="11"/>
                <w:color w:val="auto"/>
              </w:rPr>
            </w:pPr>
          </w:p>
        </w:tc>
        <w:tc>
          <w:tcPr>
            <w:tcW w:w="21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THAT HAVE NOT</w:t>
            </w:r>
          </w:p>
        </w:tc>
        <w:tc>
          <w:tcPr>
            <w:tcW w:w="120" w:type="dxa"/>
            <w:vAlign w:val="bottom"/>
            <w:tcBorders>
              <w:right w:val="single" w:sz="8" w:color="auto"/>
            </w:tcBorders>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RIGHTS THAT HAVE</w:t>
            </w:r>
          </w:p>
        </w:tc>
        <w:tc>
          <w:tcPr>
            <w:tcW w:w="0" w:type="dxa"/>
            <w:vAlign w:val="bottom"/>
          </w:tcPr>
          <w:p>
            <w:pPr>
              <w:spacing w:after="0"/>
              <w:rPr>
                <w:sz w:val="1"/>
                <w:szCs w:val="1"/>
                <w:color w:val="auto"/>
              </w:rPr>
            </w:pPr>
          </w:p>
        </w:tc>
      </w:tr>
      <w:tr>
        <w:trPr>
          <w:trHeight w:val="122"/>
        </w:trPr>
        <w:tc>
          <w:tcPr>
            <w:tcW w:w="2700" w:type="dxa"/>
            <w:vAlign w:val="bottom"/>
          </w:tcPr>
          <w:p>
            <w:pPr>
              <w:ind w:left="60"/>
              <w:spacing w:after="0" w:line="122" w:lineRule="exact"/>
              <w:rPr>
                <w:sz w:val="20"/>
                <w:szCs w:val="20"/>
                <w:color w:val="auto"/>
              </w:rPr>
            </w:pPr>
            <w:r>
              <w:rPr>
                <w:rFonts w:ascii="Arial" w:cs="Arial" w:eastAsia="Arial" w:hAnsi="Arial"/>
                <w:sz w:val="13"/>
                <w:szCs w:val="13"/>
                <w:b w:val="1"/>
                <w:bCs w:val="1"/>
                <w:color w:val="auto"/>
              </w:rPr>
              <w:t>EXECUTIVE</w:t>
            </w:r>
          </w:p>
        </w:tc>
        <w:tc>
          <w:tcPr>
            <w:tcW w:w="1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gridSpan w:val="2"/>
            <w:vMerge w:val="continue"/>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40" w:type="dxa"/>
            <w:vAlign w:val="bottom"/>
            <w:tcBorders>
              <w:right w:val="single" w:sz="8" w:color="auto"/>
            </w:tcBorders>
          </w:tcPr>
          <w:p>
            <w:pPr>
              <w:spacing w:after="0"/>
              <w:rPr>
                <w:sz w:val="10"/>
                <w:szCs w:val="10"/>
                <w:color w:val="auto"/>
              </w:rPr>
            </w:pPr>
          </w:p>
        </w:tc>
        <w:tc>
          <w:tcPr>
            <w:tcW w:w="21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89"/>
        </w:trPr>
        <w:tc>
          <w:tcPr>
            <w:tcW w:w="2700" w:type="dxa"/>
            <w:vAlign w:val="bottom"/>
          </w:tcPr>
          <w:p>
            <w:pPr>
              <w:ind w:left="60"/>
              <w:spacing w:after="0"/>
              <w:rPr>
                <w:sz w:val="20"/>
                <w:szCs w:val="20"/>
                <w:color w:val="auto"/>
              </w:rPr>
            </w:pPr>
            <w:r>
              <w:rPr>
                <w:rFonts w:ascii="Arial" w:cs="Arial" w:eastAsia="Arial" w:hAnsi="Arial"/>
                <w:sz w:val="13"/>
                <w:szCs w:val="13"/>
                <w:b w:val="1"/>
                <w:bCs w:val="1"/>
                <w:color w:val="auto"/>
              </w:rPr>
              <w:t>OFFICER</w:t>
            </w:r>
          </w:p>
        </w:tc>
        <w:tc>
          <w:tcPr>
            <w:tcW w:w="1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DATE</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4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5E5E5"/>
            </w:tcBorders>
          </w:tcPr>
          <w:p>
            <w:pPr>
              <w:spacing w:after="0"/>
              <w:rPr>
                <w:sz w:val="18"/>
                <w:szCs w:val="18"/>
                <w:color w:val="auto"/>
              </w:rPr>
            </w:pPr>
          </w:p>
        </w:tc>
        <w:tc>
          <w:tcPr>
            <w:tcW w:w="1420" w:type="dxa"/>
            <w:vAlign w:val="bottom"/>
            <w:tcBorders>
              <w:top w:val="single" w:sz="8" w:color="auto"/>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2/10/2020</w:t>
            </w:r>
          </w:p>
        </w:tc>
        <w:tc>
          <w:tcPr>
            <w:tcW w:w="120" w:type="dxa"/>
            <w:vAlign w:val="bottom"/>
            <w:tcBorders>
              <w:right w:val="single" w:sz="8" w:color="E5E5E5"/>
            </w:tcBorders>
          </w:tcPr>
          <w:p>
            <w:pPr>
              <w:spacing w:after="0"/>
              <w:rPr>
                <w:sz w:val="18"/>
                <w:szCs w:val="18"/>
                <w:color w:val="auto"/>
              </w:rPr>
            </w:pPr>
          </w:p>
        </w:tc>
        <w:tc>
          <w:tcPr>
            <w:tcW w:w="1320" w:type="dxa"/>
            <w:vAlign w:val="bottom"/>
            <w:tcBorders>
              <w:top w:val="single" w:sz="8" w:color="auto"/>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941</w:t>
            </w:r>
          </w:p>
        </w:tc>
        <w:tc>
          <w:tcPr>
            <w:tcW w:w="120" w:type="dxa"/>
            <w:vAlign w:val="bottom"/>
            <w:tcBorders>
              <w:right w:val="single" w:sz="8" w:color="E5E5E5"/>
            </w:tcBorders>
          </w:tcPr>
          <w:p>
            <w:pPr>
              <w:spacing w:after="0"/>
              <w:rPr>
                <w:sz w:val="18"/>
                <w:szCs w:val="18"/>
                <w:color w:val="auto"/>
              </w:rPr>
            </w:pPr>
          </w:p>
        </w:tc>
        <w:tc>
          <w:tcPr>
            <w:tcW w:w="1320" w:type="dxa"/>
            <w:vAlign w:val="bottom"/>
            <w:tcBorders>
              <w:top w:val="single" w:sz="8" w:color="auto"/>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193,808</w:t>
            </w:r>
          </w:p>
        </w:tc>
        <w:tc>
          <w:tcPr>
            <w:tcW w:w="140" w:type="dxa"/>
            <w:vAlign w:val="bottom"/>
            <w:tcBorders>
              <w:right w:val="single" w:sz="8" w:color="E5E5E5"/>
            </w:tcBorders>
          </w:tcPr>
          <w:p>
            <w:pPr>
              <w:spacing w:after="0"/>
              <w:rPr>
                <w:sz w:val="18"/>
                <w:szCs w:val="18"/>
                <w:color w:val="auto"/>
              </w:rPr>
            </w:pPr>
          </w:p>
        </w:tc>
        <w:tc>
          <w:tcPr>
            <w:tcW w:w="1800" w:type="dxa"/>
            <w:vAlign w:val="bottom"/>
            <w:tcBorders>
              <w:top w:val="single" w:sz="8" w:color="auto"/>
              <w:bottom w:val="single" w:sz="8" w:color="939598"/>
            </w:tcBorders>
            <w:shd w:val="clear" w:color="auto" w:fill="E5E5E5"/>
          </w:tcPr>
          <w:p>
            <w:pPr>
              <w:spacing w:after="0"/>
              <w:rPr>
                <w:sz w:val="18"/>
                <w:szCs w:val="18"/>
                <w:color w:val="auto"/>
              </w:rPr>
            </w:pPr>
          </w:p>
        </w:tc>
        <w:tc>
          <w:tcPr>
            <w:tcW w:w="300" w:type="dxa"/>
            <w:vAlign w:val="bottom"/>
            <w:tcBorders>
              <w:top w:val="single" w:sz="8" w:color="auto"/>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top w:val="single" w:sz="8" w:color="auto"/>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4,886</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1,006,321</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16,661</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(3)</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3,431,500</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9,480</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1,952,501</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25,285</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(4)</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5,207,699</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18,790</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3,869,988</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28,186</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(5)</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5,805,189</w:t>
            </w:r>
          </w:p>
        </w:tc>
        <w:tc>
          <w:tcPr>
            <w:tcW w:w="0" w:type="dxa"/>
            <w:vAlign w:val="bottom"/>
          </w:tcPr>
          <w:p>
            <w:pPr>
              <w:spacing w:after="0"/>
              <w:rPr>
                <w:sz w:val="1"/>
                <w:szCs w:val="1"/>
                <w:color w:val="auto"/>
              </w:rPr>
            </w:pPr>
          </w:p>
        </w:tc>
      </w:tr>
      <w:tr>
        <w:trPr>
          <w:trHeight w:val="211"/>
        </w:trPr>
        <w:tc>
          <w:tcPr>
            <w:tcW w:w="2700" w:type="dxa"/>
            <w:vAlign w:val="bottom"/>
          </w:tcPr>
          <w:p>
            <w:pPr>
              <w:ind w:left="6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2/10/2020</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ind w:right="4"/>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86,297</w:t>
            </w:r>
          </w:p>
        </w:tc>
        <w:tc>
          <w:tcPr>
            <w:tcW w:w="140" w:type="dxa"/>
            <w:vAlign w:val="bottom"/>
          </w:tcPr>
          <w:p>
            <w:pPr>
              <w:spacing w:after="0"/>
              <w:rPr>
                <w:sz w:val="18"/>
                <w:szCs w:val="18"/>
                <w:color w:val="auto"/>
              </w:rPr>
            </w:pPr>
          </w:p>
        </w:tc>
        <w:tc>
          <w:tcPr>
            <w:tcW w:w="180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2/11/2020</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ind w:right="4"/>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7,415</w:t>
            </w:r>
          </w:p>
        </w:tc>
        <w:tc>
          <w:tcPr>
            <w:tcW w:w="140" w:type="dxa"/>
            <w:vAlign w:val="bottom"/>
          </w:tcPr>
          <w:p>
            <w:pPr>
              <w:spacing w:after="0"/>
              <w:rPr>
                <w:sz w:val="18"/>
                <w:szCs w:val="18"/>
                <w:color w:val="auto"/>
              </w:rPr>
            </w:pPr>
          </w:p>
        </w:tc>
        <w:tc>
          <w:tcPr>
            <w:tcW w:w="180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5,374</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(3)</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1,106,829</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487,095</w:t>
            </w:r>
          </w:p>
        </w:tc>
        <w:tc>
          <w:tcPr>
            <w:tcW w:w="140" w:type="dxa"/>
            <w:vAlign w:val="bottom"/>
          </w:tcPr>
          <w:p>
            <w:pPr>
              <w:spacing w:after="0"/>
              <w:rPr>
                <w:sz w:val="18"/>
                <w:szCs w:val="18"/>
                <w:color w:val="auto"/>
              </w:rPr>
            </w:pPr>
          </w:p>
        </w:tc>
        <w:tc>
          <w:tcPr>
            <w:tcW w:w="1800" w:type="dxa"/>
            <w:vAlign w:val="bottom"/>
            <w:tcBorders>
              <w:top w:val="single" w:sz="8" w:color="939598"/>
              <w:bottom w:val="single" w:sz="8" w:color="939598"/>
            </w:tcBorders>
          </w:tcPr>
          <w:p>
            <w:pPr>
              <w:spacing w:after="0"/>
              <w:rPr>
                <w:sz w:val="18"/>
                <w:szCs w:val="18"/>
                <w:color w:val="auto"/>
              </w:rPr>
            </w:pPr>
          </w:p>
        </w:tc>
        <w:tc>
          <w:tcPr>
            <w:tcW w:w="30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8,194</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(4)</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1,687,636</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949,064</w:t>
            </w:r>
          </w:p>
        </w:tc>
        <w:tc>
          <w:tcPr>
            <w:tcW w:w="140" w:type="dxa"/>
            <w:vAlign w:val="bottom"/>
          </w:tcPr>
          <w:p>
            <w:pPr>
              <w:spacing w:after="0"/>
              <w:rPr>
                <w:sz w:val="18"/>
                <w:szCs w:val="18"/>
                <w:color w:val="auto"/>
              </w:rPr>
            </w:pPr>
          </w:p>
        </w:tc>
        <w:tc>
          <w:tcPr>
            <w:tcW w:w="1800" w:type="dxa"/>
            <w:vAlign w:val="bottom"/>
            <w:tcBorders>
              <w:top w:val="single" w:sz="8" w:color="939598"/>
              <w:bottom w:val="single" w:sz="8" w:color="939598"/>
            </w:tcBorders>
          </w:tcPr>
          <w:p>
            <w:pPr>
              <w:spacing w:after="0"/>
              <w:rPr>
                <w:sz w:val="18"/>
                <w:szCs w:val="18"/>
                <w:color w:val="auto"/>
              </w:rPr>
            </w:pPr>
          </w:p>
        </w:tc>
        <w:tc>
          <w:tcPr>
            <w:tcW w:w="30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Borders>
              <w:bottom w:val="single" w:sz="8" w:color="939598"/>
            </w:tcBorders>
          </w:tcPr>
          <w:p>
            <w:pPr>
              <w:jc w:val="right"/>
              <w:ind w:right="8"/>
              <w:spacing w:after="0"/>
              <w:rPr>
                <w:sz w:val="20"/>
                <w:szCs w:val="20"/>
                <w:color w:val="auto"/>
              </w:rPr>
            </w:pPr>
            <w:r>
              <w:rPr>
                <w:rFonts w:ascii="Arial" w:cs="Arial" w:eastAsia="Arial" w:hAnsi="Arial"/>
                <w:sz w:val="16"/>
                <w:szCs w:val="16"/>
                <w:color w:val="auto"/>
              </w:rPr>
              <w:t>8,220</w:t>
            </w:r>
          </w:p>
        </w:tc>
        <w:tc>
          <w:tcPr>
            <w:tcW w:w="300" w:type="dxa"/>
            <w:vAlign w:val="bottom"/>
            <w:tcBorders>
              <w:bottom w:val="single" w:sz="8" w:color="939598"/>
            </w:tcBorders>
          </w:tcPr>
          <w:p>
            <w:pPr>
              <w:jc w:val="right"/>
              <w:ind w:right="107"/>
              <w:spacing w:after="0"/>
              <w:rPr>
                <w:sz w:val="20"/>
                <w:szCs w:val="20"/>
                <w:color w:val="auto"/>
              </w:rPr>
            </w:pPr>
            <w:r>
              <w:rPr>
                <w:rFonts w:ascii="Arial" w:cs="Arial" w:eastAsia="Arial" w:hAnsi="Arial"/>
                <w:sz w:val="11"/>
                <w:szCs w:val="11"/>
                <w:color w:val="auto"/>
                <w:w w:val="88"/>
              </w:rPr>
              <w:t>(5)</w:t>
            </w:r>
          </w:p>
        </w:tc>
        <w:tc>
          <w:tcPr>
            <w:tcW w:w="120" w:type="dxa"/>
            <w:vAlign w:val="bottom"/>
          </w:tcPr>
          <w:p>
            <w:pPr>
              <w:spacing w:after="0"/>
              <w:rPr>
                <w:sz w:val="18"/>
                <w:szCs w:val="18"/>
                <w:color w:val="auto"/>
              </w:rPr>
            </w:pPr>
          </w:p>
        </w:tc>
        <w:tc>
          <w:tcPr>
            <w:tcW w:w="1760" w:type="dxa"/>
            <w:vAlign w:val="bottom"/>
            <w:tcBorders>
              <w:bottom w:val="single" w:sz="8" w:color="939598"/>
            </w:tcBorders>
          </w:tcPr>
          <w:p>
            <w:pPr>
              <w:jc w:val="right"/>
              <w:ind w:right="8"/>
              <w:spacing w:after="0"/>
              <w:rPr>
                <w:sz w:val="20"/>
                <w:szCs w:val="20"/>
                <w:color w:val="auto"/>
              </w:rPr>
            </w:pPr>
            <w:r>
              <w:rPr>
                <w:rFonts w:ascii="Arial" w:cs="Arial" w:eastAsia="Arial" w:hAnsi="Arial"/>
                <w:sz w:val="16"/>
                <w:szCs w:val="16"/>
                <w:color w:val="auto"/>
              </w:rPr>
              <w:t>1,692,991</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ind w:right="4"/>
              <w:spacing w:after="0"/>
              <w:rPr>
                <w:sz w:val="20"/>
                <w:szCs w:val="20"/>
                <w:color w:val="auto"/>
              </w:rPr>
            </w:pPr>
            <w:r>
              <w:rPr>
                <w:rFonts w:ascii="Arial" w:cs="Arial" w:eastAsia="Arial" w:hAnsi="Arial"/>
                <w:sz w:val="16"/>
                <w:szCs w:val="16"/>
                <w:color w:val="auto"/>
              </w:rPr>
              <w:t>8,220</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1,692,991</w:t>
            </w:r>
          </w:p>
        </w:tc>
        <w:tc>
          <w:tcPr>
            <w:tcW w:w="140" w:type="dxa"/>
            <w:vAlign w:val="bottom"/>
          </w:tcPr>
          <w:p>
            <w:pPr>
              <w:spacing w:after="0"/>
              <w:rPr>
                <w:sz w:val="18"/>
                <w:szCs w:val="18"/>
                <w:color w:val="auto"/>
              </w:rPr>
            </w:pPr>
          </w:p>
        </w:tc>
        <w:tc>
          <w:tcPr>
            <w:tcW w:w="180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2/10/2020</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358</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73,734</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1,890</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389,264</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4,299</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(3)</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885,422</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3,686</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759,169</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6,555</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(4)</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1,350,068</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7,516</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1,547,995</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7,516</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(5)</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1,547,995</w:t>
            </w:r>
          </w:p>
        </w:tc>
        <w:tc>
          <w:tcPr>
            <w:tcW w:w="0" w:type="dxa"/>
            <w:vAlign w:val="bottom"/>
          </w:tcPr>
          <w:p>
            <w:pPr>
              <w:spacing w:after="0"/>
              <w:rPr>
                <w:sz w:val="1"/>
                <w:szCs w:val="1"/>
                <w:color w:val="auto"/>
              </w:rPr>
            </w:pPr>
          </w:p>
        </w:tc>
      </w:tr>
      <w:tr>
        <w:trPr>
          <w:trHeight w:val="210"/>
        </w:trPr>
        <w:tc>
          <w:tcPr>
            <w:tcW w:w="2700" w:type="dxa"/>
            <w:vAlign w:val="bottom"/>
          </w:tcPr>
          <w:p>
            <w:pPr>
              <w:ind w:left="6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2/10/2020</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ind w:right="4"/>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40,574</w:t>
            </w:r>
          </w:p>
        </w:tc>
        <w:tc>
          <w:tcPr>
            <w:tcW w:w="140" w:type="dxa"/>
            <w:vAlign w:val="bottom"/>
          </w:tcPr>
          <w:p>
            <w:pPr>
              <w:spacing w:after="0"/>
              <w:rPr>
                <w:sz w:val="18"/>
                <w:szCs w:val="18"/>
                <w:color w:val="auto"/>
              </w:rPr>
            </w:pPr>
          </w:p>
        </w:tc>
        <w:tc>
          <w:tcPr>
            <w:tcW w:w="180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ind w:right="4"/>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271,867</w:t>
            </w:r>
          </w:p>
        </w:tc>
        <w:tc>
          <w:tcPr>
            <w:tcW w:w="140" w:type="dxa"/>
            <w:vAlign w:val="bottom"/>
          </w:tcPr>
          <w:p>
            <w:pPr>
              <w:spacing w:after="0"/>
              <w:rPr>
                <w:sz w:val="18"/>
                <w:szCs w:val="18"/>
                <w:color w:val="auto"/>
              </w:rPr>
            </w:pPr>
          </w:p>
        </w:tc>
        <w:tc>
          <w:tcPr>
            <w:tcW w:w="1800" w:type="dxa"/>
            <w:vAlign w:val="bottom"/>
            <w:tcBorders>
              <w:bottom w:val="single" w:sz="8" w:color="939598"/>
            </w:tcBorders>
          </w:tcPr>
          <w:p>
            <w:pPr>
              <w:spacing w:after="0"/>
              <w:rPr>
                <w:sz w:val="18"/>
                <w:szCs w:val="18"/>
                <w:color w:val="auto"/>
              </w:rPr>
            </w:pPr>
          </w:p>
        </w:tc>
        <w:tc>
          <w:tcPr>
            <w:tcW w:w="30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3,000</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(3)</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617,880</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3,159</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650,628</w:t>
            </w:r>
          </w:p>
        </w:tc>
        <w:tc>
          <w:tcPr>
            <w:tcW w:w="140" w:type="dxa"/>
            <w:vAlign w:val="bottom"/>
          </w:tcPr>
          <w:p>
            <w:pPr>
              <w:spacing w:after="0"/>
              <w:rPr>
                <w:sz w:val="18"/>
                <w:szCs w:val="18"/>
                <w:color w:val="auto"/>
              </w:rPr>
            </w:pPr>
          </w:p>
        </w:tc>
        <w:tc>
          <w:tcPr>
            <w:tcW w:w="1800" w:type="dxa"/>
            <w:vAlign w:val="bottom"/>
            <w:tcBorders>
              <w:top w:val="single" w:sz="8" w:color="939598"/>
              <w:bottom w:val="single" w:sz="8" w:color="939598"/>
            </w:tcBorders>
          </w:tcPr>
          <w:p>
            <w:pPr>
              <w:spacing w:after="0"/>
              <w:rPr>
                <w:sz w:val="18"/>
                <w:szCs w:val="18"/>
                <w:color w:val="auto"/>
              </w:rPr>
            </w:pPr>
          </w:p>
        </w:tc>
        <w:tc>
          <w:tcPr>
            <w:tcW w:w="30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5,619</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(4)</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1,157,289</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4/25/2022</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121,516</w:t>
            </w:r>
          </w:p>
        </w:tc>
        <w:tc>
          <w:tcPr>
            <w:tcW w:w="140" w:type="dxa"/>
            <w:vAlign w:val="bottom"/>
          </w:tcPr>
          <w:p>
            <w:pPr>
              <w:spacing w:after="0"/>
              <w:rPr>
                <w:sz w:val="18"/>
                <w:szCs w:val="18"/>
                <w:color w:val="auto"/>
              </w:rPr>
            </w:pPr>
          </w:p>
        </w:tc>
        <w:tc>
          <w:tcPr>
            <w:tcW w:w="1800" w:type="dxa"/>
            <w:vAlign w:val="bottom"/>
            <w:tcBorders>
              <w:top w:val="single" w:sz="8" w:color="939598"/>
              <w:bottom w:val="single" w:sz="8" w:color="939598"/>
            </w:tcBorders>
          </w:tcPr>
          <w:p>
            <w:pPr>
              <w:spacing w:after="0"/>
              <w:rPr>
                <w:sz w:val="18"/>
                <w:szCs w:val="18"/>
                <w:color w:val="auto"/>
              </w:rPr>
            </w:pPr>
          </w:p>
        </w:tc>
        <w:tc>
          <w:tcPr>
            <w:tcW w:w="30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4/25/2022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947</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(4)</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195,044</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1,547,995</w:t>
            </w:r>
          </w:p>
        </w:tc>
        <w:tc>
          <w:tcPr>
            <w:tcW w:w="140" w:type="dxa"/>
            <w:vAlign w:val="bottom"/>
          </w:tcPr>
          <w:p>
            <w:pPr>
              <w:spacing w:after="0"/>
              <w:rPr>
                <w:sz w:val="18"/>
                <w:szCs w:val="18"/>
                <w:color w:val="auto"/>
              </w:rPr>
            </w:pPr>
          </w:p>
        </w:tc>
        <w:tc>
          <w:tcPr>
            <w:tcW w:w="1800" w:type="dxa"/>
            <w:vAlign w:val="bottom"/>
            <w:tcBorders>
              <w:top w:val="single" w:sz="8" w:color="939598"/>
              <w:bottom w:val="single" w:sz="8" w:color="939598"/>
            </w:tcBorders>
          </w:tcPr>
          <w:p>
            <w:pPr>
              <w:spacing w:after="0"/>
              <w:rPr>
                <w:sz w:val="18"/>
                <w:szCs w:val="18"/>
                <w:color w:val="auto"/>
              </w:rPr>
            </w:pPr>
          </w:p>
        </w:tc>
        <w:tc>
          <w:tcPr>
            <w:tcW w:w="30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2"/>
          </w:tcPr>
          <w:p>
            <w:pPr>
              <w:jc w:val="right"/>
              <w:ind w:right="8"/>
              <w:spacing w:after="0"/>
              <w:rPr>
                <w:sz w:val="20"/>
                <w:szCs w:val="20"/>
                <w:color w:val="auto"/>
              </w:rPr>
            </w:pPr>
            <w:r>
              <w:rPr>
                <w:rFonts w:ascii="Arial" w:cs="Arial" w:eastAsia="Arial" w:hAnsi="Arial"/>
                <w:sz w:val="16"/>
                <w:szCs w:val="16"/>
                <w:color w:val="auto"/>
              </w:rPr>
              <w:t>7,516</w:t>
            </w:r>
          </w:p>
        </w:tc>
        <w:tc>
          <w:tcPr>
            <w:tcW w:w="300" w:type="dxa"/>
            <w:vAlign w:val="bottom"/>
          </w:tcPr>
          <w:p>
            <w:pPr>
              <w:jc w:val="right"/>
              <w:ind w:right="107"/>
              <w:spacing w:after="0"/>
              <w:rPr>
                <w:sz w:val="20"/>
                <w:szCs w:val="20"/>
                <w:color w:val="auto"/>
              </w:rPr>
            </w:pPr>
            <w:r>
              <w:rPr>
                <w:rFonts w:ascii="Arial" w:cs="Arial" w:eastAsia="Arial" w:hAnsi="Arial"/>
                <w:sz w:val="11"/>
                <w:szCs w:val="11"/>
                <w:color w:val="auto"/>
                <w:w w:val="88"/>
              </w:rPr>
              <w:t>(5)</w:t>
            </w:r>
          </w:p>
        </w:tc>
        <w:tc>
          <w:tcPr>
            <w:tcW w:w="1880" w:type="dxa"/>
            <w:vAlign w:val="bottom"/>
            <w:gridSpan w:val="2"/>
          </w:tcPr>
          <w:p>
            <w:pPr>
              <w:jc w:val="right"/>
              <w:ind w:right="8"/>
              <w:spacing w:after="0"/>
              <w:rPr>
                <w:sz w:val="20"/>
                <w:szCs w:val="20"/>
                <w:color w:val="auto"/>
              </w:rPr>
            </w:pPr>
            <w:r>
              <w:rPr>
                <w:rFonts w:ascii="Arial" w:cs="Arial" w:eastAsia="Arial" w:hAnsi="Arial"/>
                <w:sz w:val="16"/>
                <w:szCs w:val="16"/>
                <w:color w:val="auto"/>
              </w:rPr>
              <w:t>1,547,995</w:t>
            </w:r>
          </w:p>
        </w:tc>
        <w:tc>
          <w:tcPr>
            <w:tcW w:w="0" w:type="dxa"/>
            <w:vAlign w:val="bottom"/>
          </w:tcPr>
          <w:p>
            <w:pPr>
              <w:spacing w:after="0"/>
              <w:rPr>
                <w:sz w:val="1"/>
                <w:szCs w:val="1"/>
                <w:color w:val="auto"/>
              </w:rPr>
            </w:pPr>
          </w:p>
        </w:tc>
      </w:tr>
      <w:tr>
        <w:trPr>
          <w:trHeight w:val="210"/>
        </w:trPr>
        <w:tc>
          <w:tcPr>
            <w:tcW w:w="2700" w:type="dxa"/>
            <w:vAlign w:val="bottom"/>
            <w:tcBorders>
              <w:top w:val="single" w:sz="8" w:color="939598"/>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Borders>
              <w:right w:val="single" w:sz="8" w:color="E5E5E5"/>
            </w:tcBorders>
          </w:tcPr>
          <w:p>
            <w:pPr>
              <w:spacing w:after="0"/>
              <w:rPr>
                <w:sz w:val="18"/>
                <w:szCs w:val="18"/>
                <w:color w:val="auto"/>
              </w:rPr>
            </w:pPr>
          </w:p>
        </w:tc>
        <w:tc>
          <w:tcPr>
            <w:tcW w:w="142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2/10/2020</w:t>
            </w:r>
          </w:p>
        </w:tc>
        <w:tc>
          <w:tcPr>
            <w:tcW w:w="120" w:type="dxa"/>
            <w:vAlign w:val="bottom"/>
            <w:tcBorders>
              <w:right w:val="single" w:sz="8" w:color="E5E5E5"/>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227</w:t>
            </w:r>
          </w:p>
        </w:tc>
        <w:tc>
          <w:tcPr>
            <w:tcW w:w="120" w:type="dxa"/>
            <w:vAlign w:val="bottom"/>
            <w:tcBorders>
              <w:right w:val="single" w:sz="8" w:color="E5E5E5"/>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46,753</w:t>
            </w:r>
          </w:p>
        </w:tc>
        <w:tc>
          <w:tcPr>
            <w:tcW w:w="140" w:type="dxa"/>
            <w:vAlign w:val="bottom"/>
            <w:tcBorders>
              <w:right w:val="single" w:sz="8" w:color="E5E5E5"/>
            </w:tcBorders>
          </w:tcPr>
          <w:p>
            <w:pPr>
              <w:spacing w:after="0"/>
              <w:rPr>
                <w:sz w:val="18"/>
                <w:szCs w:val="18"/>
                <w:color w:val="auto"/>
              </w:rPr>
            </w:pPr>
          </w:p>
        </w:tc>
        <w:tc>
          <w:tcPr>
            <w:tcW w:w="1800" w:type="dxa"/>
            <w:vAlign w:val="bottom"/>
            <w:tcBorders>
              <w:top w:val="single" w:sz="8" w:color="939598"/>
              <w:bottom w:val="single" w:sz="8" w:color="939598"/>
            </w:tcBorders>
            <w:shd w:val="clear" w:color="auto" w:fill="E5E5E5"/>
          </w:tcPr>
          <w:p>
            <w:pPr>
              <w:spacing w:after="0"/>
              <w:rPr>
                <w:sz w:val="18"/>
                <w:szCs w:val="18"/>
                <w:color w:val="auto"/>
              </w:rPr>
            </w:pPr>
          </w:p>
        </w:tc>
        <w:tc>
          <w:tcPr>
            <w:tcW w:w="300" w:type="dxa"/>
            <w:vAlign w:val="bottom"/>
            <w:tcBorders>
              <w:top w:val="single" w:sz="8" w:color="939598"/>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top w:val="single" w:sz="8" w:color="939598"/>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1,418</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292,051</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3,224</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(3)</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664,015</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3,159</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650,628</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5,619</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(4)</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1,157,289</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ind w:right="4"/>
              <w:spacing w:after="0"/>
              <w:rPr>
                <w:sz w:val="20"/>
                <w:szCs w:val="20"/>
                <w:color w:val="auto"/>
              </w:rPr>
            </w:pPr>
            <w:r>
              <w:rPr>
                <w:rFonts w:ascii="Arial" w:cs="Arial" w:eastAsia="Arial" w:hAnsi="Arial"/>
                <w:sz w:val="16"/>
                <w:szCs w:val="16"/>
                <w:color w:val="auto"/>
              </w:rPr>
              <w:t>7,516</w:t>
            </w:r>
          </w:p>
        </w:tc>
        <w:tc>
          <w:tcPr>
            <w:tcW w:w="120" w:type="dxa"/>
            <w:vAlign w:val="bottom"/>
            <w:tcBorders>
              <w:right w:val="single" w:sz="8" w:color="E5E5E5"/>
            </w:tcBorders>
          </w:tcPr>
          <w:p>
            <w:pPr>
              <w:spacing w:after="0"/>
              <w:rPr>
                <w:sz w:val="18"/>
                <w:szCs w:val="18"/>
                <w:color w:val="auto"/>
              </w:rPr>
            </w:pPr>
          </w:p>
        </w:tc>
        <w:tc>
          <w:tcPr>
            <w:tcW w:w="13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1,547,995</w:t>
            </w:r>
          </w:p>
        </w:tc>
        <w:tc>
          <w:tcPr>
            <w:tcW w:w="140" w:type="dxa"/>
            <w:vAlign w:val="bottom"/>
            <w:tcBorders>
              <w:right w:val="single" w:sz="8" w:color="E5E5E5"/>
            </w:tcBorders>
          </w:tcPr>
          <w:p>
            <w:pPr>
              <w:spacing w:after="0"/>
              <w:rPr>
                <w:sz w:val="18"/>
                <w:szCs w:val="18"/>
                <w:color w:val="auto"/>
              </w:rPr>
            </w:pPr>
          </w:p>
        </w:tc>
        <w:tc>
          <w:tcPr>
            <w:tcW w:w="1800" w:type="dxa"/>
            <w:vAlign w:val="bottom"/>
            <w:tcBorders>
              <w:bottom w:val="single" w:sz="8" w:color="939598"/>
            </w:tcBorders>
            <w:shd w:val="clear" w:color="auto" w:fill="E5E5E5"/>
          </w:tcPr>
          <w:p>
            <w:pPr>
              <w:spacing w:after="0"/>
              <w:rPr>
                <w:sz w:val="18"/>
                <w:szCs w:val="18"/>
                <w:color w:val="auto"/>
              </w:rPr>
            </w:pPr>
          </w:p>
        </w:tc>
        <w:tc>
          <w:tcPr>
            <w:tcW w:w="300" w:type="dxa"/>
            <w:vAlign w:val="bottom"/>
            <w:tcBorders>
              <w:bottom w:val="single" w:sz="8" w:color="939598"/>
            </w:tcBorders>
            <w:shd w:val="clear" w:color="auto" w:fill="E5E5E5"/>
          </w:tcPr>
          <w:p>
            <w:pPr>
              <w:spacing w:after="0"/>
              <w:rPr>
                <w:sz w:val="18"/>
                <w:szCs w:val="18"/>
                <w:color w:val="auto"/>
              </w:rPr>
            </w:pPr>
          </w:p>
        </w:tc>
        <w:tc>
          <w:tcPr>
            <w:tcW w:w="120" w:type="dxa"/>
            <w:vAlign w:val="bottom"/>
            <w:tcBorders>
              <w:right w:val="single" w:sz="8" w:color="E5E5E5"/>
            </w:tcBorders>
          </w:tcPr>
          <w:p>
            <w:pPr>
              <w:spacing w:after="0"/>
              <w:rPr>
                <w:sz w:val="18"/>
                <w:szCs w:val="18"/>
                <w:color w:val="auto"/>
              </w:rPr>
            </w:pPr>
          </w:p>
        </w:tc>
        <w:tc>
          <w:tcPr>
            <w:tcW w:w="1760" w:type="dxa"/>
            <w:vAlign w:val="bottom"/>
            <w:tcBorders>
              <w:bottom w:val="single" w:sz="8" w:color="939598"/>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4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20" w:type="dxa"/>
            <w:vAlign w:val="bottom"/>
            <w:tcBorders>
              <w:right w:val="single" w:sz="8" w:color="E5E5E5"/>
            </w:tcBorders>
          </w:tcPr>
          <w:p>
            <w:pPr>
              <w:spacing w:after="0"/>
              <w:rPr>
                <w:sz w:val="20"/>
                <w:szCs w:val="20"/>
                <w:color w:val="auto"/>
              </w:rPr>
            </w:pPr>
          </w:p>
        </w:tc>
        <w:tc>
          <w:tcPr>
            <w:tcW w:w="1320" w:type="dxa"/>
            <w:vAlign w:val="bottom"/>
            <w:tcBorders>
              <w:bottom w:val="single" w:sz="8" w:color="939598"/>
            </w:tcBorders>
            <w:shd w:val="clear" w:color="auto" w:fill="E5E5E5"/>
          </w:tcPr>
          <w:p>
            <w:pPr>
              <w:spacing w:after="0"/>
              <w:rPr>
                <w:sz w:val="20"/>
                <w:szCs w:val="20"/>
                <w:color w:val="auto"/>
              </w:rPr>
            </w:pPr>
          </w:p>
        </w:tc>
        <w:tc>
          <w:tcPr>
            <w:tcW w:w="140" w:type="dxa"/>
            <w:vAlign w:val="bottom"/>
            <w:tcBorders>
              <w:right w:val="single" w:sz="8" w:color="E5E5E5"/>
            </w:tcBorders>
          </w:tcPr>
          <w:p>
            <w:pPr>
              <w:spacing w:after="0"/>
              <w:rPr>
                <w:sz w:val="20"/>
                <w:szCs w:val="20"/>
                <w:color w:val="auto"/>
              </w:rPr>
            </w:pPr>
          </w:p>
        </w:tc>
        <w:tc>
          <w:tcPr>
            <w:tcW w:w="180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7,516</w:t>
            </w:r>
          </w:p>
        </w:tc>
        <w:tc>
          <w:tcPr>
            <w:tcW w:w="300" w:type="dxa"/>
            <w:vAlign w:val="bottom"/>
            <w:tcBorders>
              <w:bottom w:val="single" w:sz="8" w:color="939598"/>
            </w:tcBorders>
            <w:shd w:val="clear" w:color="auto" w:fill="E5E5E5"/>
          </w:tcPr>
          <w:p>
            <w:pPr>
              <w:jc w:val="right"/>
              <w:ind w:right="107"/>
              <w:spacing w:after="0"/>
              <w:rPr>
                <w:sz w:val="20"/>
                <w:szCs w:val="20"/>
                <w:color w:val="auto"/>
              </w:rPr>
            </w:pPr>
            <w:r>
              <w:rPr>
                <w:rFonts w:ascii="Arial" w:cs="Arial" w:eastAsia="Arial" w:hAnsi="Arial"/>
                <w:sz w:val="11"/>
                <w:szCs w:val="11"/>
                <w:color w:val="auto"/>
                <w:w w:val="88"/>
              </w:rPr>
              <w:t>(5)</w:t>
            </w:r>
          </w:p>
        </w:tc>
        <w:tc>
          <w:tcPr>
            <w:tcW w:w="120" w:type="dxa"/>
            <w:vAlign w:val="bottom"/>
            <w:tcBorders>
              <w:right w:val="single" w:sz="8" w:color="E5E5E5"/>
            </w:tcBorders>
          </w:tcPr>
          <w:p>
            <w:pPr>
              <w:spacing w:after="0"/>
              <w:rPr>
                <w:sz w:val="20"/>
                <w:szCs w:val="20"/>
                <w:color w:val="auto"/>
              </w:rPr>
            </w:pPr>
          </w:p>
        </w:tc>
        <w:tc>
          <w:tcPr>
            <w:tcW w:w="1760" w:type="dxa"/>
            <w:vAlign w:val="bottom"/>
            <w:tcBorders>
              <w:bottom w:val="single" w:sz="8" w:color="939598"/>
            </w:tcBorders>
            <w:shd w:val="clear" w:color="auto" w:fill="E5E5E5"/>
          </w:tcPr>
          <w:p>
            <w:pPr>
              <w:jc w:val="right"/>
              <w:ind w:right="8"/>
              <w:spacing w:after="0"/>
              <w:rPr>
                <w:sz w:val="20"/>
                <w:szCs w:val="20"/>
                <w:color w:val="auto"/>
              </w:rPr>
            </w:pPr>
            <w:r>
              <w:rPr>
                <w:rFonts w:ascii="Arial" w:cs="Arial" w:eastAsia="Arial" w:hAnsi="Arial"/>
                <w:sz w:val="16"/>
                <w:szCs w:val="16"/>
                <w:color w:val="auto"/>
              </w:rPr>
              <w:t>1,547,995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706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8"/>
              </w:rPr>
              <w:t xml:space="preserve">2024 </w:t>
            </w:r>
            <w:r>
              <w:rPr>
                <w:rFonts w:ascii="Arial" w:cs="Arial" w:eastAsia="Arial" w:hAnsi="Arial"/>
                <w:sz w:val="14"/>
                <w:szCs w:val="14"/>
                <w:color w:val="auto"/>
                <w:w w:val="98"/>
              </w:rPr>
              <w:t>Proxy</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004A98"/>
              </w:rPr>
              <w:t>35</w:t>
            </w:r>
          </w:p>
        </w:tc>
        <w:tc>
          <w:tcPr>
            <w:tcW w:w="0" w:type="dxa"/>
            <w:vAlign w:val="bottom"/>
          </w:tcPr>
          <w:p>
            <w:pPr>
              <w:spacing w:after="0"/>
              <w:rPr>
                <w:sz w:val="1"/>
                <w:szCs w:val="1"/>
                <w:color w:val="auto"/>
              </w:rPr>
            </w:pPr>
          </w:p>
        </w:tc>
      </w:tr>
      <w:tr>
        <w:trPr>
          <w:trHeight w:val="190"/>
        </w:trPr>
        <w:tc>
          <w:tcPr>
            <w:tcW w:w="740" w:type="dxa"/>
            <w:vAlign w:val="bottom"/>
          </w:tcPr>
          <w:p>
            <w:pPr>
              <w:jc w:val="right"/>
              <w:spacing w:after="0"/>
              <w:rPr>
                <w:sz w:val="20"/>
                <w:szCs w:val="20"/>
                <w:color w:val="auto"/>
              </w:rPr>
            </w:pPr>
            <w:r>
              <w:rPr>
                <w:rFonts w:ascii="Arial" w:cs="Arial" w:eastAsia="Arial" w:hAnsi="Arial"/>
                <w:sz w:val="14"/>
                <w:szCs w:val="14"/>
                <w:color w:val="auto"/>
              </w:rPr>
              <w:t>Statement</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80" w:lineRule="exact"/>
        <w:rPr>
          <w:sz w:val="20"/>
          <w:szCs w:val="20"/>
          <w:color w:val="auto"/>
        </w:rPr>
      </w:pPr>
    </w:p>
    <w:p>
      <w:pPr>
        <w:ind w:left="260" w:right="40" w:hanging="252"/>
        <w:spacing w:after="0" w:line="305" w:lineRule="auto"/>
        <w:tabs>
          <w:tab w:leader="none" w:pos="264"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RSU awards vest 25% of the total award on approximately the first anniversary of the date of grant and then vests 6.25% of the total award each quarter thereafter until fully vested.</w:t>
      </w:r>
    </w:p>
    <w:p>
      <w:pPr>
        <w:spacing w:after="0" w:line="9" w:lineRule="exact"/>
        <w:rPr>
          <w:rFonts w:ascii="Arial" w:cs="Arial" w:eastAsia="Arial" w:hAnsi="Arial"/>
          <w:sz w:val="9"/>
          <w:szCs w:val="9"/>
          <w:color w:val="auto"/>
        </w:rPr>
      </w:pPr>
    </w:p>
    <w:p>
      <w:pPr>
        <w:ind w:left="280" w:hanging="272"/>
        <w:spacing w:after="0"/>
        <w:tabs>
          <w:tab w:leader="none" w:pos="280"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market value is calculated by multiplying the number of shares by the closing price of our common stock on December 29, 2023, which was $205.96 per share.</w:t>
      </w:r>
    </w:p>
    <w:p>
      <w:pPr>
        <w:spacing w:after="0" w:line="82" w:lineRule="exact"/>
        <w:rPr>
          <w:rFonts w:ascii="Arial" w:cs="Arial" w:eastAsia="Arial" w:hAnsi="Arial"/>
          <w:sz w:val="9"/>
          <w:szCs w:val="9"/>
          <w:color w:val="auto"/>
        </w:rPr>
      </w:pPr>
    </w:p>
    <w:p>
      <w:pPr>
        <w:ind w:left="260" w:right="100" w:hanging="252"/>
        <w:spacing w:after="0" w:line="283" w:lineRule="auto"/>
        <w:tabs>
          <w:tab w:leader="none" w:pos="264"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Compensation Committee granted PSUs on February 16, 2021, to be earned based on Company performance in 2021, 2022, and 2023 as determined after the end of 2023. The number of shares shown reflects actual achievement of 71% of target. These PSUs vested on the date the Company received an unqualified signed opinion on the Company’s financial statements from its independent registered public accounting firm on February 15, 2024.</w:t>
      </w:r>
    </w:p>
    <w:p>
      <w:pPr>
        <w:spacing w:after="0" w:line="24" w:lineRule="exact"/>
        <w:rPr>
          <w:rFonts w:ascii="Arial" w:cs="Arial" w:eastAsia="Arial" w:hAnsi="Arial"/>
          <w:sz w:val="9"/>
          <w:szCs w:val="9"/>
          <w:color w:val="auto"/>
        </w:rPr>
      </w:pPr>
    </w:p>
    <w:p>
      <w:pPr>
        <w:ind w:left="260" w:right="180" w:hanging="252"/>
        <w:spacing w:after="0"/>
        <w:tabs>
          <w:tab w:leader="none" w:pos="264"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granted PSUs on February 14, 2022 and April 25, 2022, to be earned based on Company performance in 2022, 2023, and 2024 as determined after the end of 2024. The number of shares shown reflects achievement of the target performance level based on Company performance and relative TSR of Verisign compared to the TSR of the S&amp;P 500 for 2022 and 2023.</w:t>
      </w:r>
    </w:p>
    <w:p>
      <w:pPr>
        <w:spacing w:after="0" w:line="53" w:lineRule="exact"/>
        <w:rPr>
          <w:rFonts w:ascii="Arial" w:cs="Arial" w:eastAsia="Arial" w:hAnsi="Arial"/>
          <w:sz w:val="19"/>
          <w:szCs w:val="19"/>
          <w:color w:val="auto"/>
          <w:vertAlign w:val="superscript"/>
        </w:rPr>
      </w:pPr>
    </w:p>
    <w:p>
      <w:pPr>
        <w:ind w:left="260" w:right="100" w:hanging="252"/>
        <w:spacing w:after="0" w:line="234" w:lineRule="auto"/>
        <w:tabs>
          <w:tab w:leader="none" w:pos="264"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granted PSUs on February 13, 2023, to be earned based on Company performance in 2023, 2024, and 2025 as determined after the end of 2025. The number of shares shown reflects achievement of the target performance level based on Company performance and relative TSR of Verisign compared to the TSR of the S&amp;P 500 for 2023.</w:t>
      </w: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Stock Vested in 2023</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table shows all stock awards vested and the value realized upon vesting by our NEOs during 2023. No stock options were exercised by any of our NEOs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8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114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81"/>
        </w:trPr>
        <w:tc>
          <w:tcPr>
            <w:tcW w:w="86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40" w:type="dxa"/>
            <w:vAlign w:val="bottom"/>
            <w:vMerge w:val="restart"/>
          </w:tcPr>
          <w:p>
            <w:pPr>
              <w:jc w:val="right"/>
              <w:spacing w:after="0" w:line="126"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right w:val="single" w:sz="8" w:color="auto"/>
            </w:tcBorders>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8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4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REALIZED ON</w:t>
            </w:r>
          </w:p>
        </w:tc>
        <w:tc>
          <w:tcPr>
            <w:tcW w:w="0" w:type="dxa"/>
            <w:vAlign w:val="bottom"/>
          </w:tcPr>
          <w:p>
            <w:pPr>
              <w:spacing w:after="0"/>
              <w:rPr>
                <w:sz w:val="1"/>
                <w:szCs w:val="1"/>
                <w:color w:val="auto"/>
              </w:rPr>
            </w:pPr>
          </w:p>
        </w:tc>
      </w:tr>
      <w:tr>
        <w:trPr>
          <w:trHeight w:val="122"/>
        </w:trPr>
        <w:tc>
          <w:tcPr>
            <w:tcW w:w="8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ACQUIRED ON</w:t>
            </w:r>
          </w:p>
        </w:tc>
        <w:tc>
          <w:tcPr>
            <w:tcW w:w="1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VESTING (#)</w:t>
            </w:r>
          </w:p>
        </w:tc>
        <w:tc>
          <w:tcPr>
            <w:tcW w:w="120" w:type="dxa"/>
            <w:vAlign w:val="bottom"/>
            <w:tcBorders>
              <w:right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rPr>
              <w:t>VESTING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D. James Bidzos</w:t>
            </w:r>
          </w:p>
        </w:tc>
        <w:tc>
          <w:tcPr>
            <w:tcW w:w="140" w:type="dxa"/>
            <w:vAlign w:val="bottom"/>
            <w:tcBorders>
              <w:right w:val="single" w:sz="8" w:color="E5E5E5"/>
            </w:tcBorders>
          </w:tcPr>
          <w:p>
            <w:pPr>
              <w:spacing w:after="0"/>
              <w:rPr>
                <w:sz w:val="18"/>
                <w:szCs w:val="18"/>
                <w:color w:val="auto"/>
              </w:rPr>
            </w:pPr>
          </w:p>
        </w:tc>
        <w:tc>
          <w:tcPr>
            <w:tcW w:w="12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38,670</w:t>
            </w:r>
          </w:p>
        </w:tc>
        <w:tc>
          <w:tcPr>
            <w:tcW w:w="120" w:type="dxa"/>
            <w:vAlign w:val="bottom"/>
            <w:tcBorders>
              <w:right w:val="single" w:sz="8" w:color="E5E5E5"/>
            </w:tcBorders>
          </w:tcPr>
          <w:p>
            <w:pPr>
              <w:spacing w:after="0"/>
              <w:rPr>
                <w:sz w:val="18"/>
                <w:szCs w:val="18"/>
                <w:color w:val="auto"/>
              </w:rPr>
            </w:pPr>
          </w:p>
        </w:tc>
        <w:tc>
          <w:tcPr>
            <w:tcW w:w="11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8,052,900</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004A98"/>
              </w:rPr>
              <w:t>Todd B. Strubbe</w:t>
            </w:r>
          </w:p>
        </w:tc>
        <w:tc>
          <w:tcPr>
            <w:tcW w:w="140" w:type="dxa"/>
            <w:vAlign w:val="bottom"/>
          </w:tcPr>
          <w:p>
            <w:pPr>
              <w:spacing w:after="0"/>
              <w:rPr>
                <w:sz w:val="18"/>
                <w:szCs w:val="18"/>
                <w:color w:val="auto"/>
              </w:rPr>
            </w:pP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15,093</w:t>
            </w:r>
          </w:p>
        </w:tc>
        <w:tc>
          <w:tcPr>
            <w:tcW w:w="120" w:type="dxa"/>
            <w:vAlign w:val="bottom"/>
          </w:tcPr>
          <w:p>
            <w:pPr>
              <w:spacing w:after="0"/>
              <w:rPr>
                <w:sz w:val="18"/>
                <w:szCs w:val="18"/>
                <w:color w:val="auto"/>
              </w:rPr>
            </w:pP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3,156,076</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George E. Kilguss, III</w:t>
            </w:r>
          </w:p>
        </w:tc>
        <w:tc>
          <w:tcPr>
            <w:tcW w:w="140" w:type="dxa"/>
            <w:vAlign w:val="bottom"/>
            <w:tcBorders>
              <w:right w:val="single" w:sz="8" w:color="E5E5E5"/>
            </w:tcBorders>
          </w:tcPr>
          <w:p>
            <w:pPr>
              <w:spacing w:after="0"/>
              <w:rPr>
                <w:sz w:val="18"/>
                <w:szCs w:val="18"/>
                <w:color w:val="auto"/>
              </w:rPr>
            </w:pPr>
          </w:p>
        </w:tc>
        <w:tc>
          <w:tcPr>
            <w:tcW w:w="12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11,968</w:t>
            </w:r>
          </w:p>
        </w:tc>
        <w:tc>
          <w:tcPr>
            <w:tcW w:w="120" w:type="dxa"/>
            <w:vAlign w:val="bottom"/>
            <w:tcBorders>
              <w:right w:val="single" w:sz="8" w:color="E5E5E5"/>
            </w:tcBorders>
          </w:tcPr>
          <w:p>
            <w:pPr>
              <w:spacing w:after="0"/>
              <w:rPr>
                <w:sz w:val="18"/>
                <w:szCs w:val="18"/>
                <w:color w:val="auto"/>
              </w:rPr>
            </w:pPr>
          </w:p>
        </w:tc>
        <w:tc>
          <w:tcPr>
            <w:tcW w:w="11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2,503,037</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004A98"/>
              </w:rPr>
              <w:t>Danny McPherson</w:t>
            </w:r>
          </w:p>
        </w:tc>
        <w:tc>
          <w:tcPr>
            <w:tcW w:w="140" w:type="dxa"/>
            <w:vAlign w:val="bottom"/>
          </w:tcPr>
          <w:p>
            <w:pPr>
              <w:spacing w:after="0"/>
              <w:rPr>
                <w:sz w:val="18"/>
                <w:szCs w:val="18"/>
                <w:color w:val="auto"/>
              </w:rPr>
            </w:pP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8,037</w:t>
            </w:r>
          </w:p>
        </w:tc>
        <w:tc>
          <w:tcPr>
            <w:tcW w:w="120" w:type="dxa"/>
            <w:vAlign w:val="bottom"/>
          </w:tcPr>
          <w:p>
            <w:pPr>
              <w:spacing w:after="0"/>
              <w:rPr>
                <w:sz w:val="18"/>
                <w:szCs w:val="18"/>
                <w:color w:val="auto"/>
              </w:rPr>
            </w:pP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1,687,444</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Thomas C. Indelicarto</w:t>
            </w:r>
          </w:p>
        </w:tc>
        <w:tc>
          <w:tcPr>
            <w:tcW w:w="140" w:type="dxa"/>
            <w:vAlign w:val="bottom"/>
            <w:tcBorders>
              <w:right w:val="single" w:sz="8" w:color="E5E5E5"/>
            </w:tcBorders>
          </w:tcPr>
          <w:p>
            <w:pPr>
              <w:spacing w:after="0"/>
              <w:rPr>
                <w:sz w:val="18"/>
                <w:szCs w:val="18"/>
                <w:color w:val="auto"/>
              </w:rPr>
            </w:pPr>
          </w:p>
        </w:tc>
        <w:tc>
          <w:tcPr>
            <w:tcW w:w="12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8,404</w:t>
            </w:r>
          </w:p>
        </w:tc>
        <w:tc>
          <w:tcPr>
            <w:tcW w:w="120" w:type="dxa"/>
            <w:vAlign w:val="bottom"/>
            <w:tcBorders>
              <w:right w:val="single" w:sz="8" w:color="E5E5E5"/>
            </w:tcBorders>
          </w:tcPr>
          <w:p>
            <w:pPr>
              <w:spacing w:after="0"/>
              <w:rPr>
                <w:sz w:val="18"/>
                <w:szCs w:val="18"/>
                <w:color w:val="auto"/>
              </w:rPr>
            </w:pPr>
          </w:p>
        </w:tc>
        <w:tc>
          <w:tcPr>
            <w:tcW w:w="11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1,760,920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value realized upon vesting is calculated by multiplying the number of shares that vested by the closing price of our common stock on the vesting date.</w:t>
      </w:r>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Potential Payments Upon Termination or Change in Control</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Except as described below, we have no formal severance program for our NEOs, each of whom is employed at will and therefore can be terminated at any time.</w:t>
      </w: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Treatment of Equity Upon Death or Disability or Termination for any Other Reason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termination due to death or disability, outstanding equity awards will be treated as follows:</w:t>
      </w:r>
    </w:p>
    <w:p>
      <w:pPr>
        <w:spacing w:after="0" w:line="113"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004A98"/>
        </w:rPr>
      </w:pPr>
      <w:r>
        <w:rPr>
          <w:rFonts w:ascii="Arial" w:cs="Arial" w:eastAsia="Arial" w:hAnsi="Arial"/>
          <w:sz w:val="16"/>
          <w:szCs w:val="16"/>
          <w:color w:val="auto"/>
        </w:rPr>
        <w:t>RSUs – unvested RSUs shall accelerate in full according to the terms in the applicable award agreements.</w:t>
      </w:r>
    </w:p>
    <w:p>
      <w:pPr>
        <w:spacing w:after="0" w:line="86" w:lineRule="exact"/>
        <w:rPr>
          <w:rFonts w:ascii="Arial" w:cs="Arial" w:eastAsia="Arial" w:hAnsi="Arial"/>
          <w:sz w:val="16"/>
          <w:szCs w:val="16"/>
          <w:color w:val="004A98"/>
        </w:rPr>
      </w:pPr>
    </w:p>
    <w:p>
      <w:pPr>
        <w:ind w:left="200" w:right="200" w:hanging="192"/>
        <w:spacing w:after="0" w:line="275" w:lineRule="auto"/>
        <w:tabs>
          <w:tab w:leader="none" w:pos="170" w:val="left"/>
        </w:tabs>
        <w:numPr>
          <w:ilvl w:val="0"/>
          <w:numId w:val="36"/>
        </w:numPr>
        <w:rPr>
          <w:rFonts w:ascii="Arial" w:cs="Arial" w:eastAsia="Arial" w:hAnsi="Arial"/>
          <w:sz w:val="16"/>
          <w:szCs w:val="16"/>
          <w:color w:val="004A98"/>
        </w:rPr>
      </w:pPr>
      <w:r>
        <w:rPr>
          <w:rFonts w:ascii="Arial" w:cs="Arial" w:eastAsia="Arial" w:hAnsi="Arial"/>
          <w:sz w:val="16"/>
          <w:szCs w:val="16"/>
          <w:color w:val="auto"/>
        </w:rPr>
        <w:t>PSUs – if such termination occurs during the applicable performance period and before the conclusion of such performance period, then such PSUs will accelerate and vest at target; if such termination occurs after the conclusion of the applicable performance period and before the award for such performance period has been paid, then the PSUs will fully accelerate based upon the actual achievement level.</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termination for any other reason, all unvested equity awards are forfeited for no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 in Control Agreements</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Each of our NEOs is party to a change in control and retention agreement (the “CIC Agreements”). Under the CIC Agreements, each of the NEOs is entitled to receive severance benefits if, within the twenty-four months following a “change in control” (or under certain circumstances, during the six-month period preceding a change in control), the NEO’s employment is terminated by the Company or its successor without “cause” or by the NEO for “good reason” (referred to as a “qualified termination”). The terms and conditions of the CIC Agreements are described below.</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change in control</w:t>
      </w:r>
      <w:r>
        <w:rPr>
          <w:rFonts w:ascii="Arial" w:cs="Arial" w:eastAsia="Arial" w:hAnsi="Arial"/>
          <w:sz w:val="16"/>
          <w:szCs w:val="16"/>
          <w:color w:val="auto"/>
        </w:rPr>
        <w:t>” means:</w:t>
      </w:r>
    </w:p>
    <w:p>
      <w:pPr>
        <w:spacing w:after="0" w:line="113" w:lineRule="exact"/>
        <w:rPr>
          <w:sz w:val="20"/>
          <w:szCs w:val="20"/>
          <w:color w:val="auto"/>
        </w:rPr>
      </w:pPr>
    </w:p>
    <w:p>
      <w:pPr>
        <w:ind w:left="200" w:right="100" w:hanging="192"/>
        <w:spacing w:after="0" w:line="265" w:lineRule="auto"/>
        <w:tabs>
          <w:tab w:leader="none" w:pos="170" w:val="left"/>
        </w:tabs>
        <w:numPr>
          <w:ilvl w:val="0"/>
          <w:numId w:val="37"/>
        </w:numPr>
        <w:rPr>
          <w:rFonts w:ascii="Arial" w:cs="Arial" w:eastAsia="Arial" w:hAnsi="Arial"/>
          <w:sz w:val="16"/>
          <w:szCs w:val="16"/>
          <w:color w:val="00497F"/>
        </w:rPr>
      </w:pPr>
      <w:r>
        <w:rPr>
          <w:rFonts w:ascii="Arial" w:cs="Arial" w:eastAsia="Arial" w:hAnsi="Arial"/>
          <w:sz w:val="16"/>
          <w:szCs w:val="16"/>
          <w:color w:val="auto"/>
        </w:rPr>
        <w:t>any “person” (as such term is used in Sections 13(d) and 14(d) of the Exchange Act), other than a trustee or other fiduciary holding securities of the Company under an employee benefit plan of the Company or its subsidiaries, becomes the “beneficial owner” (as defined in Rule 13d-3 promulgated under the Exchange Act), directly or indirectly (excluding, for purposes of this Section, securities acquired directly from the Company), of securities of the Company representing at least 35% of (A) the then-outstanding shares of common stock of the Company or (B) the combined voting power of the Company’s then-outstanding securities;</w:t>
      </w:r>
    </w:p>
    <w:p>
      <w:pPr>
        <w:spacing w:after="0" w:line="37" w:lineRule="exact"/>
        <w:rPr>
          <w:rFonts w:ascii="Arial" w:cs="Arial" w:eastAsia="Arial" w:hAnsi="Arial"/>
          <w:sz w:val="16"/>
          <w:szCs w:val="16"/>
          <w:color w:val="00497F"/>
        </w:rPr>
      </w:pPr>
    </w:p>
    <w:p>
      <w:pPr>
        <w:ind w:left="200" w:right="440" w:hanging="192"/>
        <w:spacing w:after="0" w:line="265" w:lineRule="auto"/>
        <w:tabs>
          <w:tab w:leader="none" w:pos="170" w:val="left"/>
        </w:tabs>
        <w:numPr>
          <w:ilvl w:val="0"/>
          <w:numId w:val="37"/>
        </w:numPr>
        <w:rPr>
          <w:rFonts w:ascii="Arial" w:cs="Arial" w:eastAsia="Arial" w:hAnsi="Arial"/>
          <w:sz w:val="16"/>
          <w:szCs w:val="16"/>
          <w:color w:val="00497F"/>
        </w:rPr>
      </w:pPr>
      <w:r>
        <w:rPr>
          <w:rFonts w:ascii="Arial" w:cs="Arial" w:eastAsia="Arial" w:hAnsi="Arial"/>
          <w:sz w:val="16"/>
          <w:szCs w:val="16"/>
          <w:color w:val="auto"/>
        </w:rPr>
        <w:t>the consummation of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50% of the combined voting power of the voting securities of the Company or such surviving entity outstanding immediately after such merger or consolidation;</w:t>
      </w:r>
    </w:p>
    <w:p>
      <w:pPr>
        <w:spacing w:after="0" w:line="37" w:lineRule="exact"/>
        <w:rPr>
          <w:rFonts w:ascii="Arial" w:cs="Arial" w:eastAsia="Arial" w:hAnsi="Arial"/>
          <w:sz w:val="16"/>
          <w:szCs w:val="16"/>
          <w:color w:val="00497F"/>
        </w:rPr>
      </w:pPr>
    </w:p>
    <w:p>
      <w:pPr>
        <w:ind w:left="200" w:right="380" w:hanging="192"/>
        <w:spacing w:after="0" w:line="286" w:lineRule="auto"/>
        <w:tabs>
          <w:tab w:leader="none" w:pos="170" w:val="left"/>
        </w:tabs>
        <w:numPr>
          <w:ilvl w:val="0"/>
          <w:numId w:val="37"/>
        </w:numPr>
        <w:rPr>
          <w:rFonts w:ascii="Arial" w:cs="Arial" w:eastAsia="Arial" w:hAnsi="Arial"/>
          <w:sz w:val="16"/>
          <w:szCs w:val="16"/>
          <w:color w:val="00497F"/>
        </w:rPr>
      </w:pPr>
      <w:r>
        <w:rPr>
          <w:rFonts w:ascii="Arial" w:cs="Arial" w:eastAsia="Arial" w:hAnsi="Arial"/>
          <w:sz w:val="16"/>
          <w:szCs w:val="16"/>
          <w:color w:val="auto"/>
        </w:rPr>
        <w:t>a change in the composition of the Board occurring within a 24-month period, as a result of which fewer than a majority of the directors are incumbent directors;</w:t>
      </w:r>
    </w:p>
    <w:p>
      <w:pPr>
        <w:spacing w:after="0" w:line="20" w:lineRule="exact"/>
        <w:rPr>
          <w:rFonts w:ascii="Arial" w:cs="Arial" w:eastAsia="Arial" w:hAnsi="Arial"/>
          <w:sz w:val="16"/>
          <w:szCs w:val="16"/>
          <w:color w:val="00497F"/>
        </w:rPr>
      </w:pPr>
    </w:p>
    <w:p>
      <w:pPr>
        <w:ind w:left="200" w:right="380" w:hanging="192"/>
        <w:spacing w:after="0" w:line="286" w:lineRule="auto"/>
        <w:tabs>
          <w:tab w:leader="none" w:pos="170" w:val="left"/>
        </w:tabs>
        <w:numPr>
          <w:ilvl w:val="0"/>
          <w:numId w:val="37"/>
        </w:numPr>
        <w:rPr>
          <w:rFonts w:ascii="Arial" w:cs="Arial" w:eastAsia="Arial" w:hAnsi="Arial"/>
          <w:sz w:val="16"/>
          <w:szCs w:val="16"/>
          <w:color w:val="00497F"/>
        </w:rPr>
      </w:pPr>
      <w:r>
        <w:rPr>
          <w:rFonts w:ascii="Arial" w:cs="Arial" w:eastAsia="Arial" w:hAnsi="Arial"/>
          <w:sz w:val="16"/>
          <w:szCs w:val="16"/>
          <w:color w:val="auto"/>
        </w:rPr>
        <w:t>the sale or disposition of all or substantially all of the Company’s assets (or consummation of any transaction, or series of related transactions, having similar effect); or</w:t>
      </w:r>
    </w:p>
    <w:p>
      <w:pPr>
        <w:spacing w:after="0" w:line="20" w:lineRule="exact"/>
        <w:rPr>
          <w:rFonts w:ascii="Arial" w:cs="Arial" w:eastAsia="Arial" w:hAnsi="Arial"/>
          <w:sz w:val="16"/>
          <w:szCs w:val="16"/>
          <w:color w:val="00497F"/>
        </w:rPr>
      </w:pPr>
    </w:p>
    <w:p>
      <w:pPr>
        <w:ind w:left="180" w:hanging="172"/>
        <w:spacing w:after="0"/>
        <w:tabs>
          <w:tab w:leader="none" w:pos="180" w:val="left"/>
        </w:tabs>
        <w:numPr>
          <w:ilvl w:val="0"/>
          <w:numId w:val="37"/>
        </w:numPr>
        <w:rPr>
          <w:rFonts w:ascii="Arial" w:cs="Arial" w:eastAsia="Arial" w:hAnsi="Arial"/>
          <w:sz w:val="16"/>
          <w:szCs w:val="16"/>
          <w:color w:val="00497F"/>
        </w:rPr>
      </w:pPr>
      <w:r>
        <w:rPr>
          <w:rFonts w:ascii="Arial" w:cs="Arial" w:eastAsia="Arial" w:hAnsi="Arial"/>
          <w:sz w:val="16"/>
          <w:szCs w:val="16"/>
          <w:color w:val="auto"/>
        </w:rPr>
        <w:t>stockholder approval of the dissolution or liquidation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cause</w:t>
      </w:r>
      <w:r>
        <w:rPr>
          <w:rFonts w:ascii="Arial" w:cs="Arial" w:eastAsia="Arial" w:hAnsi="Arial"/>
          <w:sz w:val="16"/>
          <w:szCs w:val="16"/>
          <w:color w:val="auto"/>
        </w:rPr>
        <w:t>” means:</w:t>
      </w:r>
    </w:p>
    <w:p>
      <w:pPr>
        <w:spacing w:after="0" w:line="127" w:lineRule="exact"/>
        <w:rPr>
          <w:sz w:val="20"/>
          <w:szCs w:val="20"/>
          <w:color w:val="auto"/>
        </w:rPr>
      </w:pPr>
    </w:p>
    <w:p>
      <w:pPr>
        <w:ind w:left="200" w:right="320" w:hanging="192"/>
        <w:spacing w:after="0" w:line="286" w:lineRule="auto"/>
        <w:tabs>
          <w:tab w:leader="none" w:pos="170" w:val="left"/>
        </w:tabs>
        <w:numPr>
          <w:ilvl w:val="0"/>
          <w:numId w:val="38"/>
        </w:numPr>
        <w:rPr>
          <w:rFonts w:ascii="Arial" w:cs="Arial" w:eastAsia="Arial" w:hAnsi="Arial"/>
          <w:sz w:val="16"/>
          <w:szCs w:val="16"/>
          <w:color w:val="00497F"/>
        </w:rPr>
      </w:pPr>
      <w:r>
        <w:rPr>
          <w:rFonts w:ascii="Arial" w:cs="Arial" w:eastAsia="Arial" w:hAnsi="Arial"/>
          <w:sz w:val="16"/>
          <w:szCs w:val="16"/>
          <w:color w:val="auto"/>
        </w:rPr>
        <w:t>an NEO’s willful and continued failure to substantially perform the NEOs duties after written notice providing the NEO with 90 days from the date of the NEO’s receipt of such notice in which to cure;</w:t>
      </w:r>
    </w:p>
    <w:p>
      <w:pPr>
        <w:spacing w:after="0" w:line="20" w:lineRule="exact"/>
        <w:rPr>
          <w:rFonts w:ascii="Arial" w:cs="Arial" w:eastAsia="Arial" w:hAnsi="Arial"/>
          <w:sz w:val="16"/>
          <w:szCs w:val="16"/>
          <w:color w:val="00497F"/>
        </w:rPr>
      </w:pPr>
    </w:p>
    <w:p>
      <w:pPr>
        <w:ind w:left="180" w:hanging="172"/>
        <w:spacing w:after="0"/>
        <w:tabs>
          <w:tab w:leader="none" w:pos="180" w:val="left"/>
        </w:tabs>
        <w:numPr>
          <w:ilvl w:val="0"/>
          <w:numId w:val="38"/>
        </w:numPr>
        <w:rPr>
          <w:rFonts w:ascii="Arial" w:cs="Arial" w:eastAsia="Arial" w:hAnsi="Arial"/>
          <w:sz w:val="16"/>
          <w:szCs w:val="16"/>
          <w:color w:val="00497F"/>
        </w:rPr>
      </w:pPr>
      <w:r>
        <w:rPr>
          <w:rFonts w:ascii="Arial" w:cs="Arial" w:eastAsia="Arial" w:hAnsi="Arial"/>
          <w:sz w:val="16"/>
          <w:szCs w:val="16"/>
          <w:color w:val="auto"/>
        </w:rPr>
        <w:t>an NEO’s conviction for a felony involving moral turpitude or a plea of guilty or no contest to the same;</w:t>
      </w:r>
    </w:p>
    <w:p>
      <w:pPr>
        <w:spacing w:after="0" w:line="72" w:lineRule="exact"/>
        <w:rPr>
          <w:rFonts w:ascii="Arial" w:cs="Arial" w:eastAsia="Arial" w:hAnsi="Arial"/>
          <w:sz w:val="16"/>
          <w:szCs w:val="16"/>
          <w:color w:val="00497F"/>
        </w:rPr>
      </w:pPr>
    </w:p>
    <w:p>
      <w:pPr>
        <w:ind w:left="180" w:hanging="172"/>
        <w:spacing w:after="0"/>
        <w:tabs>
          <w:tab w:leader="none" w:pos="180" w:val="left"/>
        </w:tabs>
        <w:numPr>
          <w:ilvl w:val="0"/>
          <w:numId w:val="38"/>
        </w:numPr>
        <w:rPr>
          <w:rFonts w:ascii="Arial" w:cs="Arial" w:eastAsia="Arial" w:hAnsi="Arial"/>
          <w:sz w:val="16"/>
          <w:szCs w:val="16"/>
          <w:color w:val="00497F"/>
        </w:rPr>
      </w:pPr>
      <w:r>
        <w:rPr>
          <w:rFonts w:ascii="Arial" w:cs="Arial" w:eastAsia="Arial" w:hAnsi="Arial"/>
          <w:sz w:val="16"/>
          <w:szCs w:val="16"/>
          <w:color w:val="auto"/>
        </w:rPr>
        <w:t>an NEO’s willful misconduct or gross negligence resulting in material harm to the Company; or</w:t>
      </w:r>
    </w:p>
    <w:p>
      <w:pPr>
        <w:spacing w:after="0" w:line="86" w:lineRule="exact"/>
        <w:rPr>
          <w:rFonts w:ascii="Arial" w:cs="Arial" w:eastAsia="Arial" w:hAnsi="Arial"/>
          <w:sz w:val="16"/>
          <w:szCs w:val="16"/>
          <w:color w:val="00497F"/>
        </w:rPr>
      </w:pPr>
    </w:p>
    <w:p>
      <w:pPr>
        <w:ind w:left="180" w:hanging="172"/>
        <w:spacing w:after="0"/>
        <w:tabs>
          <w:tab w:leader="none" w:pos="180" w:val="left"/>
        </w:tabs>
        <w:numPr>
          <w:ilvl w:val="0"/>
          <w:numId w:val="38"/>
        </w:numPr>
        <w:rPr>
          <w:rFonts w:ascii="Arial" w:cs="Arial" w:eastAsia="Arial" w:hAnsi="Arial"/>
          <w:sz w:val="16"/>
          <w:szCs w:val="16"/>
          <w:color w:val="00497F"/>
        </w:rPr>
      </w:pPr>
      <w:r>
        <w:rPr>
          <w:rFonts w:ascii="Arial" w:cs="Arial" w:eastAsia="Arial" w:hAnsi="Arial"/>
          <w:sz w:val="16"/>
          <w:szCs w:val="16"/>
          <w:color w:val="auto"/>
        </w:rPr>
        <w:t>an NEO’s willful violation of the Company’s policies resulting in material harm to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good reason</w:t>
      </w:r>
      <w:r>
        <w:rPr>
          <w:rFonts w:ascii="Arial" w:cs="Arial" w:eastAsia="Arial" w:hAnsi="Arial"/>
          <w:sz w:val="16"/>
          <w:szCs w:val="16"/>
          <w:color w:val="auto"/>
        </w:rPr>
        <w:t>” means:</w:t>
      </w:r>
    </w:p>
    <w:p>
      <w:pPr>
        <w:spacing w:after="0" w:line="113" w:lineRule="exact"/>
        <w:rPr>
          <w:sz w:val="20"/>
          <w:szCs w:val="20"/>
          <w:color w:val="auto"/>
        </w:rPr>
      </w:pPr>
    </w:p>
    <w:p>
      <w:pPr>
        <w:ind w:left="200" w:right="260" w:hanging="192"/>
        <w:spacing w:after="0" w:line="286"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change in the NEO’s authority, duties, or responsibilities that is inconsistent in any material and adverse respect from the NEO’s authority, duties, and responsibilities immediately preceding the change in control;</w:t>
      </w:r>
    </w:p>
    <w:p>
      <w:pPr>
        <w:spacing w:after="0" w:line="20" w:lineRule="exact"/>
        <w:rPr>
          <w:rFonts w:ascii="Arial" w:cs="Arial" w:eastAsia="Arial" w:hAnsi="Arial"/>
          <w:sz w:val="16"/>
          <w:szCs w:val="16"/>
          <w:color w:val="00497F"/>
        </w:rPr>
      </w:pPr>
    </w:p>
    <w:p>
      <w:pPr>
        <w:ind w:left="200" w:right="340" w:hanging="192"/>
        <w:spacing w:after="0" w:line="286"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reduction in the NEO’s base salary compared to the NEO’s base salary immediately preceding the change in control, except for an across-the-board reduction of not more than 10% of base salary applicable to all senior executives of the Company;</w:t>
      </w:r>
    </w:p>
    <w:p>
      <w:pPr>
        <w:spacing w:after="0" w:line="20" w:lineRule="exact"/>
        <w:rPr>
          <w:rFonts w:ascii="Arial" w:cs="Arial" w:eastAsia="Arial" w:hAnsi="Arial"/>
          <w:sz w:val="16"/>
          <w:szCs w:val="16"/>
          <w:color w:val="00497F"/>
        </w:rPr>
      </w:pPr>
    </w:p>
    <w:p>
      <w:pPr>
        <w:ind w:left="200" w:right="200" w:hanging="192"/>
        <w:spacing w:after="0" w:line="299"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reduction in the NEO’s bonus opportunity of 5% or more from the NEO’s bonus opportunity immediately preceding the change in control, except for an across-the-board reduction applicable to all senior executives of the Company;</w:t>
      </w:r>
    </w:p>
    <w:p>
      <w:pPr>
        <w:ind w:left="200" w:right="280" w:hanging="192"/>
        <w:spacing w:after="0" w:line="299"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failure to provide the NEO with long-term incentive opportunities that in the aggregate are at least comparable to the long-term incentives provided to other senior executives at the Company;</w:t>
      </w:r>
    </w:p>
    <w:p>
      <w:pPr>
        <w:ind w:left="200" w:right="100" w:hanging="192"/>
        <w:spacing w:after="0" w:line="275"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reduction of at least 5% in aggregate benefits that the NEO is entitled to receive under all employee benefit plans of the Company following a change in control compared to the aggregate benefits the NEO was eligible to receive under all employee benefit plans maintained by the Company immediately preceding the change in control;</w:t>
      </w:r>
    </w:p>
    <w:p>
      <w:pPr>
        <w:spacing w:after="0" w:line="29" w:lineRule="exact"/>
        <w:rPr>
          <w:rFonts w:ascii="Arial" w:cs="Arial" w:eastAsia="Arial" w:hAnsi="Arial"/>
          <w:sz w:val="16"/>
          <w:szCs w:val="16"/>
          <w:color w:val="00497F"/>
        </w:rPr>
      </w:pPr>
    </w:p>
    <w:p>
      <w:pPr>
        <w:ind w:left="200" w:right="160" w:hanging="192"/>
        <w:spacing w:after="0" w:line="275"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requirement that the NEO be based at any office location more than 40 miles from the NEO’s primary office location immediately preceding the change in control, if such relocation increases the NEO’s commute by more than 10 miles from the executive’s principal residence immediately preceding the change in control; or</w:t>
      </w:r>
    </w:p>
    <w:p>
      <w:pPr>
        <w:spacing w:after="0" w:line="15" w:lineRule="exact"/>
        <w:rPr>
          <w:rFonts w:ascii="Arial" w:cs="Arial" w:eastAsia="Arial" w:hAnsi="Arial"/>
          <w:sz w:val="16"/>
          <w:szCs w:val="16"/>
          <w:color w:val="00497F"/>
        </w:rPr>
      </w:pPr>
    </w:p>
    <w:p>
      <w:pPr>
        <w:ind w:left="180" w:hanging="172"/>
        <w:spacing w:after="0"/>
        <w:tabs>
          <w:tab w:leader="none" w:pos="18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the failure of the Company to obtain the assumption of the agreement from any successor as provided in the agreement.</w:t>
      </w:r>
    </w:p>
    <w:p>
      <w:pPr>
        <w:spacing w:after="0" w:line="12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incumbent director</w:t>
      </w:r>
      <w:r>
        <w:rPr>
          <w:rFonts w:ascii="Arial" w:cs="Arial" w:eastAsia="Arial" w:hAnsi="Arial"/>
          <w:sz w:val="16"/>
          <w:szCs w:val="16"/>
          <w:color w:val="auto"/>
        </w:rPr>
        <w:t>” means: directors who either (i) are directors as of the date of the CIC Agreement, or (ii)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65" w:lineRule="exact"/>
        <w:rPr>
          <w:sz w:val="20"/>
          <w:szCs w:val="20"/>
          <w:color w:val="auto"/>
        </w:rPr>
      </w:pPr>
    </w:p>
    <w:p>
      <w:pPr>
        <w:jc w:val="both"/>
        <w:ind w:right="540"/>
        <w:spacing w:after="0" w:line="275" w:lineRule="auto"/>
        <w:rPr>
          <w:sz w:val="20"/>
          <w:szCs w:val="20"/>
          <w:color w:val="auto"/>
        </w:rPr>
      </w:pPr>
      <w:r>
        <w:rPr>
          <w:rFonts w:ascii="Arial" w:cs="Arial" w:eastAsia="Arial" w:hAnsi="Arial"/>
          <w:sz w:val="16"/>
          <w:szCs w:val="16"/>
          <w:color w:val="auto"/>
        </w:rPr>
        <w:t>If a change in control occurs and the NEO experiences a qualifying termination and timely delivers a general release agreement, the CIC Agreements provide that Verisign will make the following payments and provide the following benefits to the NEO (subject to a six-month delay if and to the extent required by the deferred compensation rules set forth in and promulgated under Section 409A of the Internal Revenue Code):</w:t>
      </w:r>
    </w:p>
    <w:p>
      <w:pPr>
        <w:spacing w:after="0" w:line="56"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 lump sum equal to the pro rata target bonus for the year in which the NEO was terminated;</w:t>
      </w:r>
    </w:p>
    <w:p>
      <w:pPr>
        <w:spacing w:after="0" w:line="86" w:lineRule="exact"/>
        <w:rPr>
          <w:rFonts w:ascii="Arial" w:cs="Arial" w:eastAsia="Arial" w:hAnsi="Arial"/>
          <w:sz w:val="16"/>
          <w:szCs w:val="16"/>
          <w:color w:val="00497F"/>
        </w:rPr>
      </w:pPr>
    </w:p>
    <w:p>
      <w:pPr>
        <w:ind w:left="200" w:right="80" w:hanging="192"/>
        <w:spacing w:after="0" w:line="261" w:lineRule="auto"/>
        <w:tabs>
          <w:tab w:leader="none" w:pos="17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 lump sum equal to a specified multiple of the sum of (i) the NEO’s annual base salary plus (ii) the average of the NEO’s target annual bonus amount for the last three full fiscal years prior to a change in control, or, if the NEO was employed by the Company for fewer than three full fiscal years preceding the fiscal year in which the change in control occurs, the average target bonus for the number of full fiscal years the NEO was employed by the Company before the change in control or the target bonus for the fiscal year in which the change in control occurs if the NEO was not eligible to receive a bonus from the Company during any of the prior three fiscal years; the applicable multiples are 200% of the annual base salary and bonus for the CEO and 100% of the annual base salary and bonus for other NEO participants;</w:t>
      </w:r>
    </w:p>
    <w:p>
      <w:pPr>
        <w:spacing w:after="0" w:line="26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75" w:lineRule="exact"/>
        <w:rPr>
          <w:sz w:val="20"/>
          <w:szCs w:val="20"/>
          <w:color w:val="auto"/>
        </w:rPr>
      </w:pPr>
    </w:p>
    <w:p>
      <w:pPr>
        <w:ind w:left="200" w:right="180" w:hanging="192"/>
        <w:spacing w:after="0" w:line="299"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if the NEO elects to continue medical coverage under COBRA, reimbursement of the total cost of the NEO’s premiums that would be required to provide health insurance coverage, for 24 months for the CEO and for 12 months for all other NEOs;</w:t>
      </w:r>
    </w:p>
    <w:p>
      <w:pPr>
        <w:ind w:left="200" w:right="20" w:hanging="192"/>
        <w:spacing w:after="0" w:line="271"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immediate acceleration of vesting of all of the NEO’s unvested stock options and RSUs; however, if the consideration to be received by stockholders of the Company in connection with the change in control consists of substantially all cash or if the stock options and RSUs held by the NEO are not assumed in the change in control, then all of the NEO’s then-unvested and outstanding stock options and RSUs shall vest immediately prior to the change in control regardless of whether or not there is a termination of employment in connection therewith; and</w:t>
      </w:r>
    </w:p>
    <w:p>
      <w:pPr>
        <w:spacing w:after="0" w:line="19" w:lineRule="exact"/>
        <w:rPr>
          <w:rFonts w:ascii="Arial" w:cs="Arial" w:eastAsia="Arial" w:hAnsi="Arial"/>
          <w:sz w:val="16"/>
          <w:szCs w:val="16"/>
          <w:color w:val="00497F"/>
        </w:rPr>
      </w:pPr>
    </w:p>
    <w:p>
      <w:pPr>
        <w:ind w:left="200" w:right="120" w:hanging="192"/>
        <w:spacing w:after="0" w:line="304"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immediate acceleration of vesting of the NEO’s unvested PSUs, and if the performance period has not been completed, the amount payable is computed as if the performance has been satisfied at the target level.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CIC Agreements include the following terms and conditions:</w:t>
      </w:r>
    </w:p>
    <w:p>
      <w:pPr>
        <w:spacing w:after="0" w:line="127" w:lineRule="exact"/>
        <w:rPr>
          <w:sz w:val="20"/>
          <w:szCs w:val="20"/>
          <w:color w:val="auto"/>
        </w:rPr>
      </w:pPr>
    </w:p>
    <w:p>
      <w:pPr>
        <w:ind w:left="200" w:hanging="192"/>
        <w:spacing w:after="0" w:line="260" w:lineRule="auto"/>
        <w:tabs>
          <w:tab w:leader="none" w:pos="17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to the extent any change in control payments or benefits are characterized as excess parachute payments within the meaning of Section 4999 of the Internal Revenue Code, and such characterization would subject the NEO to a federal excise tax due to that characterization, the NEO’s termination benefits will be reduced to an amount so that none of the amounts payable constitute excess parachute payments if this would result in the NEO’s receipt, on an after-tax basis, of a greater amount of termination and other benefits, after taking into account applicable federal, state and local taxes, including the excise tax under Section 4999 of the Internal Revenue Code;</w:t>
      </w:r>
    </w:p>
    <w:p>
      <w:pPr>
        <w:spacing w:after="0" w:line="42" w:lineRule="exact"/>
        <w:rPr>
          <w:rFonts w:ascii="Arial" w:cs="Arial" w:eastAsia="Arial" w:hAnsi="Arial"/>
          <w:sz w:val="16"/>
          <w:szCs w:val="16"/>
          <w:color w:val="00497F"/>
        </w:rPr>
      </w:pPr>
    </w:p>
    <w:p>
      <w:pPr>
        <w:ind w:left="200" w:right="300" w:hanging="192"/>
        <w:spacing w:after="0" w:line="286" w:lineRule="auto"/>
        <w:tabs>
          <w:tab w:leader="none" w:pos="170" w:val="left"/>
        </w:tabs>
        <w:numPr>
          <w:ilvl w:val="0"/>
          <w:numId w:val="42"/>
        </w:numPr>
        <w:rPr>
          <w:rFonts w:ascii="Arial" w:cs="Arial" w:eastAsia="Arial" w:hAnsi="Arial"/>
          <w:sz w:val="16"/>
          <w:szCs w:val="16"/>
          <w:color w:val="004A98"/>
        </w:rPr>
      </w:pPr>
      <w:r>
        <w:rPr>
          <w:rFonts w:ascii="Arial" w:cs="Arial" w:eastAsia="Arial" w:hAnsi="Arial"/>
          <w:sz w:val="16"/>
          <w:szCs w:val="16"/>
          <w:color w:val="auto"/>
        </w:rPr>
        <w:t>a one-year term with an automatic renewal for one-year periods unless the Board terminates the CIC Agreement at least 90 days before the end of the then-current term, provided that such termination shall not be effective until the last day of the then-current term; and</w:t>
      </w:r>
    </w:p>
    <w:p>
      <w:pPr>
        <w:spacing w:after="0" w:line="20" w:lineRule="exact"/>
        <w:rPr>
          <w:rFonts w:ascii="Arial" w:cs="Arial" w:eastAsia="Arial" w:hAnsi="Arial"/>
          <w:sz w:val="16"/>
          <w:szCs w:val="16"/>
          <w:color w:val="004A98"/>
        </w:rPr>
      </w:pPr>
    </w:p>
    <w:p>
      <w:pPr>
        <w:ind w:left="180" w:hanging="172"/>
        <w:spacing w:after="0"/>
        <w:tabs>
          <w:tab w:leader="none" w:pos="18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the NEO is prohibited from soliciting employees of Verisign or competing against Verisign for a period of 12 months following termination.</w:t>
      </w:r>
    </w:p>
    <w:p>
      <w:pPr>
        <w:spacing w:after="0" w:line="11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The following table shows the equity awards that would have vested for our NEOs as of December 31, 2023, as well as the additional cash compensation payable to our NEOs, if any, under the change in control and termination scenarios described above if a change in control had occurred on such date. The value of the accelerated equity is based on the closing price of our common stock on December 29, 2023, which was $205.96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20"/>
              <w:spacing w:after="0"/>
              <w:rPr>
                <w:sz w:val="20"/>
                <w:szCs w:val="20"/>
                <w:color w:val="auto"/>
              </w:rPr>
            </w:pPr>
            <w:r>
              <w:rPr>
                <w:rFonts w:ascii="Arial" w:cs="Arial" w:eastAsia="Arial" w:hAnsi="Arial"/>
                <w:sz w:val="13"/>
                <w:szCs w:val="13"/>
                <w:b w:val="1"/>
                <w:bCs w:val="1"/>
                <w:color w:val="004A98"/>
                <w:w w:val="99"/>
              </w:rPr>
              <w:t>TERMINATION AND CHANGE IN CONTROL BENEFIT ESTIMATES AS OF DECEMBER 31, 2023</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vMerge w:val="restart"/>
          </w:tcPr>
          <w:p>
            <w:pPr>
              <w:jc w:val="right"/>
              <w:ind w:right="314"/>
              <w:spacing w:after="0"/>
              <w:rPr>
                <w:sz w:val="20"/>
                <w:szCs w:val="20"/>
                <w:color w:val="auto"/>
              </w:rPr>
            </w:pPr>
            <w:r>
              <w:rPr>
                <w:rFonts w:ascii="Arial" w:cs="Arial" w:eastAsia="Arial" w:hAnsi="Arial"/>
                <w:sz w:val="13"/>
                <w:szCs w:val="13"/>
                <w:b w:val="1"/>
                <w:bCs w:val="1"/>
                <w:color w:val="auto"/>
              </w:rPr>
              <w:t>VALUE OF CASH AND CONTINUED</w:t>
            </w:r>
          </w:p>
        </w:tc>
        <w:tc>
          <w:tcPr>
            <w:tcW w:w="120" w:type="dxa"/>
            <w:vAlign w:val="bottom"/>
          </w:tcPr>
          <w:p>
            <w:pPr>
              <w:spacing w:after="0"/>
              <w:rPr>
                <w:sz w:val="20"/>
                <w:szCs w:val="20"/>
                <w:color w:val="auto"/>
              </w:rPr>
            </w:pPr>
          </w:p>
        </w:tc>
        <w:tc>
          <w:tcPr>
            <w:tcW w:w="23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VALUE OF ACCELERATED</w:t>
            </w: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880" w:type="dxa"/>
            <w:vAlign w:val="bottom"/>
          </w:tcPr>
          <w:p>
            <w:pPr>
              <w:jc w:val="right"/>
              <w:ind w:right="694"/>
              <w:spacing w:after="0"/>
              <w:rPr>
                <w:sz w:val="20"/>
                <w:szCs w:val="20"/>
                <w:color w:val="auto"/>
              </w:rPr>
            </w:pPr>
            <w:r>
              <w:rPr>
                <w:rFonts w:ascii="Arial" w:cs="Arial" w:eastAsia="Arial" w:hAnsi="Arial"/>
                <w:sz w:val="13"/>
                <w:szCs w:val="13"/>
                <w:b w:val="1"/>
                <w:bCs w:val="1"/>
                <w:color w:val="auto"/>
              </w:rPr>
              <w:t>HEALTH BENEFITS ($)</w:t>
            </w:r>
          </w:p>
        </w:tc>
        <w:tc>
          <w:tcPr>
            <w:tcW w:w="120" w:type="dxa"/>
            <w:vAlign w:val="bottom"/>
            <w:tcBorders>
              <w:right w:val="single" w:sz="8" w:color="auto"/>
            </w:tcBorders>
          </w:tcPr>
          <w:p>
            <w:pPr>
              <w:spacing w:after="0"/>
              <w:rPr>
                <w:sz w:val="14"/>
                <w:szCs w:val="14"/>
                <w:color w:val="auto"/>
              </w:rPr>
            </w:pPr>
          </w:p>
        </w:tc>
        <w:tc>
          <w:tcPr>
            <w:tcW w:w="2320" w:type="dxa"/>
            <w:vAlign w:val="bottom"/>
          </w:tcPr>
          <w:p>
            <w:pPr>
              <w:jc w:val="right"/>
              <w:ind w:right="494"/>
              <w:spacing w:after="0"/>
              <w:rPr>
                <w:sz w:val="20"/>
                <w:szCs w:val="20"/>
                <w:color w:val="auto"/>
              </w:rPr>
            </w:pPr>
            <w:r>
              <w:rPr>
                <w:rFonts w:ascii="Arial" w:cs="Arial" w:eastAsia="Arial" w:hAnsi="Arial"/>
                <w:sz w:val="13"/>
                <w:szCs w:val="13"/>
                <w:b w:val="1"/>
                <w:bCs w:val="1"/>
                <w:color w:val="auto"/>
              </w:rPr>
              <w:t>STOCK AWARDS ($)</w:t>
            </w:r>
          </w:p>
        </w:tc>
        <w:tc>
          <w:tcPr>
            <w:tcW w:w="0" w:type="dxa"/>
            <w:vAlign w:val="bottom"/>
          </w:tcPr>
          <w:p>
            <w:pPr>
              <w:spacing w:after="0"/>
              <w:rPr>
                <w:sz w:val="1"/>
                <w:szCs w:val="1"/>
                <w:color w:val="auto"/>
              </w:rPr>
            </w:pPr>
          </w:p>
        </w:tc>
      </w:tr>
      <w:tr>
        <w:trPr>
          <w:trHeight w:val="22"/>
        </w:trPr>
        <w:tc>
          <w:tcPr>
            <w:tcW w:w="5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DEATH, DISABILITY OR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CHANGE IN CONTROL</w:t>
            </w:r>
          </w:p>
        </w:tc>
        <w:tc>
          <w:tcPr>
            <w:tcW w:w="120" w:type="dxa"/>
            <w:vAlign w:val="bottom"/>
            <w:tcBorders>
              <w:right w:val="single" w:sz="8" w:color="auto"/>
            </w:tcBorders>
          </w:tcPr>
          <w:p>
            <w:pPr>
              <w:spacing w:after="0"/>
              <w:rPr>
                <w:sz w:val="12"/>
                <w:szCs w:val="12"/>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CHANGE IN CONTROL</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PLUS QUALIFYING</w:t>
            </w:r>
          </w:p>
        </w:tc>
        <w:tc>
          <w:tcPr>
            <w:tcW w:w="120" w:type="dxa"/>
            <w:vAlign w:val="bottom"/>
            <w:tcBorders>
              <w:right w:val="single" w:sz="8" w:color="auto"/>
            </w:tcBorders>
          </w:tcPr>
          <w:p>
            <w:pPr>
              <w:spacing w:after="0"/>
              <w:rPr>
                <w:sz w:val="12"/>
                <w:szCs w:val="12"/>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PLUS QUALIFYING</w:t>
            </w:r>
          </w:p>
        </w:tc>
        <w:tc>
          <w:tcPr>
            <w:tcW w:w="0" w:type="dxa"/>
            <w:vAlign w:val="bottom"/>
          </w:tcPr>
          <w:p>
            <w:pPr>
              <w:spacing w:after="0"/>
              <w:rPr>
                <w:sz w:val="1"/>
                <w:szCs w:val="1"/>
                <w:color w:val="auto"/>
              </w:rPr>
            </w:pPr>
          </w:p>
        </w:tc>
      </w:tr>
      <w:tr>
        <w:trPr>
          <w:trHeight w:val="207"/>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00" w:type="dxa"/>
            <w:vAlign w:val="bottom"/>
            <w:tcBorders>
              <w:right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TERMINATION</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8"/>
                <w:szCs w:val="18"/>
                <w:color w:val="auto"/>
              </w:rPr>
            </w:pPr>
          </w:p>
        </w:tc>
        <w:tc>
          <w:tcPr>
            <w:tcW w:w="2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TERMINATION</w:t>
            </w:r>
            <w:r>
              <w:rPr>
                <w:rFonts w:ascii="Arial" w:cs="Arial" w:eastAsia="Arial" w:hAnsi="Arial"/>
                <w:sz w:val="16"/>
                <w:szCs w:val="16"/>
                <w:b w:val="1"/>
                <w:bCs w:val="1"/>
                <w:color w:val="auto"/>
                <w:vertAlign w:val="superscript"/>
              </w:rPr>
              <w:t>(2)(3)</w:t>
            </w:r>
          </w:p>
        </w:tc>
        <w:tc>
          <w:tcPr>
            <w:tcW w:w="0" w:type="dxa"/>
            <w:vAlign w:val="bottom"/>
          </w:tcPr>
          <w:p>
            <w:pPr>
              <w:spacing w:after="0"/>
              <w:rPr>
                <w:sz w:val="1"/>
                <w:szCs w:val="1"/>
                <w:color w:val="auto"/>
              </w:rPr>
            </w:pPr>
          </w:p>
        </w:tc>
      </w:tr>
      <w:tr>
        <w:trPr>
          <w:trHeight w:val="195"/>
        </w:trPr>
        <w:tc>
          <w:tcPr>
            <w:tcW w:w="5820" w:type="dxa"/>
            <w:vAlign w:val="bottom"/>
            <w:tcBorders>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D. James Bidzos</w:t>
            </w:r>
          </w:p>
        </w:tc>
        <w:tc>
          <w:tcPr>
            <w:tcW w:w="100" w:type="dxa"/>
            <w:vAlign w:val="bottom"/>
            <w:tcBorders>
              <w:right w:val="single" w:sz="8" w:color="E6E7E8"/>
            </w:tcBorders>
          </w:tcPr>
          <w:p>
            <w:pPr>
              <w:spacing w:after="0"/>
              <w:rPr>
                <w:sz w:val="16"/>
                <w:szCs w:val="16"/>
                <w:color w:val="auto"/>
              </w:rPr>
            </w:pPr>
          </w:p>
        </w:tc>
        <w:tc>
          <w:tcPr>
            <w:tcW w:w="2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6,163,312</w:t>
            </w:r>
          </w:p>
        </w:tc>
        <w:tc>
          <w:tcPr>
            <w:tcW w:w="120" w:type="dxa"/>
            <w:vAlign w:val="bottom"/>
            <w:tcBorders>
              <w:right w:val="single" w:sz="8" w:color="E6E7E8"/>
            </w:tcBorders>
          </w:tcPr>
          <w:p>
            <w:pPr>
              <w:spacing w:after="0"/>
              <w:rPr>
                <w:sz w:val="16"/>
                <w:szCs w:val="16"/>
                <w:color w:val="auto"/>
              </w:rPr>
            </w:pPr>
          </w:p>
        </w:tc>
        <w:tc>
          <w:tcPr>
            <w:tcW w:w="2320" w:type="dxa"/>
            <w:vAlign w:val="bottom"/>
            <w:tcBorders>
              <w:bottom w:val="single" w:sz="8" w:color="939598"/>
            </w:tcBorders>
            <w:shd w:val="clear" w:color="auto" w:fill="E6E7E8"/>
          </w:tcPr>
          <w:p>
            <w:pPr>
              <w:jc w:val="right"/>
              <w:ind w:right="14"/>
              <w:spacing w:after="0"/>
              <w:rPr>
                <w:sz w:val="20"/>
                <w:szCs w:val="20"/>
                <w:color w:val="auto"/>
              </w:rPr>
            </w:pPr>
            <w:r>
              <w:rPr>
                <w:rFonts w:ascii="Arial" w:cs="Arial" w:eastAsia="Arial" w:hAnsi="Arial"/>
                <w:sz w:val="14"/>
                <w:szCs w:val="14"/>
                <w:color w:val="auto"/>
              </w:rPr>
              <w:t>22,868,769</w:t>
            </w:r>
          </w:p>
        </w:tc>
        <w:tc>
          <w:tcPr>
            <w:tcW w:w="0" w:type="dxa"/>
            <w:vAlign w:val="bottom"/>
          </w:tcPr>
          <w:p>
            <w:pPr>
              <w:spacing w:after="0"/>
              <w:rPr>
                <w:sz w:val="1"/>
                <w:szCs w:val="1"/>
                <w:color w:val="auto"/>
              </w:rPr>
            </w:pPr>
          </w:p>
        </w:tc>
      </w:tr>
      <w:tr>
        <w:trPr>
          <w:trHeight w:val="196"/>
        </w:trPr>
        <w:tc>
          <w:tcPr>
            <w:tcW w:w="5820" w:type="dxa"/>
            <w:vAlign w:val="bottom"/>
          </w:tcPr>
          <w:p>
            <w:pPr>
              <w:ind w:left="60"/>
              <w:spacing w:after="0"/>
              <w:rPr>
                <w:sz w:val="20"/>
                <w:szCs w:val="20"/>
                <w:color w:val="auto"/>
              </w:rPr>
            </w:pPr>
            <w:r>
              <w:rPr>
                <w:rFonts w:ascii="Arial" w:cs="Arial" w:eastAsia="Arial" w:hAnsi="Arial"/>
                <w:sz w:val="14"/>
                <w:szCs w:val="14"/>
                <w:b w:val="1"/>
                <w:bCs w:val="1"/>
                <w:color w:val="004A98"/>
              </w:rPr>
              <w:t>Todd B. Strubbe</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1,767,655</w:t>
            </w:r>
          </w:p>
        </w:tc>
        <w:tc>
          <w:tcPr>
            <w:tcW w:w="2440" w:type="dxa"/>
            <w:vAlign w:val="bottom"/>
            <w:gridSpan w:val="2"/>
          </w:tcPr>
          <w:p>
            <w:pPr>
              <w:jc w:val="right"/>
              <w:ind w:right="14"/>
              <w:spacing w:after="0"/>
              <w:rPr>
                <w:sz w:val="20"/>
                <w:szCs w:val="20"/>
                <w:color w:val="auto"/>
              </w:rPr>
            </w:pPr>
            <w:r>
              <w:rPr>
                <w:rFonts w:ascii="Arial" w:cs="Arial" w:eastAsia="Arial" w:hAnsi="Arial"/>
                <w:sz w:val="14"/>
                <w:szCs w:val="14"/>
                <w:color w:val="auto"/>
              </w:rPr>
              <w:t>8,162,607</w:t>
            </w:r>
          </w:p>
        </w:tc>
        <w:tc>
          <w:tcPr>
            <w:tcW w:w="0" w:type="dxa"/>
            <w:vAlign w:val="bottom"/>
          </w:tcPr>
          <w:p>
            <w:pPr>
              <w:spacing w:after="0"/>
              <w:rPr>
                <w:sz w:val="1"/>
                <w:szCs w:val="1"/>
                <w:color w:val="auto"/>
              </w:rPr>
            </w:pPr>
          </w:p>
        </w:tc>
      </w:tr>
      <w:tr>
        <w:trPr>
          <w:trHeight w:val="196"/>
        </w:trPr>
        <w:tc>
          <w:tcPr>
            <w:tcW w:w="582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George E. Kilguss, III</w:t>
            </w:r>
          </w:p>
        </w:tc>
        <w:tc>
          <w:tcPr>
            <w:tcW w:w="100" w:type="dxa"/>
            <w:vAlign w:val="bottom"/>
            <w:tcBorders>
              <w:right w:val="single" w:sz="8" w:color="E6E7E8"/>
            </w:tcBorders>
          </w:tcPr>
          <w:p>
            <w:pPr>
              <w:spacing w:after="0"/>
              <w:rPr>
                <w:sz w:val="17"/>
                <w:szCs w:val="17"/>
                <w:color w:val="auto"/>
              </w:rPr>
            </w:pPr>
          </w:p>
        </w:tc>
        <w:tc>
          <w:tcPr>
            <w:tcW w:w="2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1,646,668</w:t>
            </w:r>
          </w:p>
        </w:tc>
        <w:tc>
          <w:tcPr>
            <w:tcW w:w="120" w:type="dxa"/>
            <w:vAlign w:val="bottom"/>
            <w:tcBorders>
              <w:right w:val="single" w:sz="8" w:color="E6E7E8"/>
            </w:tcBorders>
          </w:tcPr>
          <w:p>
            <w:pPr>
              <w:spacing w:after="0"/>
              <w:rPr>
                <w:sz w:val="17"/>
                <w:szCs w:val="17"/>
                <w:color w:val="auto"/>
              </w:rPr>
            </w:pPr>
          </w:p>
        </w:tc>
        <w:tc>
          <w:tcPr>
            <w:tcW w:w="2320" w:type="dxa"/>
            <w:vAlign w:val="bottom"/>
            <w:tcBorders>
              <w:top w:val="single" w:sz="8" w:color="939598"/>
              <w:bottom w:val="single" w:sz="8" w:color="939598"/>
            </w:tcBorders>
            <w:shd w:val="clear" w:color="auto" w:fill="E6E7E8"/>
          </w:tcPr>
          <w:p>
            <w:pPr>
              <w:jc w:val="right"/>
              <w:ind w:right="14"/>
              <w:spacing w:after="0"/>
              <w:rPr>
                <w:sz w:val="20"/>
                <w:szCs w:val="20"/>
                <w:color w:val="auto"/>
              </w:rPr>
            </w:pPr>
            <w:r>
              <w:rPr>
                <w:rFonts w:ascii="Arial" w:cs="Arial" w:eastAsia="Arial" w:hAnsi="Arial"/>
                <w:sz w:val="14"/>
                <w:szCs w:val="14"/>
                <w:color w:val="auto"/>
              </w:rPr>
              <w:t>6,915,519</w:t>
            </w:r>
          </w:p>
        </w:tc>
        <w:tc>
          <w:tcPr>
            <w:tcW w:w="0" w:type="dxa"/>
            <w:vAlign w:val="bottom"/>
          </w:tcPr>
          <w:p>
            <w:pPr>
              <w:spacing w:after="0"/>
              <w:rPr>
                <w:sz w:val="1"/>
                <w:szCs w:val="1"/>
                <w:color w:val="auto"/>
              </w:rPr>
            </w:pPr>
          </w:p>
        </w:tc>
      </w:tr>
      <w:tr>
        <w:trPr>
          <w:trHeight w:val="196"/>
        </w:trPr>
        <w:tc>
          <w:tcPr>
            <w:tcW w:w="5820" w:type="dxa"/>
            <w:vAlign w:val="bottom"/>
          </w:tcPr>
          <w:p>
            <w:pPr>
              <w:ind w:left="60"/>
              <w:spacing w:after="0"/>
              <w:rPr>
                <w:sz w:val="20"/>
                <w:szCs w:val="20"/>
                <w:color w:val="auto"/>
              </w:rPr>
            </w:pPr>
            <w:r>
              <w:rPr>
                <w:rFonts w:ascii="Arial" w:cs="Arial" w:eastAsia="Arial" w:hAnsi="Arial"/>
                <w:sz w:val="14"/>
                <w:szCs w:val="14"/>
                <w:b w:val="1"/>
                <w:bCs w:val="1"/>
                <w:color w:val="004A98"/>
              </w:rPr>
              <w:t>Danny R. McPherson</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1,626,638</w:t>
            </w:r>
          </w:p>
        </w:tc>
        <w:tc>
          <w:tcPr>
            <w:tcW w:w="2440" w:type="dxa"/>
            <w:vAlign w:val="bottom"/>
            <w:gridSpan w:val="2"/>
          </w:tcPr>
          <w:p>
            <w:pPr>
              <w:jc w:val="right"/>
              <w:ind w:right="14"/>
              <w:spacing w:after="0"/>
              <w:rPr>
                <w:sz w:val="20"/>
                <w:szCs w:val="20"/>
                <w:color w:val="auto"/>
              </w:rPr>
            </w:pPr>
            <w:r>
              <w:rPr>
                <w:rFonts w:ascii="Arial" w:cs="Arial" w:eastAsia="Arial" w:hAnsi="Arial"/>
                <w:sz w:val="14"/>
                <w:szCs w:val="14"/>
                <w:color w:val="auto"/>
              </w:rPr>
              <w:t>6,403,297</w:t>
            </w:r>
          </w:p>
        </w:tc>
        <w:tc>
          <w:tcPr>
            <w:tcW w:w="0" w:type="dxa"/>
            <w:vAlign w:val="bottom"/>
          </w:tcPr>
          <w:p>
            <w:pPr>
              <w:spacing w:after="0"/>
              <w:rPr>
                <w:sz w:val="1"/>
                <w:szCs w:val="1"/>
                <w:color w:val="auto"/>
              </w:rPr>
            </w:pPr>
          </w:p>
        </w:tc>
      </w:tr>
      <w:tr>
        <w:trPr>
          <w:trHeight w:val="196"/>
        </w:trPr>
        <w:tc>
          <w:tcPr>
            <w:tcW w:w="582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Thomas C. Indelicarto</w:t>
            </w:r>
          </w:p>
        </w:tc>
        <w:tc>
          <w:tcPr>
            <w:tcW w:w="100" w:type="dxa"/>
            <w:vAlign w:val="bottom"/>
            <w:tcBorders>
              <w:right w:val="single" w:sz="8" w:color="E6E7E8"/>
            </w:tcBorders>
          </w:tcPr>
          <w:p>
            <w:pPr>
              <w:spacing w:after="0"/>
              <w:rPr>
                <w:sz w:val="17"/>
                <w:szCs w:val="17"/>
                <w:color w:val="auto"/>
              </w:rPr>
            </w:pPr>
          </w:p>
        </w:tc>
        <w:tc>
          <w:tcPr>
            <w:tcW w:w="2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1,626,585</w:t>
            </w:r>
          </w:p>
        </w:tc>
        <w:tc>
          <w:tcPr>
            <w:tcW w:w="120" w:type="dxa"/>
            <w:vAlign w:val="bottom"/>
            <w:tcBorders>
              <w:right w:val="single" w:sz="8" w:color="E6E7E8"/>
            </w:tcBorders>
          </w:tcPr>
          <w:p>
            <w:pPr>
              <w:spacing w:after="0"/>
              <w:rPr>
                <w:sz w:val="17"/>
                <w:szCs w:val="17"/>
                <w:color w:val="auto"/>
              </w:rPr>
            </w:pPr>
          </w:p>
        </w:tc>
        <w:tc>
          <w:tcPr>
            <w:tcW w:w="2320" w:type="dxa"/>
            <w:vAlign w:val="bottom"/>
            <w:tcBorders>
              <w:top w:val="single" w:sz="8" w:color="939598"/>
              <w:bottom w:val="single" w:sz="8" w:color="939598"/>
            </w:tcBorders>
            <w:shd w:val="clear" w:color="auto" w:fill="E6E7E8"/>
          </w:tcPr>
          <w:p>
            <w:pPr>
              <w:jc w:val="right"/>
              <w:ind w:right="14"/>
              <w:spacing w:after="0"/>
              <w:rPr>
                <w:sz w:val="20"/>
                <w:szCs w:val="20"/>
                <w:color w:val="auto"/>
              </w:rPr>
            </w:pPr>
            <w:r>
              <w:rPr>
                <w:rFonts w:ascii="Arial" w:cs="Arial" w:eastAsia="Arial" w:hAnsi="Arial"/>
                <w:sz w:val="14"/>
                <w:szCs w:val="14"/>
                <w:color w:val="auto"/>
              </w:rPr>
              <w:t>6,178,182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40" w:hanging="252"/>
        <w:spacing w:after="0" w:line="234" w:lineRule="auto"/>
        <w:tabs>
          <w:tab w:leader="none" w:pos="25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To the extent any payments made or benefits provided upon termination of an NEO’s employment constitute deferred compensation subject to Section 409A of the Internal Revenue Code, payment of such amounts or provision of such benefits will be delayed for six months after the NEOs separation from service if and to the extent required under Section 409A of the Internal Revenue Code.</w:t>
      </w:r>
    </w:p>
    <w:p>
      <w:pPr>
        <w:spacing w:after="0" w:line="53" w:lineRule="exact"/>
        <w:rPr>
          <w:rFonts w:ascii="Arial" w:cs="Arial" w:eastAsia="Arial" w:hAnsi="Arial"/>
          <w:sz w:val="19"/>
          <w:szCs w:val="19"/>
          <w:color w:val="auto"/>
          <w:vertAlign w:val="superscript"/>
        </w:rPr>
      </w:pPr>
    </w:p>
    <w:p>
      <w:pPr>
        <w:ind w:left="260" w:right="180" w:hanging="252"/>
        <w:spacing w:after="0" w:line="283" w:lineRule="auto"/>
        <w:tabs>
          <w:tab w:leader="none" w:pos="250" w:val="left"/>
        </w:tabs>
        <w:numPr>
          <w:ilvl w:val="0"/>
          <w:numId w:val="43"/>
        </w:numPr>
        <w:rPr>
          <w:rFonts w:ascii="Arial" w:cs="Arial" w:eastAsia="Arial" w:hAnsi="Arial"/>
          <w:sz w:val="9"/>
          <w:szCs w:val="9"/>
          <w:color w:val="auto"/>
        </w:rPr>
      </w:pPr>
      <w:r>
        <w:rPr>
          <w:rFonts w:ascii="Arial" w:cs="Arial" w:eastAsia="Arial" w:hAnsi="Arial"/>
          <w:sz w:val="14"/>
          <w:szCs w:val="14"/>
          <w:color w:val="auto"/>
        </w:rPr>
        <w:t>If the equity awards held by the NEO are not assumed upon a change in control or the consideration to be received by stockholders consists of substantially all cash, then all such equity awards shall have their vesting and exercisability accelerated in full immediately prior to the change in control regardless of whether there is a qualifying termination.</w:t>
      </w:r>
    </w:p>
    <w:p>
      <w:pPr>
        <w:spacing w:after="0" w:line="24" w:lineRule="exact"/>
        <w:rPr>
          <w:rFonts w:ascii="Arial" w:cs="Arial" w:eastAsia="Arial" w:hAnsi="Arial"/>
          <w:sz w:val="9"/>
          <w:szCs w:val="9"/>
          <w:color w:val="auto"/>
        </w:rPr>
      </w:pPr>
    </w:p>
    <w:p>
      <w:pPr>
        <w:ind w:left="260" w:right="60" w:hanging="252"/>
        <w:spacing w:after="0" w:line="231" w:lineRule="auto"/>
        <w:tabs>
          <w:tab w:leader="none" w:pos="25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All unvested PSUs included in the amounts accelerated are shown at the target achievement levels as achievement of the performance criteria had not been certified by the Compensation Committee as of December 31, 2023.</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Equity Compensation Plan Information</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sets forth information about our common stock that may be issued upon the exercise of options, warrants, and rights under our existing equity compensation plans as of December 31,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17165"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7165" cy="14541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compensation plans approved by stockholders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7171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17165" cy="12890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4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8255" cy="9512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95123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3"/>
                <w:szCs w:val="13"/>
                <w:b w:val="1"/>
                <w:bCs w:val="1"/>
                <w:color w:val="auto"/>
              </w:rPr>
              <w:t>(A)</w:t>
            </w:r>
          </w:p>
        </w:tc>
        <w:tc>
          <w:tcPr>
            <w:tcW w:w="120" w:type="dxa"/>
            <w:vAlign w:val="bottom"/>
            <w:tcBorders>
              <w:top w:val="single" w:sz="8" w:color="auto"/>
              <w:right w:val="single" w:sz="8" w:color="050505"/>
            </w:tcBorders>
          </w:tcPr>
          <w:p>
            <w:pPr>
              <w:spacing w:after="0"/>
              <w:rPr>
                <w:sz w:val="15"/>
                <w:szCs w:val="15"/>
                <w:color w:val="auto"/>
              </w:rPr>
            </w:pPr>
          </w:p>
        </w:tc>
        <w:tc>
          <w:tcPr>
            <w:tcW w:w="194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3"/>
                <w:szCs w:val="13"/>
                <w:b w:val="1"/>
                <w:bCs w:val="1"/>
                <w:color w:val="auto"/>
              </w:rPr>
              <w:t>(B)</w:t>
            </w:r>
          </w:p>
        </w:tc>
        <w:tc>
          <w:tcPr>
            <w:tcW w:w="120" w:type="dxa"/>
            <w:vAlign w:val="bottom"/>
            <w:tcBorders>
              <w:top w:val="single" w:sz="8" w:color="auto"/>
              <w:right w:val="single" w:sz="8" w:color="050505"/>
            </w:tcBorders>
          </w:tcPr>
          <w:p>
            <w:pPr>
              <w:spacing w:after="0"/>
              <w:rPr>
                <w:sz w:val="15"/>
                <w:szCs w:val="15"/>
                <w:color w:val="auto"/>
              </w:rPr>
            </w:pPr>
          </w:p>
        </w:tc>
        <w:tc>
          <w:tcPr>
            <w:tcW w:w="22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3"/>
                <w:szCs w:val="13"/>
                <w:b w:val="1"/>
                <w:bCs w:val="1"/>
                <w:color w:val="auto"/>
              </w:rPr>
              <w:t>(C)</w:t>
            </w:r>
          </w:p>
        </w:tc>
      </w:tr>
      <w:tr>
        <w:trPr>
          <w:trHeight w:val="153"/>
        </w:trPr>
        <w:tc>
          <w:tcPr>
            <w:tcW w:w="2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2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REMAINING AVAILABLE</w:t>
            </w:r>
          </w:p>
        </w:tc>
      </w:tr>
      <w:tr>
        <w:trPr>
          <w:trHeight w:val="148"/>
        </w:trPr>
        <w:tc>
          <w:tcPr>
            <w:tcW w:w="2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FOR FUTURE ISSUANCE</w:t>
            </w:r>
          </w:p>
        </w:tc>
      </w:tr>
      <w:tr>
        <w:trPr>
          <w:trHeight w:val="148"/>
        </w:trPr>
        <w:tc>
          <w:tcPr>
            <w:tcW w:w="2460" w:type="dxa"/>
            <w:vAlign w:val="bottom"/>
          </w:tcPr>
          <w:p>
            <w:pPr>
              <w:jc w:val="right"/>
              <w:spacing w:after="0"/>
              <w:rPr>
                <w:sz w:val="20"/>
                <w:szCs w:val="20"/>
                <w:color w:val="auto"/>
              </w:rPr>
            </w:pPr>
            <w:r>
              <w:rPr>
                <w:rFonts w:ascii="Arial" w:cs="Arial" w:eastAsia="Arial" w:hAnsi="Arial"/>
                <w:sz w:val="13"/>
                <w:szCs w:val="13"/>
                <w:b w:val="1"/>
                <w:bCs w:val="1"/>
                <w:color w:val="auto"/>
              </w:rPr>
              <w:t>NUMBER OF SECURITIES</w:t>
            </w:r>
          </w:p>
        </w:tc>
        <w:tc>
          <w:tcPr>
            <w:tcW w:w="120" w:type="dxa"/>
            <w:vAlign w:val="bottom"/>
            <w:tcBorders>
              <w:right w:val="single" w:sz="8" w:color="auto"/>
            </w:tcBorders>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WEIGHTED-AVERAGE</w:t>
            </w: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UNDER EQUITY</w:t>
            </w:r>
          </w:p>
        </w:tc>
      </w:tr>
      <w:tr>
        <w:trPr>
          <w:trHeight w:val="162"/>
        </w:trPr>
        <w:tc>
          <w:tcPr>
            <w:tcW w:w="2460" w:type="dxa"/>
            <w:vAlign w:val="bottom"/>
          </w:tcPr>
          <w:p>
            <w:pPr>
              <w:jc w:val="right"/>
              <w:spacing w:after="0"/>
              <w:rPr>
                <w:sz w:val="20"/>
                <w:szCs w:val="20"/>
                <w:color w:val="auto"/>
              </w:rPr>
            </w:pPr>
            <w:r>
              <w:rPr>
                <w:rFonts w:ascii="Arial" w:cs="Arial" w:eastAsia="Arial" w:hAnsi="Arial"/>
                <w:sz w:val="13"/>
                <w:szCs w:val="13"/>
                <w:b w:val="1"/>
                <w:bCs w:val="1"/>
                <w:color w:val="auto"/>
              </w:rPr>
              <w:t>TO BE ISSUED UPON EXERCISE</w:t>
            </w:r>
          </w:p>
        </w:tc>
        <w:tc>
          <w:tcPr>
            <w:tcW w:w="120" w:type="dxa"/>
            <w:vAlign w:val="bottom"/>
            <w:tcBorders>
              <w:right w:val="single" w:sz="8" w:color="auto"/>
            </w:tcBorders>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EXERCISE PRICE OF</w:t>
            </w:r>
          </w:p>
        </w:tc>
        <w:tc>
          <w:tcPr>
            <w:tcW w:w="120" w:type="dxa"/>
            <w:vAlign w:val="bottom"/>
            <w:tcBorders>
              <w:right w:val="single" w:sz="8" w:color="auto"/>
            </w:tcBorders>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COMPENSATION PLANS</w:t>
            </w:r>
          </w:p>
        </w:tc>
      </w:tr>
      <w:tr>
        <w:trPr>
          <w:trHeight w:val="138"/>
        </w:trPr>
        <w:tc>
          <w:tcPr>
            <w:tcW w:w="24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OF OUTSTANDING OPTIONS,</w:t>
            </w:r>
          </w:p>
        </w:tc>
        <w:tc>
          <w:tcPr>
            <w:tcW w:w="120" w:type="dxa"/>
            <w:vAlign w:val="bottom"/>
            <w:tcBorders>
              <w:right w:val="single" w:sz="8" w:color="auto"/>
            </w:tcBorders>
          </w:tcPr>
          <w:p>
            <w:pPr>
              <w:spacing w:after="0"/>
              <w:rPr>
                <w:sz w:val="12"/>
                <w:szCs w:val="12"/>
                <w:color w:val="auto"/>
              </w:rPr>
            </w:pPr>
          </w:p>
        </w:tc>
        <w:tc>
          <w:tcPr>
            <w:tcW w:w="19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OUTSTANDING OPTIONS,</w:t>
            </w: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(EXCLUDING SECURITIES</w:t>
            </w:r>
          </w:p>
        </w:tc>
      </w:tr>
      <w:tr>
        <w:trPr>
          <w:trHeight w:val="204"/>
        </w:trPr>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WARRANTS AND RIGHTS</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WARRANTS AND RIGHTS</w:t>
            </w:r>
          </w:p>
        </w:tc>
        <w:tc>
          <w:tcPr>
            <w:tcW w:w="120" w:type="dxa"/>
            <w:vAlign w:val="bottom"/>
            <w:tcBorders>
              <w:right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REFLECTED IN COLUMN (A))</w:t>
            </w:r>
          </w:p>
        </w:tc>
      </w:tr>
      <w:tr>
        <w:trPr>
          <w:trHeight w:val="209"/>
        </w:trPr>
        <w:tc>
          <w:tcPr>
            <w:tcW w:w="24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667,477</w:t>
            </w:r>
          </w:p>
        </w:tc>
        <w:tc>
          <w:tcPr>
            <w:tcW w:w="120" w:type="dxa"/>
            <w:vAlign w:val="bottom"/>
            <w:tcBorders>
              <w:right w:val="single" w:sz="8" w:color="E5E5E5"/>
            </w:tcBorders>
          </w:tcPr>
          <w:p>
            <w:pPr>
              <w:spacing w:after="0"/>
              <w:rPr>
                <w:sz w:val="18"/>
                <w:szCs w:val="18"/>
                <w:color w:val="auto"/>
              </w:rPr>
            </w:pPr>
          </w:p>
        </w:tc>
        <w:tc>
          <w:tcPr>
            <w:tcW w:w="19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Borders>
              <w:right w:val="single" w:sz="8" w:color="E5E5E5"/>
            </w:tcBorders>
          </w:tcPr>
          <w:p>
            <w:pPr>
              <w:spacing w:after="0"/>
              <w:rPr>
                <w:sz w:val="18"/>
                <w:szCs w:val="18"/>
                <w:color w:val="auto"/>
              </w:rPr>
            </w:pPr>
          </w:p>
        </w:tc>
        <w:tc>
          <w:tcPr>
            <w:tcW w:w="22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9,703,738</w:t>
            </w:r>
            <w:r>
              <w:rPr>
                <w:rFonts w:ascii="Arial" w:cs="Arial" w:eastAsia="Arial" w:hAnsi="Arial"/>
                <w:sz w:val="17"/>
                <w:szCs w:val="17"/>
                <w:color w:val="auto"/>
                <w:vertAlign w:val="superscript"/>
              </w:rPr>
              <w:t>(3)</w:t>
            </w:r>
          </w:p>
        </w:tc>
      </w:tr>
      <w:tr>
        <w:trPr>
          <w:trHeight w:val="177"/>
        </w:trPr>
        <w:tc>
          <w:tcPr>
            <w:tcW w:w="24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5"/>
                <w:szCs w:val="15"/>
                <w:color w:val="auto"/>
              </w:rPr>
            </w:pPr>
          </w:p>
        </w:tc>
        <w:tc>
          <w:tcPr>
            <w:tcW w:w="22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667,477</w:t>
            </w:r>
          </w:p>
        </w:tc>
        <w:tc>
          <w:tcPr>
            <w:tcW w:w="120" w:type="dxa"/>
            <w:vAlign w:val="bottom"/>
            <w:tcBorders>
              <w:right w:val="single" w:sz="8" w:color="E5E5E5"/>
            </w:tcBorders>
          </w:tcPr>
          <w:p>
            <w:pPr>
              <w:spacing w:after="0"/>
              <w:rPr>
                <w:sz w:val="15"/>
                <w:szCs w:val="15"/>
                <w:color w:val="auto"/>
              </w:rPr>
            </w:pPr>
          </w:p>
        </w:tc>
        <w:tc>
          <w:tcPr>
            <w:tcW w:w="19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Borders>
              <w:right w:val="single" w:sz="8" w:color="E5E5E5"/>
            </w:tcBorders>
          </w:tcPr>
          <w:p>
            <w:pPr>
              <w:spacing w:after="0"/>
              <w:rPr>
                <w:sz w:val="15"/>
                <w:szCs w:val="15"/>
                <w:color w:val="auto"/>
              </w:rPr>
            </w:pPr>
          </w:p>
        </w:tc>
        <w:tc>
          <w:tcPr>
            <w:tcW w:w="22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9,703,738</w:t>
            </w:r>
          </w:p>
        </w:tc>
      </w:tr>
    </w:tbl>
    <w:p>
      <w:pPr>
        <w:spacing w:after="0" w:line="180" w:lineRule="exact"/>
        <w:rPr>
          <w:sz w:val="20"/>
          <w:szCs w:val="20"/>
          <w:color w:val="auto"/>
        </w:rPr>
      </w:pPr>
    </w:p>
    <w:p>
      <w:pPr>
        <w:sectPr>
          <w:pgSz w:w="11900" w:h="16838" w:orient="portrait"/>
          <w:cols w:equalWidth="0" w:num="2">
            <w:col w:w="3660" w:space="720"/>
            <w:col w:w="6860"/>
          </w:cols>
          <w:pgMar w:left="320" w:top="122" w:right="339" w:bottom="1440" w:gutter="0" w:footer="0" w:header="0"/>
          <w:type w:val="continuous"/>
        </w:sectPr>
      </w:pPr>
    </w:p>
    <w:p>
      <w:pPr>
        <w:ind w:left="260" w:right="340" w:hanging="252"/>
        <w:spacing w:after="0" w:line="283" w:lineRule="auto"/>
        <w:tabs>
          <w:tab w:leader="none" w:pos="264" w:val="left"/>
        </w:tabs>
        <w:numPr>
          <w:ilvl w:val="0"/>
          <w:numId w:val="44"/>
        </w:numPr>
        <w:rPr>
          <w:rFonts w:ascii="Arial" w:cs="Arial" w:eastAsia="Arial" w:hAnsi="Arial"/>
          <w:sz w:val="9"/>
          <w:szCs w:val="9"/>
          <w:color w:val="auto"/>
        </w:rPr>
      </w:pPr>
      <w:r>
        <w:rPr>
          <w:rFonts w:ascii="Arial" w:cs="Arial" w:eastAsia="Arial" w:hAnsi="Arial"/>
          <w:sz w:val="14"/>
          <w:szCs w:val="14"/>
          <w:color w:val="auto"/>
        </w:rPr>
        <w:t>Only includes shares subject to RSUs and the target number of shares subject to PSUs outstanding as of December 31, 2023 that were granted under the 2006 Plan. Excludes purchase rights accruing under the 2007 Employee Stock Purchase Plan (the “2007 Purchase Plan”), which has a remaining stockholder-approved reserve of 2,833,330 shares as of December 31, 2023. There are no outstanding options or warrants.</w:t>
      </w:r>
    </w:p>
    <w:p>
      <w:pPr>
        <w:ind w:left="280" w:hanging="272"/>
        <w:spacing w:after="0"/>
        <w:tabs>
          <w:tab w:leader="none" w:pos="28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Includes the 2006 Plan and the 2007 Purchase Plan.</w:t>
      </w:r>
    </w:p>
    <w:p>
      <w:pPr>
        <w:spacing w:after="0" w:line="57" w:lineRule="exact"/>
        <w:rPr>
          <w:rFonts w:ascii="Arial" w:cs="Arial" w:eastAsia="Arial" w:hAnsi="Arial"/>
          <w:sz w:val="19"/>
          <w:szCs w:val="19"/>
          <w:color w:val="auto"/>
          <w:vertAlign w:val="superscript"/>
        </w:rPr>
      </w:pPr>
    </w:p>
    <w:p>
      <w:pPr>
        <w:ind w:left="260" w:right="20" w:hanging="252"/>
        <w:spacing w:after="0" w:line="239" w:lineRule="auto"/>
        <w:tabs>
          <w:tab w:leader="none" w:pos="264"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Consists of shares available for future issuance under the 2006 Plan and the 2007 Purchase Plan. As of December 31, 2023, an aggregate of 6,870,408 shares and 2,833,330 shares of common stock were available for issuance under the 2006 Plan and the 2007 Purchase Plan, respectively, including 50,305 shares purchased under the 2007 Purchase Plan in January 2024. In addition to options and RSUs, shares can be granted under the 2006 Plan pursuant to stock appreciation rights, restricted stock awards, stock bonuses and performance shares.</w:t>
      </w: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CEO Pay Ratio</w:t>
      </w:r>
    </w:p>
    <w:p>
      <w:pPr>
        <w:spacing w:after="0" w:line="148"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Item 402(u) of Regulation S-K requires disclosure of the ratio of the annual total compensation of our CEO, Mr. Bidzos, to the annual total compensation of our median employee. For 2023, the annual total compensation of the median employee was $217,196 and the annual total compensation of our CEO, as reported in the Summary Compensation Table in “Executive Compensation” above in this Proxy Statement, was $12,245,901.</w:t>
      </w:r>
    </w:p>
    <w:p>
      <w:pPr>
        <w:spacing w:after="0" w:line="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Based on this information for 2023, the ratio of our CEO’s annual total compensation to the annual total compensation of our median employee was 56:1. We believe this pay ratio is a reasonable estimate calculated in a manner consistent with applicable rules of the Securities and Exchange Commission (the “SEC”) using the data and assumptions summarized below.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2023 median employee was determined based on the total 2023 target direct compensation for all of our employees (other than our CEO), who were employed as of December 31, 2023, consistent with the approach taken for our 2022 CEO pay ratio determination. For purposes of this pay ratio, we defined target direct compensation as the sum of annual base salary determined as of December 31, 2023, target annual bonus for the 2023 performance year, and the grant date value of annual equity grants in 2023. We applied our compensation measure consistently to all of our employees. Salaries for international employees were converted to U.S. dollars based on the applicable foreign exchange rates as of December 31, 2023. Once we identified our 2023 median employee, we then determined that employee’s annual total compensation in the same manner that we determine the total compensation of our NEOs for purposes of the Summary Compensation Table disclosed above. This 2023 total compensation amount for our median employee was then compared to the 2023 total compensation of our CEO as reported in the Summary Compensation Table to determine the pay ratio.</w:t>
      </w:r>
    </w:p>
    <w:p>
      <w:pPr>
        <w:spacing w:after="0" w:line="29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Pay Versus Performance</w:t>
      </w:r>
    </w:p>
    <w:p>
      <w:pPr>
        <w:spacing w:after="0" w:line="148" w:lineRule="exact"/>
        <w:rPr>
          <w:sz w:val="20"/>
          <w:szCs w:val="20"/>
          <w:color w:val="auto"/>
        </w:rPr>
      </w:pPr>
    </w:p>
    <w:p>
      <w:pPr>
        <w:ind w:right="820"/>
        <w:spacing w:after="0" w:line="275" w:lineRule="auto"/>
        <w:rPr>
          <w:sz w:val="20"/>
          <w:szCs w:val="20"/>
          <w:color w:val="auto"/>
        </w:rPr>
      </w:pPr>
      <w:r>
        <w:rPr>
          <w:rFonts w:ascii="Arial" w:cs="Arial" w:eastAsia="Arial" w:hAnsi="Arial"/>
          <w:sz w:val="16"/>
          <w:szCs w:val="16"/>
          <w:color w:val="auto"/>
        </w:rPr>
        <w:t>In accordance with Item 402(v) of Regulation S-K, the following table sets forth the specified executive compensation for our NEOs and financial performance measures for 2023, 2022, 2021 and 2020. For additional information regarding how we align executive compensation with Company performance, see “Compensation Discussion and Analysis” of this Proxy Statement.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00" w:type="dxa"/>
            <w:vAlign w:val="bottom"/>
            <w:tcBorders>
              <w:right w:val="single" w:sz="8" w:color="auto"/>
            </w:tcBorders>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AVERAGE</w:t>
            </w:r>
          </w:p>
        </w:tc>
        <w:tc>
          <w:tcPr>
            <w:tcW w:w="120" w:type="dxa"/>
            <w:vAlign w:val="bottom"/>
            <w:tcBorders>
              <w:right w:val="single" w:sz="8" w:color="auto"/>
            </w:tcBorders>
          </w:tcPr>
          <w:p>
            <w:pPr>
              <w:spacing w:after="0"/>
              <w:rPr>
                <w:sz w:val="12"/>
                <w:szCs w:val="12"/>
                <w:color w:val="auto"/>
              </w:rPr>
            </w:pPr>
          </w:p>
        </w:tc>
        <w:tc>
          <w:tcPr>
            <w:tcW w:w="2480" w:type="dxa"/>
            <w:vAlign w:val="bottom"/>
            <w:gridSpan w:val="3"/>
            <w:vMerge w:val="restart"/>
          </w:tcPr>
          <w:p>
            <w:pPr>
              <w:jc w:val="right"/>
              <w:ind w:right="337"/>
              <w:spacing w:after="0"/>
              <w:rPr>
                <w:sz w:val="20"/>
                <w:szCs w:val="20"/>
                <w:color w:val="auto"/>
              </w:rPr>
            </w:pPr>
            <w:r>
              <w:rPr>
                <w:rFonts w:ascii="Arial" w:cs="Arial" w:eastAsia="Arial" w:hAnsi="Arial"/>
                <w:sz w:val="12"/>
                <w:szCs w:val="12"/>
                <w:b w:val="1"/>
                <w:bCs w:val="1"/>
                <w:color w:val="auto"/>
              </w:rPr>
              <w:t>VALUE OF INITIAL FIXED $100</w:t>
            </w:r>
          </w:p>
        </w:tc>
        <w:tc>
          <w:tcPr>
            <w:tcW w:w="12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tcPr>
          <w:p>
            <w:pPr>
              <w:ind w:left="320"/>
              <w:spacing w:after="0"/>
              <w:rPr>
                <w:sz w:val="20"/>
                <w:szCs w:val="20"/>
                <w:color w:val="auto"/>
              </w:rPr>
            </w:pPr>
            <w:r>
              <w:rPr>
                <w:rFonts w:ascii="Arial" w:cs="Arial" w:eastAsia="Arial" w:hAnsi="Arial"/>
                <w:sz w:val="12"/>
                <w:szCs w:val="12"/>
                <w:b w:val="1"/>
                <w:bCs w:val="1"/>
                <w:color w:val="auto"/>
              </w:rPr>
              <w:t>COMPANY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SUMMARY</w:t>
            </w:r>
          </w:p>
        </w:tc>
        <w:tc>
          <w:tcPr>
            <w:tcW w:w="100" w:type="dxa"/>
            <w:vAlign w:val="bottom"/>
            <w:tcBorders>
              <w:right w:val="single" w:sz="8" w:color="auto"/>
            </w:tcBorders>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ind w:left="300"/>
              <w:spacing w:after="0" w:line="122" w:lineRule="exact"/>
              <w:rPr>
                <w:sz w:val="20"/>
                <w:szCs w:val="20"/>
                <w:color w:val="auto"/>
              </w:rPr>
            </w:pPr>
            <w:r>
              <w:rPr>
                <w:rFonts w:ascii="Arial" w:cs="Arial" w:eastAsia="Arial" w:hAnsi="Arial"/>
                <w:sz w:val="12"/>
                <w:szCs w:val="12"/>
                <w:b w:val="1"/>
                <w:bCs w:val="1"/>
                <w:color w:val="auto"/>
                <w:w w:val="99"/>
              </w:rPr>
              <w:t>SELECTED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COMPENSATION</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2480" w:type="dxa"/>
            <w:vAlign w:val="bottom"/>
            <w:gridSpan w:val="3"/>
          </w:tcPr>
          <w:p>
            <w:pPr>
              <w:jc w:val="right"/>
              <w:ind w:right="417"/>
              <w:spacing w:after="0" w:line="122" w:lineRule="exact"/>
              <w:rPr>
                <w:sz w:val="20"/>
                <w:szCs w:val="20"/>
                <w:color w:val="auto"/>
              </w:rPr>
            </w:pPr>
            <w:r>
              <w:rPr>
                <w:rFonts w:ascii="Arial" w:cs="Arial" w:eastAsia="Arial" w:hAnsi="Arial"/>
                <w:sz w:val="11"/>
                <w:szCs w:val="11"/>
                <w:b w:val="1"/>
                <w:bCs w:val="1"/>
                <w:color w:val="auto"/>
              </w:rPr>
              <w:t>INVESTMENT BASED ON</w:t>
            </w:r>
            <w:r>
              <w:rPr>
                <w:rFonts w:ascii="Arial" w:cs="Arial" w:eastAsia="Arial" w:hAnsi="Arial"/>
                <w:sz w:val="14"/>
                <w:szCs w:val="14"/>
                <w:b w:val="1"/>
                <w:bCs w:val="1"/>
                <w:color w:val="auto"/>
                <w:vertAlign w:val="superscript"/>
              </w:rPr>
              <w:t>(3)</w:t>
            </w:r>
            <w:r>
              <w:rPr>
                <w:rFonts w:ascii="Arial" w:cs="Arial" w:eastAsia="Arial" w:hAnsi="Arial"/>
                <w:sz w:val="11"/>
                <w:szCs w:val="11"/>
                <w:b w:val="1"/>
                <w:bCs w:val="1"/>
                <w:color w:val="auto"/>
              </w:rPr>
              <w:t>:</w:t>
            </w: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ind w:left="320"/>
              <w:spacing w:after="0" w:line="122" w:lineRule="exact"/>
              <w:rPr>
                <w:sz w:val="20"/>
                <w:szCs w:val="20"/>
                <w:color w:val="auto"/>
              </w:rPr>
            </w:pPr>
            <w:r>
              <w:rPr>
                <w:rFonts w:ascii="Arial" w:cs="Arial" w:eastAsia="Arial" w:hAnsi="Arial"/>
                <w:sz w:val="12"/>
                <w:szCs w:val="12"/>
                <w:b w:val="1"/>
                <w:bCs w:val="1"/>
                <w:color w:val="auto"/>
              </w:rPr>
              <w:t>MEASURE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40" w:type="dxa"/>
            <w:vAlign w:val="bottom"/>
          </w:tcPr>
          <w:p>
            <w:pPr>
              <w:jc w:val="right"/>
              <w:spacing w:after="0" w:line="61" w:lineRule="exact"/>
              <w:rPr>
                <w:sz w:val="20"/>
                <w:szCs w:val="20"/>
                <w:color w:val="auto"/>
              </w:rPr>
            </w:pPr>
            <w:r>
              <w:rPr>
                <w:rFonts w:ascii="Arial" w:cs="Arial" w:eastAsia="Arial" w:hAnsi="Arial"/>
                <w:sz w:val="7"/>
                <w:szCs w:val="7"/>
                <w:b w:val="1"/>
                <w:bCs w:val="1"/>
                <w:color w:val="auto"/>
              </w:rPr>
              <w:t>TABLE TOTAL</w:t>
            </w:r>
          </w:p>
        </w:tc>
        <w:tc>
          <w:tcPr>
            <w:tcW w:w="100" w:type="dxa"/>
            <w:vAlign w:val="bottom"/>
            <w:tcBorders>
              <w:right w:val="single" w:sz="8" w:color="auto"/>
            </w:tcBorders>
          </w:tcPr>
          <w:p>
            <w:pPr>
              <w:spacing w:after="0"/>
              <w:rPr>
                <w:sz w:val="5"/>
                <w:szCs w:val="5"/>
                <w:color w:val="auto"/>
              </w:rPr>
            </w:pPr>
          </w:p>
        </w:tc>
        <w:tc>
          <w:tcPr>
            <w:tcW w:w="1240" w:type="dxa"/>
            <w:vAlign w:val="bottom"/>
          </w:tcPr>
          <w:p>
            <w:pPr>
              <w:jc w:val="right"/>
              <w:spacing w:after="0" w:line="61" w:lineRule="exact"/>
              <w:rPr>
                <w:sz w:val="20"/>
                <w:szCs w:val="20"/>
                <w:color w:val="auto"/>
              </w:rPr>
            </w:pPr>
            <w:r>
              <w:rPr>
                <w:rFonts w:ascii="Arial" w:cs="Arial" w:eastAsia="Arial" w:hAnsi="Arial"/>
                <w:sz w:val="7"/>
                <w:szCs w:val="7"/>
                <w:b w:val="1"/>
                <w:bCs w:val="1"/>
                <w:color w:val="auto"/>
              </w:rPr>
              <w:t>ACTUALLY PAID</w:t>
            </w:r>
          </w:p>
        </w:tc>
        <w:tc>
          <w:tcPr>
            <w:tcW w:w="120" w:type="dxa"/>
            <w:vAlign w:val="bottom"/>
            <w:tcBorders>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SUMMARY</w:t>
            </w:r>
          </w:p>
        </w:tc>
        <w:tc>
          <w:tcPr>
            <w:tcW w:w="100" w:type="dxa"/>
            <w:vAlign w:val="bottom"/>
            <w:tcBorders>
              <w:right w:val="single" w:sz="8" w:color="auto"/>
            </w:tcBorders>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FOR NON-PEO</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TO NON-PEO</w:t>
            </w:r>
          </w:p>
        </w:tc>
        <w:tc>
          <w:tcPr>
            <w:tcW w:w="120" w:type="dxa"/>
            <w:vAlign w:val="bottom"/>
            <w:tcBorders>
              <w:right w:val="single" w:sz="8" w:color="auto"/>
            </w:tcBorders>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PEER GROUP</w:t>
            </w: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OPERATING</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COMPENSATION</w:t>
            </w:r>
          </w:p>
        </w:tc>
        <w:tc>
          <w:tcPr>
            <w:tcW w:w="100" w:type="dxa"/>
            <w:vAlign w:val="bottom"/>
            <w:tcBorders>
              <w:right w:val="single" w:sz="8" w:color="auto"/>
            </w:tcBorders>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NAMED</w:t>
            </w:r>
          </w:p>
        </w:tc>
        <w:tc>
          <w:tcPr>
            <w:tcW w:w="10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NAMED</w:t>
            </w:r>
          </w:p>
        </w:tc>
        <w:tc>
          <w:tcPr>
            <w:tcW w:w="120" w:type="dxa"/>
            <w:vAlign w:val="bottom"/>
            <w:tcBorders>
              <w:right w:val="single" w:sz="8" w:color="auto"/>
            </w:tcBorders>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180" w:type="dxa"/>
            <w:vAlign w:val="bottom"/>
          </w:tcPr>
          <w:p>
            <w:pPr>
              <w:jc w:val="center"/>
              <w:ind w:left="697"/>
              <w:spacing w:after="0" w:line="108" w:lineRule="exact"/>
              <w:rPr>
                <w:sz w:val="20"/>
                <w:szCs w:val="20"/>
                <w:color w:val="auto"/>
              </w:rPr>
            </w:pPr>
            <w:r>
              <w:rPr>
                <w:rFonts w:ascii="Arial" w:cs="Arial" w:eastAsia="Arial" w:hAnsi="Arial"/>
                <w:sz w:val="12"/>
                <w:szCs w:val="12"/>
                <w:b w:val="1"/>
                <w:bCs w:val="1"/>
                <w:color w:val="auto"/>
                <w:w w:val="94"/>
              </w:rPr>
              <w:t>TOTAL</w:t>
            </w:r>
          </w:p>
        </w:tc>
        <w:tc>
          <w:tcPr>
            <w:tcW w:w="120" w:type="dxa"/>
            <w:vAlign w:val="bottom"/>
            <w:tcBorders>
              <w:right w:val="single" w:sz="8" w:color="auto"/>
            </w:tcBorders>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NET INCOME</w:t>
            </w:r>
          </w:p>
        </w:tc>
        <w:tc>
          <w:tcPr>
            <w:tcW w:w="120" w:type="dxa"/>
            <w:vAlign w:val="bottom"/>
            <w:tcBorders>
              <w:right w:val="single" w:sz="8" w:color="auto"/>
            </w:tcBorders>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YEAR</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TABLE TOTAL</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ACTUALLY PAID</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EXECUTIVE</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EXECUTIVE</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SHAREHOLDER</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SHAREHOLDER</w:t>
            </w:r>
          </w:p>
        </w:tc>
        <w:tc>
          <w:tcPr>
            <w:tcW w:w="120" w:type="dxa"/>
            <w:vAlign w:val="bottom"/>
            <w:tcBorders>
              <w:right w:val="single" w:sz="8" w:color="auto"/>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rPr>
              <w:t>INCOME</w:t>
            </w:r>
          </w:p>
        </w:tc>
        <w:tc>
          <w:tcPr>
            <w:tcW w:w="0" w:type="dxa"/>
            <w:vAlign w:val="bottom"/>
          </w:tcPr>
          <w:p>
            <w:pPr>
              <w:spacing w:after="0"/>
              <w:rPr>
                <w:sz w:val="1"/>
                <w:szCs w:val="1"/>
                <w:color w:val="auto"/>
              </w:rPr>
            </w:pPr>
          </w:p>
        </w:tc>
      </w:tr>
      <w:tr>
        <w:trPr>
          <w:trHeight w:val="162"/>
        </w:trPr>
        <w:tc>
          <w:tcPr>
            <w:tcW w:w="800" w:type="dxa"/>
            <w:vAlign w:val="bottom"/>
            <w:tcBorders>
              <w:bottom w:val="single" w:sz="8" w:color="939599"/>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939599"/>
            </w:tcBorders>
          </w:tcPr>
          <w:p>
            <w:pPr>
              <w:jc w:val="right"/>
              <w:spacing w:after="0" w:line="162" w:lineRule="exact"/>
              <w:rPr>
                <w:sz w:val="20"/>
                <w:szCs w:val="20"/>
                <w:color w:val="auto"/>
              </w:rPr>
            </w:pPr>
            <w:r>
              <w:rPr>
                <w:rFonts w:ascii="Arial" w:cs="Arial" w:eastAsia="Arial" w:hAnsi="Arial"/>
                <w:sz w:val="12"/>
                <w:szCs w:val="12"/>
                <w:b w:val="1"/>
                <w:bCs w:val="1"/>
                <w:color w:val="auto"/>
              </w:rPr>
              <w:t>FOR PEO ($)</w:t>
            </w:r>
            <w:r>
              <w:rPr>
                <w:rFonts w:ascii="Arial" w:cs="Arial" w:eastAsia="Arial" w:hAnsi="Arial"/>
                <w:sz w:val="15"/>
                <w:szCs w:val="15"/>
                <w:b w:val="1"/>
                <w:bCs w:val="1"/>
                <w:color w:val="auto"/>
                <w:vertAlign w:val="superscript"/>
              </w:rPr>
              <w:t>(1)</w:t>
            </w:r>
          </w:p>
        </w:tc>
        <w:tc>
          <w:tcPr>
            <w:tcW w:w="100" w:type="dxa"/>
            <w:vAlign w:val="bottom"/>
            <w:tcBorders>
              <w:right w:val="single" w:sz="8" w:color="auto"/>
            </w:tcBorders>
          </w:tcPr>
          <w:p>
            <w:pPr>
              <w:spacing w:after="0"/>
              <w:rPr>
                <w:sz w:val="14"/>
                <w:szCs w:val="14"/>
                <w:color w:val="auto"/>
              </w:rPr>
            </w:pPr>
          </w:p>
        </w:tc>
        <w:tc>
          <w:tcPr>
            <w:tcW w:w="1240" w:type="dxa"/>
            <w:vAlign w:val="bottom"/>
            <w:tcBorders>
              <w:bottom w:val="single" w:sz="8" w:color="939599"/>
            </w:tcBorders>
          </w:tcPr>
          <w:p>
            <w:pPr>
              <w:jc w:val="right"/>
              <w:spacing w:after="0" w:line="162" w:lineRule="exact"/>
              <w:rPr>
                <w:sz w:val="20"/>
                <w:szCs w:val="20"/>
                <w:color w:val="auto"/>
              </w:rPr>
            </w:pPr>
            <w:r>
              <w:rPr>
                <w:rFonts w:ascii="Arial" w:cs="Arial" w:eastAsia="Arial" w:hAnsi="Arial"/>
                <w:sz w:val="12"/>
                <w:szCs w:val="12"/>
                <w:b w:val="1"/>
                <w:bCs w:val="1"/>
                <w:color w:val="auto"/>
              </w:rPr>
              <w:t>TO PEO ($)</w:t>
            </w:r>
            <w:r>
              <w:rPr>
                <w:rFonts w:ascii="Arial" w:cs="Arial" w:eastAsia="Arial" w:hAnsi="Arial"/>
                <w:sz w:val="15"/>
                <w:szCs w:val="15"/>
                <w:b w:val="1"/>
                <w:bCs w:val="1"/>
                <w:color w:val="auto"/>
                <w:vertAlign w:val="superscript"/>
              </w:rPr>
              <w:t>(1)(2)</w:t>
            </w: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939599"/>
            </w:tcBorders>
          </w:tcPr>
          <w:p>
            <w:pPr>
              <w:jc w:val="right"/>
              <w:spacing w:after="0" w:line="162" w:lineRule="exact"/>
              <w:rPr>
                <w:sz w:val="20"/>
                <w:szCs w:val="20"/>
                <w:color w:val="auto"/>
              </w:rPr>
            </w:pPr>
            <w:r>
              <w:rPr>
                <w:rFonts w:ascii="Arial" w:cs="Arial" w:eastAsia="Arial" w:hAnsi="Arial"/>
                <w:sz w:val="12"/>
                <w:szCs w:val="12"/>
                <w:b w:val="1"/>
                <w:bCs w:val="1"/>
                <w:color w:val="auto"/>
              </w:rPr>
              <w:t>OFFICERS ($)</w:t>
            </w:r>
            <w:r>
              <w:rPr>
                <w:rFonts w:ascii="Arial" w:cs="Arial" w:eastAsia="Arial" w:hAnsi="Arial"/>
                <w:sz w:val="15"/>
                <w:szCs w:val="15"/>
                <w:b w:val="1"/>
                <w:bCs w:val="1"/>
                <w:color w:val="auto"/>
                <w:vertAlign w:val="superscript"/>
              </w:rPr>
              <w:t>(1)</w:t>
            </w:r>
          </w:p>
        </w:tc>
        <w:tc>
          <w:tcPr>
            <w:tcW w:w="100" w:type="dxa"/>
            <w:vAlign w:val="bottom"/>
            <w:tcBorders>
              <w:right w:val="single" w:sz="8" w:color="auto"/>
            </w:tcBorders>
          </w:tcPr>
          <w:p>
            <w:pPr>
              <w:spacing w:after="0"/>
              <w:rPr>
                <w:sz w:val="14"/>
                <w:szCs w:val="14"/>
                <w:color w:val="auto"/>
              </w:rPr>
            </w:pPr>
          </w:p>
        </w:tc>
        <w:tc>
          <w:tcPr>
            <w:tcW w:w="1240" w:type="dxa"/>
            <w:vAlign w:val="bottom"/>
            <w:tcBorders>
              <w:bottom w:val="single" w:sz="8" w:color="939599"/>
            </w:tcBorders>
          </w:tcPr>
          <w:p>
            <w:pPr>
              <w:jc w:val="right"/>
              <w:spacing w:after="0" w:line="162" w:lineRule="exact"/>
              <w:rPr>
                <w:sz w:val="20"/>
                <w:szCs w:val="20"/>
                <w:color w:val="auto"/>
              </w:rPr>
            </w:pPr>
            <w:r>
              <w:rPr>
                <w:rFonts w:ascii="Arial" w:cs="Arial" w:eastAsia="Arial" w:hAnsi="Arial"/>
                <w:sz w:val="12"/>
                <w:szCs w:val="12"/>
                <w:b w:val="1"/>
                <w:bCs w:val="1"/>
                <w:color w:val="auto"/>
              </w:rPr>
              <w:t>OFFICERS ($)</w:t>
            </w:r>
            <w:r>
              <w:rPr>
                <w:rFonts w:ascii="Arial" w:cs="Arial" w:eastAsia="Arial" w:hAnsi="Arial"/>
                <w:sz w:val="15"/>
                <w:szCs w:val="15"/>
                <w:b w:val="1"/>
                <w:bCs w:val="1"/>
                <w:color w:val="auto"/>
                <w:vertAlign w:val="superscript"/>
              </w:rPr>
              <w:t>(1)(2)</w:t>
            </w:r>
          </w:p>
        </w:tc>
        <w:tc>
          <w:tcPr>
            <w:tcW w:w="120" w:type="dxa"/>
            <w:vAlign w:val="bottom"/>
            <w:tcBorders>
              <w:right w:val="single" w:sz="8" w:color="auto"/>
            </w:tcBorders>
          </w:tcPr>
          <w:p>
            <w:pPr>
              <w:spacing w:after="0"/>
              <w:rPr>
                <w:sz w:val="14"/>
                <w:szCs w:val="14"/>
                <w:color w:val="auto"/>
              </w:rPr>
            </w:pPr>
          </w:p>
        </w:tc>
        <w:tc>
          <w:tcPr>
            <w:tcW w:w="1180" w:type="dxa"/>
            <w:vAlign w:val="bottom"/>
            <w:tcBorders>
              <w:bottom w:val="single" w:sz="8" w:color="939599"/>
            </w:tcBorders>
          </w:tcPr>
          <w:p>
            <w:pPr>
              <w:jc w:val="right"/>
              <w:spacing w:after="0"/>
              <w:rPr>
                <w:sz w:val="20"/>
                <w:szCs w:val="20"/>
                <w:color w:val="auto"/>
              </w:rPr>
            </w:pPr>
            <w:r>
              <w:rPr>
                <w:rFonts w:ascii="Arial" w:cs="Arial" w:eastAsia="Arial" w:hAnsi="Arial"/>
                <w:sz w:val="12"/>
                <w:szCs w:val="12"/>
                <w:b w:val="1"/>
                <w:bCs w:val="1"/>
                <w:color w:val="auto"/>
              </w:rPr>
              <w:t>RETURN ($)</w:t>
            </w:r>
          </w:p>
        </w:tc>
        <w:tc>
          <w:tcPr>
            <w:tcW w:w="120" w:type="dxa"/>
            <w:vAlign w:val="bottom"/>
            <w:tcBorders>
              <w:right w:val="single" w:sz="8" w:color="auto"/>
            </w:tcBorders>
          </w:tcPr>
          <w:p>
            <w:pPr>
              <w:spacing w:after="0"/>
              <w:rPr>
                <w:sz w:val="14"/>
                <w:szCs w:val="14"/>
                <w:color w:val="auto"/>
              </w:rPr>
            </w:pPr>
          </w:p>
        </w:tc>
        <w:tc>
          <w:tcPr>
            <w:tcW w:w="1180" w:type="dxa"/>
            <w:vAlign w:val="bottom"/>
            <w:tcBorders>
              <w:bottom w:val="single" w:sz="8" w:color="939599"/>
            </w:tcBorders>
          </w:tcPr>
          <w:p>
            <w:pPr>
              <w:jc w:val="right"/>
              <w:spacing w:after="0"/>
              <w:rPr>
                <w:sz w:val="20"/>
                <w:szCs w:val="20"/>
                <w:color w:val="auto"/>
              </w:rPr>
            </w:pPr>
            <w:r>
              <w:rPr>
                <w:rFonts w:ascii="Arial" w:cs="Arial" w:eastAsia="Arial" w:hAnsi="Arial"/>
                <w:sz w:val="12"/>
                <w:szCs w:val="12"/>
                <w:b w:val="1"/>
                <w:bCs w:val="1"/>
                <w:color w:val="auto"/>
              </w:rPr>
              <w:t>RETURN ($)</w:t>
            </w:r>
          </w:p>
        </w:tc>
        <w:tc>
          <w:tcPr>
            <w:tcW w:w="120" w:type="dxa"/>
            <w:vAlign w:val="bottom"/>
            <w:tcBorders>
              <w:right w:val="single" w:sz="8" w:color="auto"/>
            </w:tcBorders>
          </w:tcPr>
          <w:p>
            <w:pPr>
              <w:spacing w:after="0"/>
              <w:rPr>
                <w:sz w:val="14"/>
                <w:szCs w:val="14"/>
                <w:color w:val="auto"/>
              </w:rPr>
            </w:pPr>
          </w:p>
        </w:tc>
        <w:tc>
          <w:tcPr>
            <w:tcW w:w="960" w:type="dxa"/>
            <w:vAlign w:val="bottom"/>
            <w:tcBorders>
              <w:bottom w:val="single" w:sz="8" w:color="939599"/>
            </w:tcBorders>
          </w:tcPr>
          <w:p>
            <w:pPr>
              <w:jc w:val="right"/>
              <w:spacing w:after="0"/>
              <w:rPr>
                <w:sz w:val="20"/>
                <w:szCs w:val="20"/>
                <w:color w:val="auto"/>
              </w:rPr>
            </w:pPr>
            <w:r>
              <w:rPr>
                <w:rFonts w:ascii="Arial" w:cs="Arial" w:eastAsia="Arial" w:hAnsi="Arial"/>
                <w:sz w:val="12"/>
                <w:szCs w:val="12"/>
                <w:b w:val="1"/>
                <w:bCs w:val="1"/>
                <w:color w:val="auto"/>
              </w:rPr>
              <w:t>($ MILLIONS)</w:t>
            </w: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939599"/>
            </w:tcBorders>
            <w:gridSpan w:val="2"/>
          </w:tcPr>
          <w:p>
            <w:pPr>
              <w:jc w:val="right"/>
              <w:spacing w:after="0"/>
              <w:rPr>
                <w:sz w:val="20"/>
                <w:szCs w:val="20"/>
                <w:color w:val="auto"/>
              </w:rPr>
            </w:pPr>
            <w:r>
              <w:rPr>
                <w:rFonts w:ascii="Arial" w:cs="Arial" w:eastAsia="Arial" w:hAnsi="Arial"/>
                <w:sz w:val="12"/>
                <w:szCs w:val="12"/>
                <w:b w:val="1"/>
                <w:bCs w:val="1"/>
                <w:color w:val="auto"/>
              </w:rPr>
              <w:t>($ MILLIONS)</w:t>
            </w:r>
          </w:p>
        </w:tc>
        <w:tc>
          <w:tcPr>
            <w:tcW w:w="0" w:type="dxa"/>
            <w:vAlign w:val="bottom"/>
          </w:tcPr>
          <w:p>
            <w:pPr>
              <w:spacing w:after="0"/>
              <w:rPr>
                <w:sz w:val="1"/>
                <w:szCs w:val="1"/>
                <w:color w:val="auto"/>
              </w:rPr>
            </w:pPr>
          </w:p>
        </w:tc>
      </w:tr>
      <w:tr>
        <w:trPr>
          <w:trHeight w:val="192"/>
        </w:trPr>
        <w:tc>
          <w:tcPr>
            <w:tcW w:w="800" w:type="dxa"/>
            <w:vAlign w:val="bottom"/>
          </w:tcPr>
          <w:p>
            <w:pPr>
              <w:ind w:left="60"/>
              <w:spacing w:after="0"/>
              <w:rPr>
                <w:sz w:val="20"/>
                <w:szCs w:val="20"/>
                <w:color w:val="auto"/>
              </w:rPr>
            </w:pPr>
            <w:r>
              <w:rPr>
                <w:rFonts w:ascii="Arial" w:cs="Arial" w:eastAsia="Arial" w:hAnsi="Arial"/>
                <w:sz w:val="14"/>
                <w:szCs w:val="14"/>
                <w:color w:val="auto"/>
              </w:rPr>
              <w:t>2023</w:t>
            </w:r>
          </w:p>
        </w:tc>
        <w:tc>
          <w:tcPr>
            <w:tcW w:w="1360" w:type="dxa"/>
            <w:vAlign w:val="bottom"/>
            <w:gridSpan w:val="2"/>
          </w:tcPr>
          <w:p>
            <w:pPr>
              <w:jc w:val="right"/>
              <w:ind w:right="17"/>
              <w:spacing w:after="0"/>
              <w:rPr>
                <w:sz w:val="20"/>
                <w:szCs w:val="20"/>
                <w:color w:val="auto"/>
              </w:rPr>
            </w:pPr>
            <w:r>
              <w:rPr>
                <w:rFonts w:ascii="Arial" w:cs="Arial" w:eastAsia="Arial" w:hAnsi="Arial"/>
                <w:sz w:val="14"/>
                <w:szCs w:val="14"/>
                <w:color w:val="auto"/>
              </w:rPr>
              <w:t>12,245,901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10,211,950</w:t>
            </w:r>
          </w:p>
        </w:tc>
        <w:tc>
          <w:tcPr>
            <w:tcW w:w="1360" w:type="dxa"/>
            <w:vAlign w:val="bottom"/>
            <w:gridSpan w:val="2"/>
          </w:tcPr>
          <w:p>
            <w:pPr>
              <w:jc w:val="right"/>
              <w:ind w:right="21"/>
              <w:spacing w:after="0"/>
              <w:rPr>
                <w:sz w:val="20"/>
                <w:szCs w:val="20"/>
                <w:color w:val="auto"/>
              </w:rPr>
            </w:pPr>
            <w:r>
              <w:rPr>
                <w:rFonts w:ascii="Arial" w:cs="Arial" w:eastAsia="Arial" w:hAnsi="Arial"/>
                <w:sz w:val="14"/>
                <w:szCs w:val="14"/>
                <w:color w:val="auto"/>
              </w:rPr>
              <w:t>4,346,386</w:t>
            </w:r>
          </w:p>
        </w:tc>
        <w:tc>
          <w:tcPr>
            <w:tcW w:w="1340" w:type="dxa"/>
            <w:vAlign w:val="bottom"/>
            <w:gridSpan w:val="2"/>
          </w:tcPr>
          <w:p>
            <w:pPr>
              <w:jc w:val="right"/>
              <w:ind w:right="1"/>
              <w:spacing w:after="0"/>
              <w:rPr>
                <w:sz w:val="20"/>
                <w:szCs w:val="20"/>
                <w:color w:val="auto"/>
              </w:rPr>
            </w:pPr>
            <w:r>
              <w:rPr>
                <w:rFonts w:ascii="Arial" w:cs="Arial" w:eastAsia="Arial" w:hAnsi="Arial"/>
                <w:sz w:val="14"/>
                <w:szCs w:val="14"/>
                <w:color w:val="auto"/>
              </w:rPr>
              <w:t>3,808,732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1300" w:type="dxa"/>
            <w:vAlign w:val="bottom"/>
            <w:gridSpan w:val="2"/>
          </w:tcPr>
          <w:p>
            <w:pPr>
              <w:jc w:val="center"/>
              <w:ind w:left="828"/>
              <w:spacing w:after="0"/>
              <w:rPr>
                <w:sz w:val="20"/>
                <w:szCs w:val="20"/>
                <w:color w:val="auto"/>
              </w:rPr>
            </w:pPr>
            <w:r>
              <w:rPr>
                <w:rFonts w:ascii="Arial" w:cs="Arial" w:eastAsia="Arial" w:hAnsi="Arial"/>
                <w:sz w:val="14"/>
                <w:szCs w:val="14"/>
                <w:color w:val="auto"/>
              </w:rPr>
              <w:t>217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817.6</w:t>
            </w:r>
          </w:p>
        </w:tc>
        <w:tc>
          <w:tcPr>
            <w:tcW w:w="1080" w:type="dxa"/>
            <w:vAlign w:val="bottom"/>
            <w:gridSpan w:val="2"/>
          </w:tcPr>
          <w:p>
            <w:pPr>
              <w:jc w:val="right"/>
              <w:ind w:right="18"/>
              <w:spacing w:after="0"/>
              <w:rPr>
                <w:sz w:val="20"/>
                <w:szCs w:val="20"/>
                <w:color w:val="auto"/>
              </w:rPr>
            </w:pPr>
            <w:r>
              <w:rPr>
                <w:rFonts w:ascii="Arial" w:cs="Arial" w:eastAsia="Arial" w:hAnsi="Arial"/>
                <w:sz w:val="14"/>
                <w:szCs w:val="14"/>
                <w:color w:val="auto"/>
              </w:rPr>
              <w:t>1,000.6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17"/>
              <w:spacing w:after="0"/>
              <w:rPr>
                <w:sz w:val="20"/>
                <w:szCs w:val="20"/>
                <w:color w:val="auto"/>
              </w:rPr>
            </w:pPr>
            <w:r>
              <w:rPr>
                <w:rFonts w:ascii="Arial" w:cs="Arial" w:eastAsia="Arial" w:hAnsi="Arial"/>
                <w:sz w:val="14"/>
                <w:szCs w:val="14"/>
                <w:color w:val="auto"/>
              </w:rPr>
              <w:t>11,279,094</w:t>
            </w:r>
          </w:p>
        </w:tc>
        <w:tc>
          <w:tcPr>
            <w:tcW w:w="10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6,638,117</w:t>
            </w:r>
          </w:p>
        </w:tc>
        <w:tc>
          <w:tcPr>
            <w:tcW w:w="12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21"/>
              <w:spacing w:after="0"/>
              <w:rPr>
                <w:sz w:val="20"/>
                <w:szCs w:val="20"/>
                <w:color w:val="auto"/>
              </w:rPr>
            </w:pPr>
            <w:r>
              <w:rPr>
                <w:rFonts w:ascii="Arial" w:cs="Arial" w:eastAsia="Arial" w:hAnsi="Arial"/>
                <w:sz w:val="14"/>
                <w:szCs w:val="14"/>
                <w:color w:val="auto"/>
              </w:rPr>
              <w:t>3,923,918</w:t>
            </w:r>
          </w:p>
        </w:tc>
        <w:tc>
          <w:tcPr>
            <w:tcW w:w="10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1"/>
              <w:spacing w:after="0"/>
              <w:rPr>
                <w:sz w:val="20"/>
                <w:szCs w:val="20"/>
                <w:color w:val="auto"/>
              </w:rPr>
            </w:pPr>
            <w:r>
              <w:rPr>
                <w:rFonts w:ascii="Arial" w:cs="Arial" w:eastAsia="Arial" w:hAnsi="Arial"/>
                <w:sz w:val="14"/>
                <w:szCs w:val="14"/>
                <w:color w:val="auto"/>
              </w:rPr>
              <w:t>2,623,730</w:t>
            </w:r>
          </w:p>
        </w:tc>
        <w:tc>
          <w:tcPr>
            <w:tcW w:w="120" w:type="dxa"/>
            <w:vAlign w:val="bottom"/>
            <w:tcBorders>
              <w:right w:val="single" w:sz="8" w:color="E5E6E6"/>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E5E6E6"/>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5E6E6"/>
          </w:tcPr>
          <w:p>
            <w:pPr>
              <w:jc w:val="center"/>
              <w:ind w:left="717"/>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E5E6E6"/>
            </w:tcBorders>
          </w:tcPr>
          <w:p>
            <w:pPr>
              <w:spacing w:after="0"/>
              <w:rPr>
                <w:sz w:val="17"/>
                <w:szCs w:val="17"/>
                <w:color w:val="auto"/>
              </w:rPr>
            </w:pPr>
          </w:p>
        </w:tc>
        <w:tc>
          <w:tcPr>
            <w:tcW w:w="9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673.8</w:t>
            </w:r>
          </w:p>
        </w:tc>
        <w:tc>
          <w:tcPr>
            <w:tcW w:w="120" w:type="dxa"/>
            <w:vAlign w:val="bottom"/>
            <w:tcBorders>
              <w:right w:val="single" w:sz="8" w:color="E5E6E6"/>
            </w:tcBorders>
          </w:tcPr>
          <w:p>
            <w:pPr>
              <w:spacing w:after="0"/>
              <w:rPr>
                <w:sz w:val="17"/>
                <w:szCs w:val="17"/>
                <w:color w:val="auto"/>
              </w:rPr>
            </w:pPr>
          </w:p>
        </w:tc>
        <w:tc>
          <w:tcPr>
            <w:tcW w:w="960" w:type="dxa"/>
            <w:vAlign w:val="bottom"/>
            <w:tcBorders>
              <w:top w:val="single" w:sz="8" w:color="939599"/>
              <w:bottom w:val="single" w:sz="8" w:color="939599"/>
            </w:tcBorders>
            <w:shd w:val="clear" w:color="auto" w:fill="E5E6E6"/>
          </w:tcPr>
          <w:p>
            <w:pPr>
              <w:jc w:val="right"/>
              <w:ind w:right="18"/>
              <w:spacing w:after="0"/>
              <w:rPr>
                <w:sz w:val="20"/>
                <w:szCs w:val="20"/>
                <w:color w:val="auto"/>
              </w:rPr>
            </w:pPr>
            <w:r>
              <w:rPr>
                <w:rFonts w:ascii="Arial" w:cs="Arial" w:eastAsia="Arial" w:hAnsi="Arial"/>
                <w:sz w:val="14"/>
                <w:szCs w:val="14"/>
                <w:color w:val="auto"/>
              </w:rPr>
              <w:t>943.1</w:t>
            </w:r>
          </w:p>
        </w:tc>
        <w:tc>
          <w:tcPr>
            <w:tcW w:w="280" w:type="dxa"/>
            <w:vAlign w:val="bottom"/>
            <w:tcBorders>
              <w:top w:val="single" w:sz="8" w:color="939599"/>
              <w:bottom w:val="single" w:sz="8" w:color="939599"/>
            </w:tcBorders>
            <w:shd w:val="clear" w:color="auto" w:fill="E5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60"/>
              <w:spacing w:after="0"/>
              <w:rPr>
                <w:sz w:val="20"/>
                <w:szCs w:val="20"/>
                <w:color w:val="auto"/>
              </w:rPr>
            </w:pPr>
            <w:r>
              <w:rPr>
                <w:rFonts w:ascii="Arial" w:cs="Arial" w:eastAsia="Arial" w:hAnsi="Arial"/>
                <w:sz w:val="14"/>
                <w:szCs w:val="14"/>
                <w:color w:val="auto"/>
              </w:rPr>
              <w:t>2021</w:t>
            </w:r>
          </w:p>
        </w:tc>
        <w:tc>
          <w:tcPr>
            <w:tcW w:w="1360" w:type="dxa"/>
            <w:vAlign w:val="bottom"/>
            <w:gridSpan w:val="2"/>
          </w:tcPr>
          <w:p>
            <w:pPr>
              <w:jc w:val="right"/>
              <w:ind w:right="17"/>
              <w:spacing w:after="0"/>
              <w:rPr>
                <w:sz w:val="20"/>
                <w:szCs w:val="20"/>
                <w:color w:val="auto"/>
              </w:rPr>
            </w:pPr>
            <w:r>
              <w:rPr>
                <w:rFonts w:ascii="Arial" w:cs="Arial" w:eastAsia="Arial" w:hAnsi="Arial"/>
                <w:sz w:val="14"/>
                <w:szCs w:val="14"/>
                <w:color w:val="auto"/>
              </w:rPr>
              <w:t>10,118,565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13,339,664</w:t>
            </w:r>
          </w:p>
        </w:tc>
        <w:tc>
          <w:tcPr>
            <w:tcW w:w="1360" w:type="dxa"/>
            <w:vAlign w:val="bottom"/>
            <w:gridSpan w:val="2"/>
          </w:tcPr>
          <w:p>
            <w:pPr>
              <w:jc w:val="right"/>
              <w:ind w:right="21"/>
              <w:spacing w:after="0"/>
              <w:rPr>
                <w:sz w:val="20"/>
                <w:szCs w:val="20"/>
                <w:color w:val="auto"/>
              </w:rPr>
            </w:pPr>
            <w:r>
              <w:rPr>
                <w:rFonts w:ascii="Arial" w:cs="Arial" w:eastAsia="Arial" w:hAnsi="Arial"/>
                <w:sz w:val="14"/>
                <w:szCs w:val="14"/>
                <w:color w:val="auto"/>
              </w:rPr>
              <w:t>3,450,115</w:t>
            </w:r>
          </w:p>
        </w:tc>
        <w:tc>
          <w:tcPr>
            <w:tcW w:w="1340" w:type="dxa"/>
            <w:vAlign w:val="bottom"/>
            <w:gridSpan w:val="2"/>
          </w:tcPr>
          <w:p>
            <w:pPr>
              <w:jc w:val="right"/>
              <w:ind w:right="1"/>
              <w:spacing w:after="0"/>
              <w:rPr>
                <w:sz w:val="20"/>
                <w:szCs w:val="20"/>
                <w:color w:val="auto"/>
              </w:rPr>
            </w:pPr>
            <w:r>
              <w:rPr>
                <w:rFonts w:ascii="Arial" w:cs="Arial" w:eastAsia="Arial" w:hAnsi="Arial"/>
                <w:sz w:val="14"/>
                <w:szCs w:val="14"/>
                <w:color w:val="auto"/>
              </w:rPr>
              <w:t>4,459,575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1300" w:type="dxa"/>
            <w:vAlign w:val="bottom"/>
            <w:gridSpan w:val="2"/>
          </w:tcPr>
          <w:p>
            <w:pPr>
              <w:jc w:val="center"/>
              <w:ind w:left="828"/>
              <w:spacing w:after="0"/>
              <w:rPr>
                <w:sz w:val="20"/>
                <w:szCs w:val="20"/>
                <w:color w:val="auto"/>
              </w:rPr>
            </w:pPr>
            <w:r>
              <w:rPr>
                <w:rFonts w:ascii="Arial" w:cs="Arial" w:eastAsia="Arial" w:hAnsi="Arial"/>
                <w:sz w:val="14"/>
                <w:szCs w:val="14"/>
                <w:color w:val="auto"/>
              </w:rPr>
              <w:t>194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784.8</w:t>
            </w:r>
          </w:p>
        </w:tc>
        <w:tc>
          <w:tcPr>
            <w:tcW w:w="1080" w:type="dxa"/>
            <w:vAlign w:val="bottom"/>
            <w:gridSpan w:val="2"/>
          </w:tcPr>
          <w:p>
            <w:pPr>
              <w:jc w:val="right"/>
              <w:ind w:right="18"/>
              <w:spacing w:after="0"/>
              <w:rPr>
                <w:sz w:val="20"/>
                <w:szCs w:val="20"/>
                <w:color w:val="auto"/>
              </w:rPr>
            </w:pPr>
            <w:r>
              <w:rPr>
                <w:rFonts w:ascii="Arial" w:cs="Arial" w:eastAsia="Arial" w:hAnsi="Arial"/>
                <w:sz w:val="14"/>
                <w:szCs w:val="14"/>
                <w:color w:val="auto"/>
              </w:rPr>
              <w:t>866.8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17"/>
              <w:spacing w:after="0"/>
              <w:rPr>
                <w:sz w:val="20"/>
                <w:szCs w:val="20"/>
                <w:color w:val="auto"/>
              </w:rPr>
            </w:pPr>
            <w:r>
              <w:rPr>
                <w:rFonts w:ascii="Arial" w:cs="Arial" w:eastAsia="Arial" w:hAnsi="Arial"/>
                <w:sz w:val="14"/>
                <w:szCs w:val="14"/>
                <w:color w:val="auto"/>
              </w:rPr>
              <w:t>10,098,502</w:t>
            </w:r>
          </w:p>
        </w:tc>
        <w:tc>
          <w:tcPr>
            <w:tcW w:w="10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13,018,694</w:t>
            </w:r>
          </w:p>
        </w:tc>
        <w:tc>
          <w:tcPr>
            <w:tcW w:w="12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21"/>
              <w:spacing w:after="0"/>
              <w:rPr>
                <w:sz w:val="20"/>
                <w:szCs w:val="20"/>
                <w:color w:val="auto"/>
              </w:rPr>
            </w:pPr>
            <w:r>
              <w:rPr>
                <w:rFonts w:ascii="Arial" w:cs="Arial" w:eastAsia="Arial" w:hAnsi="Arial"/>
                <w:sz w:val="14"/>
                <w:szCs w:val="14"/>
                <w:color w:val="auto"/>
              </w:rPr>
              <w:t>3,303,750</w:t>
            </w:r>
          </w:p>
        </w:tc>
        <w:tc>
          <w:tcPr>
            <w:tcW w:w="100" w:type="dxa"/>
            <w:vAlign w:val="bottom"/>
            <w:tcBorders>
              <w:right w:val="single" w:sz="8" w:color="E5E6E6"/>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5E6E6"/>
          </w:tcPr>
          <w:p>
            <w:pPr>
              <w:jc w:val="right"/>
              <w:ind w:right="1"/>
              <w:spacing w:after="0"/>
              <w:rPr>
                <w:sz w:val="20"/>
                <w:szCs w:val="20"/>
                <w:color w:val="auto"/>
              </w:rPr>
            </w:pPr>
            <w:r>
              <w:rPr>
                <w:rFonts w:ascii="Arial" w:cs="Arial" w:eastAsia="Arial" w:hAnsi="Arial"/>
                <w:sz w:val="14"/>
                <w:szCs w:val="14"/>
                <w:color w:val="auto"/>
              </w:rPr>
              <w:t>4,029,712</w:t>
            </w:r>
          </w:p>
        </w:tc>
        <w:tc>
          <w:tcPr>
            <w:tcW w:w="120" w:type="dxa"/>
            <w:vAlign w:val="bottom"/>
            <w:tcBorders>
              <w:right w:val="single" w:sz="8" w:color="E5E6E6"/>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E5E6E6"/>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5E6E6"/>
          </w:tcPr>
          <w:p>
            <w:pPr>
              <w:jc w:val="center"/>
              <w:ind w:left="717"/>
              <w:spacing w:after="0"/>
              <w:rPr>
                <w:sz w:val="20"/>
                <w:szCs w:val="20"/>
                <w:color w:val="auto"/>
              </w:rPr>
            </w:pPr>
            <w:r>
              <w:rPr>
                <w:rFonts w:ascii="Arial" w:cs="Arial" w:eastAsia="Arial" w:hAnsi="Arial"/>
                <w:sz w:val="14"/>
                <w:szCs w:val="14"/>
                <w:color w:val="auto"/>
              </w:rPr>
              <w:t>144</w:t>
            </w:r>
          </w:p>
        </w:tc>
        <w:tc>
          <w:tcPr>
            <w:tcW w:w="120" w:type="dxa"/>
            <w:vAlign w:val="bottom"/>
            <w:tcBorders>
              <w:right w:val="single" w:sz="8" w:color="E5E6E6"/>
            </w:tcBorders>
          </w:tcPr>
          <w:p>
            <w:pPr>
              <w:spacing w:after="0"/>
              <w:rPr>
                <w:sz w:val="17"/>
                <w:szCs w:val="17"/>
                <w:color w:val="auto"/>
              </w:rPr>
            </w:pPr>
          </w:p>
        </w:tc>
        <w:tc>
          <w:tcPr>
            <w:tcW w:w="9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814.9</w:t>
            </w:r>
          </w:p>
        </w:tc>
        <w:tc>
          <w:tcPr>
            <w:tcW w:w="120" w:type="dxa"/>
            <w:vAlign w:val="bottom"/>
            <w:tcBorders>
              <w:right w:val="single" w:sz="8" w:color="E5E6E6"/>
            </w:tcBorders>
          </w:tcPr>
          <w:p>
            <w:pPr>
              <w:spacing w:after="0"/>
              <w:rPr>
                <w:sz w:val="17"/>
                <w:szCs w:val="17"/>
                <w:color w:val="auto"/>
              </w:rPr>
            </w:pPr>
          </w:p>
        </w:tc>
        <w:tc>
          <w:tcPr>
            <w:tcW w:w="960" w:type="dxa"/>
            <w:vAlign w:val="bottom"/>
            <w:tcBorders>
              <w:top w:val="single" w:sz="8" w:color="939599"/>
              <w:bottom w:val="single" w:sz="8" w:color="939599"/>
            </w:tcBorders>
            <w:shd w:val="clear" w:color="auto" w:fill="E5E6E6"/>
          </w:tcPr>
          <w:p>
            <w:pPr>
              <w:jc w:val="right"/>
              <w:ind w:right="18"/>
              <w:spacing w:after="0"/>
              <w:rPr>
                <w:sz w:val="20"/>
                <w:szCs w:val="20"/>
                <w:color w:val="auto"/>
              </w:rPr>
            </w:pPr>
            <w:r>
              <w:rPr>
                <w:rFonts w:ascii="Arial" w:cs="Arial" w:eastAsia="Arial" w:hAnsi="Arial"/>
                <w:sz w:val="14"/>
                <w:szCs w:val="14"/>
                <w:color w:val="auto"/>
              </w:rPr>
              <w:t>824.2</w:t>
            </w:r>
          </w:p>
        </w:tc>
        <w:tc>
          <w:tcPr>
            <w:tcW w:w="280" w:type="dxa"/>
            <w:vAlign w:val="bottom"/>
            <w:tcBorders>
              <w:top w:val="single" w:sz="8" w:color="939599"/>
              <w:bottom w:val="single" w:sz="8" w:color="939599"/>
            </w:tcBorders>
            <w:shd w:val="clear" w:color="auto" w:fill="E5E6E6"/>
          </w:tcPr>
          <w:p>
            <w:pPr>
              <w:jc w:val="right"/>
              <w:ind w:right="113"/>
              <w:spacing w:after="0"/>
              <w:rPr>
                <w:sz w:val="20"/>
                <w:szCs w:val="20"/>
                <w:color w:val="auto"/>
              </w:rPr>
            </w:pPr>
            <w:r>
              <w:rPr>
                <w:rFonts w:ascii="Arial" w:cs="Arial" w:eastAsia="Arial" w:hAnsi="Arial"/>
                <w:sz w:val="9"/>
                <w:szCs w:val="9"/>
                <w:color w:val="auto"/>
                <w:w w:val="90"/>
              </w:rPr>
              <w:t>(4)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20" w:hanging="252"/>
        <w:spacing w:after="0"/>
        <w:tabs>
          <w:tab w:leader="none" w:pos="25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In all four years presented, Mr. Bidzos was our Principal Executive Officer (“PEO”). The non-PEO NEOs during 2023 and 2022 were Messrs. Strubbe, Kilguss, McPherson, and Indelicarto. For 2021 and 2020, the non-PEO NEOs were Messrs. Strubbe, Kilguss, and Indelicarto; Mr. McPherson is not included in 2020 and 2021 as he was appointed an executive officer on July 26, 2022. Equity values in the “Compensation Actually Paid” columns for the PEO and the average of the non-PEO NEOs are calculated in accordance with FASB ASC Topic 718, and the valuation assumptions used to calculate fair values did not materially differ from those disclosed at the time of the grant.</w:t>
      </w:r>
    </w:p>
    <w:p>
      <w:pPr>
        <w:spacing w:after="0" w:line="189" w:lineRule="exact"/>
        <w:rPr>
          <w:rFonts w:ascii="Arial" w:cs="Arial" w:eastAsia="Arial" w:hAnsi="Arial"/>
          <w:sz w:val="19"/>
          <w:szCs w:val="19"/>
          <w:color w:val="auto"/>
          <w:vertAlign w:val="superscript"/>
        </w:rPr>
      </w:pPr>
    </w:p>
    <w:p>
      <w:pPr>
        <w:ind w:left="260" w:right="400" w:hanging="252"/>
        <w:spacing w:after="0" w:line="222" w:lineRule="auto"/>
        <w:tabs>
          <w:tab w:leader="none" w:pos="264"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The following table details the adjustments made to the Summary Compensation Table totals to arrive at the Compensation Actually Paid (“CAP”) amounts in the table above, calculated in accordance with Item 402(v) of Regulation S-K.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SUMMARY</w:t>
            </w:r>
          </w:p>
        </w:tc>
        <w:tc>
          <w:tcPr>
            <w:tcW w:w="100" w:type="dxa"/>
            <w:vAlign w:val="bottom"/>
            <w:tcBorders>
              <w:right w:val="single" w:sz="8" w:color="auto"/>
            </w:tcBorders>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DEDUCT SUMMARY</w:t>
            </w:r>
          </w:p>
        </w:tc>
        <w:tc>
          <w:tcPr>
            <w:tcW w:w="100" w:type="dxa"/>
            <w:vAlign w:val="bottom"/>
            <w:tcBorders>
              <w:right w:val="single" w:sz="8" w:color="auto"/>
            </w:tcBorders>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ADD YEAR-END VALUE</w:t>
            </w:r>
          </w:p>
        </w:tc>
        <w:tc>
          <w:tcPr>
            <w:tcW w:w="120" w:type="dxa"/>
            <w:vAlign w:val="bottom"/>
            <w:tcBorders>
              <w:right w:val="single" w:sz="8" w:color="auto"/>
            </w:tcBorders>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ADD CHANGE IN</w:t>
            </w:r>
          </w:p>
        </w:tc>
        <w:tc>
          <w:tcPr>
            <w:tcW w:w="120" w:type="dxa"/>
            <w:vAlign w:val="bottom"/>
            <w:tcBorders>
              <w:right w:val="single" w:sz="8" w:color="auto"/>
            </w:tcBorders>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ADD CHANGE IN</w:t>
            </w:r>
          </w:p>
        </w:tc>
        <w:tc>
          <w:tcPr>
            <w:tcW w:w="120" w:type="dxa"/>
            <w:vAlign w:val="bottom"/>
            <w:tcBorders>
              <w:right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00" w:type="dxa"/>
            <w:vAlign w:val="bottom"/>
            <w:tcBorders>
              <w:right w:val="single" w:sz="8" w:color="auto"/>
            </w:tcBorders>
          </w:tcPr>
          <w:p>
            <w:pPr>
              <w:spacing w:after="0"/>
              <w:rPr>
                <w:sz w:val="10"/>
                <w:szCs w:val="10"/>
                <w:color w:val="auto"/>
              </w:rPr>
            </w:pPr>
          </w:p>
        </w:tc>
        <w:tc>
          <w:tcPr>
            <w:tcW w:w="17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VALUE OF UNVESTED</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VALUE OF VESTED</w:t>
            </w:r>
          </w:p>
        </w:tc>
        <w:tc>
          <w:tcPr>
            <w:tcW w:w="120" w:type="dxa"/>
            <w:vAlign w:val="bottom"/>
            <w:tcBorders>
              <w:right w:val="single" w:sz="8" w:color="auto"/>
            </w:tcBorders>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00" w:type="dxa"/>
            <w:vAlign w:val="bottom"/>
            <w:tcBorders>
              <w:right w:val="single" w:sz="8" w:color="auto"/>
            </w:tcBorders>
          </w:tcPr>
          <w:p>
            <w:pPr>
              <w:spacing w:after="0"/>
              <w:rPr>
                <w:sz w:val="10"/>
                <w:szCs w:val="10"/>
                <w:color w:val="auto"/>
              </w:rPr>
            </w:pPr>
          </w:p>
        </w:tc>
        <w:tc>
          <w:tcPr>
            <w:tcW w:w="1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TABLE STOCK</w:t>
            </w:r>
          </w:p>
        </w:tc>
        <w:tc>
          <w:tcPr>
            <w:tcW w:w="10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UNVESTED EQUITY</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EQUITY GRANTED IN</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EQUITY GRANTED IN</w:t>
            </w:r>
          </w:p>
        </w:tc>
        <w:tc>
          <w:tcPr>
            <w:tcW w:w="120" w:type="dxa"/>
            <w:vAlign w:val="bottom"/>
            <w:tcBorders>
              <w:right w:val="single" w:sz="8" w:color="auto"/>
            </w:tcBorders>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TABLE TOTAL ($)</w:t>
            </w:r>
          </w:p>
        </w:tc>
        <w:tc>
          <w:tcPr>
            <w:tcW w:w="100" w:type="dxa"/>
            <w:vAlign w:val="bottom"/>
            <w:tcBorders>
              <w:right w:val="single" w:sz="8" w:color="auto"/>
            </w:tcBorders>
          </w:tcPr>
          <w:p>
            <w:pPr>
              <w:spacing w:after="0"/>
              <w:rPr>
                <w:sz w:val="15"/>
                <w:szCs w:val="15"/>
                <w:color w:val="auto"/>
              </w:rPr>
            </w:pP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w w:val="94"/>
              </w:rPr>
              <w:t>AWARDS ($)</w:t>
            </w:r>
          </w:p>
        </w:tc>
        <w:tc>
          <w:tcPr>
            <w:tcW w:w="100" w:type="dxa"/>
            <w:vAlign w:val="bottom"/>
            <w:tcBorders>
              <w:right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GRANTED IN YEAR ($)</w:t>
            </w:r>
          </w:p>
        </w:tc>
        <w:tc>
          <w:tcPr>
            <w:tcW w:w="120" w:type="dxa"/>
            <w:vAlign w:val="bottom"/>
            <w:tcBorders>
              <w:right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PRIOR YEARS ($)</w:t>
            </w:r>
          </w:p>
        </w:tc>
        <w:tc>
          <w:tcPr>
            <w:tcW w:w="120" w:type="dxa"/>
            <w:vAlign w:val="bottom"/>
            <w:tcBorders>
              <w:right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PRIOR YEARS ($)</w:t>
            </w:r>
          </w:p>
        </w:tc>
        <w:tc>
          <w:tcPr>
            <w:tcW w:w="120" w:type="dxa"/>
            <w:vAlign w:val="bottom"/>
            <w:tcBorders>
              <w:right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ACTUALLY PAID</w:t>
            </w:r>
          </w:p>
        </w:tc>
        <w:tc>
          <w:tcPr>
            <w:tcW w:w="0" w:type="dxa"/>
            <w:vAlign w:val="bottom"/>
          </w:tcPr>
          <w:p>
            <w:pPr>
              <w:spacing w:after="0"/>
              <w:rPr>
                <w:sz w:val="1"/>
                <w:szCs w:val="1"/>
                <w:color w:val="auto"/>
              </w:rPr>
            </w:pPr>
          </w:p>
        </w:tc>
      </w:tr>
      <w:tr>
        <w:trPr>
          <w:trHeight w:val="188"/>
        </w:trPr>
        <w:tc>
          <w:tcPr>
            <w:tcW w:w="840" w:type="dxa"/>
            <w:vAlign w:val="bottom"/>
            <w:tcBorders>
              <w:bottom w:val="single" w:sz="8" w:color="939599"/>
            </w:tcBorders>
          </w:tcPr>
          <w:p>
            <w:pPr>
              <w:ind w:left="60"/>
              <w:spacing w:after="0"/>
              <w:rPr>
                <w:sz w:val="20"/>
                <w:szCs w:val="20"/>
                <w:color w:val="auto"/>
              </w:rPr>
            </w:pPr>
            <w:r>
              <w:rPr>
                <w:rFonts w:ascii="Arial" w:cs="Arial" w:eastAsia="Arial" w:hAnsi="Arial"/>
                <w:sz w:val="14"/>
                <w:szCs w:val="14"/>
                <w:b w:val="1"/>
                <w:bCs w:val="1"/>
                <w:color w:val="auto"/>
              </w:rPr>
              <w:t>PEO</w:t>
            </w:r>
          </w:p>
        </w:tc>
        <w:tc>
          <w:tcPr>
            <w:tcW w:w="120" w:type="dxa"/>
            <w:vAlign w:val="bottom"/>
            <w:tcBorders>
              <w:bottom w:val="single" w:sz="8" w:color="939599"/>
            </w:tcBorders>
          </w:tcPr>
          <w:p>
            <w:pPr>
              <w:spacing w:after="0"/>
              <w:rPr>
                <w:sz w:val="16"/>
                <w:szCs w:val="16"/>
                <w:color w:val="auto"/>
              </w:rPr>
            </w:pPr>
          </w:p>
        </w:tc>
        <w:tc>
          <w:tcPr>
            <w:tcW w:w="1420" w:type="dxa"/>
            <w:vAlign w:val="bottom"/>
            <w:tcBorders>
              <w:bottom w:val="single" w:sz="8" w:color="939599"/>
            </w:tcBorders>
          </w:tcPr>
          <w:p>
            <w:pPr>
              <w:spacing w:after="0"/>
              <w:rPr>
                <w:sz w:val="16"/>
                <w:szCs w:val="16"/>
                <w:color w:val="auto"/>
              </w:rPr>
            </w:pPr>
          </w:p>
        </w:tc>
        <w:tc>
          <w:tcPr>
            <w:tcW w:w="100" w:type="dxa"/>
            <w:vAlign w:val="bottom"/>
            <w:tcBorders>
              <w:bottom w:val="single" w:sz="8" w:color="939599"/>
            </w:tcBorders>
          </w:tcPr>
          <w:p>
            <w:pPr>
              <w:spacing w:after="0"/>
              <w:rPr>
                <w:sz w:val="16"/>
                <w:szCs w:val="16"/>
                <w:color w:val="auto"/>
              </w:rPr>
            </w:pPr>
          </w:p>
        </w:tc>
        <w:tc>
          <w:tcPr>
            <w:tcW w:w="1600" w:type="dxa"/>
            <w:vAlign w:val="bottom"/>
            <w:tcBorders>
              <w:bottom w:val="single" w:sz="8" w:color="939599"/>
            </w:tcBorders>
          </w:tcPr>
          <w:p>
            <w:pPr>
              <w:spacing w:after="0"/>
              <w:rPr>
                <w:sz w:val="16"/>
                <w:szCs w:val="16"/>
                <w:color w:val="auto"/>
              </w:rPr>
            </w:pPr>
          </w:p>
        </w:tc>
        <w:tc>
          <w:tcPr>
            <w:tcW w:w="100" w:type="dxa"/>
            <w:vAlign w:val="bottom"/>
            <w:tcBorders>
              <w:bottom w:val="single" w:sz="8" w:color="939599"/>
            </w:tcBorders>
          </w:tcPr>
          <w:p>
            <w:pPr>
              <w:spacing w:after="0"/>
              <w:rPr>
                <w:sz w:val="16"/>
                <w:szCs w:val="16"/>
                <w:color w:val="auto"/>
              </w:rPr>
            </w:pPr>
          </w:p>
        </w:tc>
        <w:tc>
          <w:tcPr>
            <w:tcW w:w="1760" w:type="dxa"/>
            <w:vAlign w:val="bottom"/>
            <w:tcBorders>
              <w:bottom w:val="single" w:sz="8" w:color="939599"/>
            </w:tcBorders>
          </w:tcPr>
          <w:p>
            <w:pPr>
              <w:spacing w:after="0"/>
              <w:rPr>
                <w:sz w:val="16"/>
                <w:szCs w:val="16"/>
                <w:color w:val="auto"/>
              </w:rPr>
            </w:pPr>
          </w:p>
        </w:tc>
        <w:tc>
          <w:tcPr>
            <w:tcW w:w="120" w:type="dxa"/>
            <w:vAlign w:val="bottom"/>
            <w:tcBorders>
              <w:bottom w:val="single" w:sz="8" w:color="939599"/>
            </w:tcBorders>
          </w:tcPr>
          <w:p>
            <w:pPr>
              <w:spacing w:after="0"/>
              <w:rPr>
                <w:sz w:val="16"/>
                <w:szCs w:val="16"/>
                <w:color w:val="auto"/>
              </w:rPr>
            </w:pPr>
          </w:p>
        </w:tc>
        <w:tc>
          <w:tcPr>
            <w:tcW w:w="1760" w:type="dxa"/>
            <w:vAlign w:val="bottom"/>
            <w:tcBorders>
              <w:bottom w:val="single" w:sz="8" w:color="939599"/>
            </w:tcBorders>
          </w:tcPr>
          <w:p>
            <w:pPr>
              <w:spacing w:after="0"/>
              <w:rPr>
                <w:sz w:val="16"/>
                <w:szCs w:val="16"/>
                <w:color w:val="auto"/>
              </w:rPr>
            </w:pPr>
          </w:p>
        </w:tc>
        <w:tc>
          <w:tcPr>
            <w:tcW w:w="120" w:type="dxa"/>
            <w:vAlign w:val="bottom"/>
            <w:tcBorders>
              <w:bottom w:val="single" w:sz="8" w:color="939599"/>
            </w:tcBorders>
          </w:tcPr>
          <w:p>
            <w:pPr>
              <w:spacing w:after="0"/>
              <w:rPr>
                <w:sz w:val="16"/>
                <w:szCs w:val="16"/>
                <w:color w:val="auto"/>
              </w:rPr>
            </w:pPr>
          </w:p>
        </w:tc>
        <w:tc>
          <w:tcPr>
            <w:tcW w:w="1760" w:type="dxa"/>
            <w:vAlign w:val="bottom"/>
            <w:tcBorders>
              <w:bottom w:val="single" w:sz="8" w:color="939599"/>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939599"/>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0" w:type="dxa"/>
            <w:vAlign w:val="bottom"/>
          </w:tcPr>
          <w:p>
            <w:pPr>
              <w:ind w:left="60"/>
              <w:spacing w:after="0"/>
              <w:rPr>
                <w:sz w:val="20"/>
                <w:szCs w:val="20"/>
                <w:color w:val="auto"/>
              </w:rPr>
            </w:pPr>
            <w:r>
              <w:rPr>
                <w:rFonts w:ascii="Arial" w:cs="Arial" w:eastAsia="Arial" w:hAnsi="Arial"/>
                <w:sz w:val="14"/>
                <w:szCs w:val="14"/>
                <w:color w:val="auto"/>
              </w:rPr>
              <w:t>2023</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color w:val="auto"/>
              </w:rPr>
              <w:t>12,245,901</w:t>
            </w:r>
          </w:p>
        </w:tc>
        <w:tc>
          <w:tcPr>
            <w:tcW w:w="1700" w:type="dxa"/>
            <w:vAlign w:val="bottom"/>
            <w:gridSpan w:val="2"/>
          </w:tcPr>
          <w:p>
            <w:pPr>
              <w:ind w:left="920"/>
              <w:spacing w:after="0"/>
              <w:rPr>
                <w:sz w:val="20"/>
                <w:szCs w:val="20"/>
                <w:color w:val="auto"/>
              </w:rPr>
            </w:pPr>
            <w:r>
              <w:rPr>
                <w:rFonts w:ascii="Arial" w:cs="Arial" w:eastAsia="Arial" w:hAnsi="Arial"/>
                <w:sz w:val="14"/>
                <w:szCs w:val="14"/>
                <w:color w:val="auto"/>
              </w:rPr>
              <w:t>(9,999,781)</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9,675,177</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(1,817,882)</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108,535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10,211,950</w:t>
            </w:r>
          </w:p>
        </w:tc>
        <w:tc>
          <w:tcPr>
            <w:tcW w:w="0" w:type="dxa"/>
            <w:vAlign w:val="bottom"/>
          </w:tcPr>
          <w:p>
            <w:pPr>
              <w:spacing w:after="0"/>
              <w:rPr>
                <w:sz w:val="1"/>
                <w:szCs w:val="1"/>
                <w:color w:val="auto"/>
              </w:rPr>
            </w:pPr>
          </w:p>
        </w:tc>
      </w:tr>
      <w:tr>
        <w:trPr>
          <w:trHeight w:val="196"/>
        </w:trPr>
        <w:tc>
          <w:tcPr>
            <w:tcW w:w="84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11,279,094</w:t>
            </w:r>
          </w:p>
        </w:tc>
        <w:tc>
          <w:tcPr>
            <w:tcW w:w="100" w:type="dxa"/>
            <w:vAlign w:val="bottom"/>
            <w:tcBorders>
              <w:right w:val="single" w:sz="8" w:color="E5E6E6"/>
            </w:tcBorders>
          </w:tcPr>
          <w:p>
            <w:pPr>
              <w:spacing w:after="0"/>
              <w:rPr>
                <w:sz w:val="17"/>
                <w:szCs w:val="17"/>
                <w:color w:val="auto"/>
              </w:rPr>
            </w:pPr>
          </w:p>
        </w:tc>
        <w:tc>
          <w:tcPr>
            <w:tcW w:w="1600" w:type="dxa"/>
            <w:vAlign w:val="bottom"/>
            <w:tcBorders>
              <w:top w:val="single" w:sz="8" w:color="939599"/>
              <w:bottom w:val="single" w:sz="8" w:color="939599"/>
            </w:tcBorders>
            <w:shd w:val="clear" w:color="auto" w:fill="E5E6E6"/>
          </w:tcPr>
          <w:p>
            <w:pPr>
              <w:ind w:left="820"/>
              <w:spacing w:after="0"/>
              <w:rPr>
                <w:sz w:val="20"/>
                <w:szCs w:val="20"/>
                <w:color w:val="auto"/>
              </w:rPr>
            </w:pPr>
            <w:r>
              <w:rPr>
                <w:rFonts w:ascii="Arial" w:cs="Arial" w:eastAsia="Arial" w:hAnsi="Arial"/>
                <w:sz w:val="14"/>
                <w:szCs w:val="14"/>
                <w:color w:val="auto"/>
              </w:rPr>
              <w:t>(8,999,846)</w:t>
            </w:r>
          </w:p>
        </w:tc>
        <w:tc>
          <w:tcPr>
            <w:tcW w:w="10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8,657,652</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(2,844,873)</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(1,453,910)</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6,638,117</w:t>
            </w:r>
          </w:p>
        </w:tc>
        <w:tc>
          <w:tcPr>
            <w:tcW w:w="0" w:type="dxa"/>
            <w:vAlign w:val="bottom"/>
          </w:tcPr>
          <w:p>
            <w:pPr>
              <w:spacing w:after="0"/>
              <w:rPr>
                <w:sz w:val="1"/>
                <w:szCs w:val="1"/>
                <w:color w:val="auto"/>
              </w:rPr>
            </w:pPr>
          </w:p>
        </w:tc>
      </w:tr>
      <w:tr>
        <w:trPr>
          <w:trHeight w:val="196"/>
        </w:trPr>
        <w:tc>
          <w:tcPr>
            <w:tcW w:w="840" w:type="dxa"/>
            <w:vAlign w:val="bottom"/>
          </w:tcPr>
          <w:p>
            <w:pPr>
              <w:ind w:left="60"/>
              <w:spacing w:after="0"/>
              <w:rPr>
                <w:sz w:val="20"/>
                <w:szCs w:val="20"/>
                <w:color w:val="auto"/>
              </w:rPr>
            </w:pPr>
            <w:r>
              <w:rPr>
                <w:rFonts w:ascii="Arial" w:cs="Arial" w:eastAsia="Arial" w:hAnsi="Arial"/>
                <w:sz w:val="14"/>
                <w:szCs w:val="14"/>
                <w:color w:val="auto"/>
              </w:rPr>
              <w:t>2021</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color w:val="auto"/>
              </w:rPr>
              <w:t>10,118,565</w:t>
            </w:r>
          </w:p>
        </w:tc>
        <w:tc>
          <w:tcPr>
            <w:tcW w:w="1700" w:type="dxa"/>
            <w:vAlign w:val="bottom"/>
            <w:gridSpan w:val="2"/>
          </w:tcPr>
          <w:p>
            <w:pPr>
              <w:ind w:left="920"/>
              <w:spacing w:after="0"/>
              <w:rPr>
                <w:sz w:val="20"/>
                <w:szCs w:val="20"/>
                <w:color w:val="auto"/>
              </w:rPr>
            </w:pPr>
            <w:r>
              <w:rPr>
                <w:rFonts w:ascii="Arial" w:cs="Arial" w:eastAsia="Arial" w:hAnsi="Arial"/>
                <w:sz w:val="14"/>
                <w:szCs w:val="14"/>
                <w:color w:val="auto"/>
              </w:rPr>
              <w:t>(7,749,845)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9,927,154</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1,714,160</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(670,370)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13,339,664</w:t>
            </w:r>
          </w:p>
        </w:tc>
        <w:tc>
          <w:tcPr>
            <w:tcW w:w="0" w:type="dxa"/>
            <w:vAlign w:val="bottom"/>
          </w:tcPr>
          <w:p>
            <w:pPr>
              <w:spacing w:after="0"/>
              <w:rPr>
                <w:sz w:val="1"/>
                <w:szCs w:val="1"/>
                <w:color w:val="auto"/>
              </w:rPr>
            </w:pPr>
          </w:p>
        </w:tc>
      </w:tr>
      <w:tr>
        <w:trPr>
          <w:trHeight w:val="196"/>
        </w:trPr>
        <w:tc>
          <w:tcPr>
            <w:tcW w:w="84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939599"/>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10,098,502</w:t>
            </w:r>
          </w:p>
        </w:tc>
        <w:tc>
          <w:tcPr>
            <w:tcW w:w="100" w:type="dxa"/>
            <w:vAlign w:val="bottom"/>
            <w:tcBorders>
              <w:bottom w:val="single" w:sz="8" w:color="939599"/>
              <w:right w:val="single" w:sz="8" w:color="E5E6E6"/>
            </w:tcBorders>
          </w:tcPr>
          <w:p>
            <w:pPr>
              <w:spacing w:after="0"/>
              <w:rPr>
                <w:sz w:val="17"/>
                <w:szCs w:val="17"/>
                <w:color w:val="auto"/>
              </w:rPr>
            </w:pPr>
          </w:p>
        </w:tc>
        <w:tc>
          <w:tcPr>
            <w:tcW w:w="1600" w:type="dxa"/>
            <w:vAlign w:val="bottom"/>
            <w:tcBorders>
              <w:top w:val="single" w:sz="8" w:color="939599"/>
              <w:bottom w:val="single" w:sz="8" w:color="939599"/>
            </w:tcBorders>
            <w:shd w:val="clear" w:color="auto" w:fill="E5E6E6"/>
          </w:tcPr>
          <w:p>
            <w:pPr>
              <w:ind w:left="820"/>
              <w:spacing w:after="0"/>
              <w:rPr>
                <w:sz w:val="20"/>
                <w:szCs w:val="20"/>
                <w:color w:val="auto"/>
              </w:rPr>
            </w:pPr>
            <w:r>
              <w:rPr>
                <w:rFonts w:ascii="Arial" w:cs="Arial" w:eastAsia="Arial" w:hAnsi="Arial"/>
                <w:sz w:val="14"/>
                <w:szCs w:val="14"/>
                <w:color w:val="auto"/>
              </w:rPr>
              <w:t>(7,749,705)</w:t>
            </w:r>
          </w:p>
        </w:tc>
        <w:tc>
          <w:tcPr>
            <w:tcW w:w="100" w:type="dxa"/>
            <w:vAlign w:val="bottom"/>
            <w:tcBorders>
              <w:bottom w:val="single" w:sz="8" w:color="939599"/>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8,147,676</w:t>
            </w:r>
          </w:p>
        </w:tc>
        <w:tc>
          <w:tcPr>
            <w:tcW w:w="120" w:type="dxa"/>
            <w:vAlign w:val="bottom"/>
            <w:tcBorders>
              <w:bottom w:val="single" w:sz="8" w:color="939599"/>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39,865</w:t>
            </w:r>
          </w:p>
        </w:tc>
        <w:tc>
          <w:tcPr>
            <w:tcW w:w="120" w:type="dxa"/>
            <w:vAlign w:val="bottom"/>
            <w:tcBorders>
              <w:bottom w:val="single" w:sz="8" w:color="939599"/>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2,482,356</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13,018,694</w:t>
            </w:r>
          </w:p>
        </w:tc>
        <w:tc>
          <w:tcPr>
            <w:tcW w:w="0" w:type="dxa"/>
            <w:vAlign w:val="bottom"/>
          </w:tcPr>
          <w:p>
            <w:pPr>
              <w:spacing w:after="0"/>
              <w:rPr>
                <w:sz w:val="1"/>
                <w:szCs w:val="1"/>
                <w:color w:val="auto"/>
              </w:rPr>
            </w:pPr>
          </w:p>
        </w:tc>
      </w:tr>
      <w:tr>
        <w:trPr>
          <w:trHeight w:val="199"/>
        </w:trPr>
        <w:tc>
          <w:tcPr>
            <w:tcW w:w="2380" w:type="dxa"/>
            <w:vAlign w:val="bottom"/>
            <w:tcBorders>
              <w:bottom w:val="single" w:sz="8" w:color="939599"/>
            </w:tcBorders>
            <w:gridSpan w:val="3"/>
          </w:tcPr>
          <w:p>
            <w:pPr>
              <w:ind w:left="60"/>
              <w:spacing w:after="0"/>
              <w:rPr>
                <w:sz w:val="20"/>
                <w:szCs w:val="20"/>
                <w:color w:val="auto"/>
              </w:rPr>
            </w:pPr>
            <w:r>
              <w:rPr>
                <w:rFonts w:ascii="Arial" w:cs="Arial" w:eastAsia="Arial" w:hAnsi="Arial"/>
                <w:sz w:val="14"/>
                <w:szCs w:val="14"/>
                <w:b w:val="1"/>
                <w:bCs w:val="1"/>
                <w:color w:val="auto"/>
              </w:rPr>
              <w:t>AVERAGE NON-PEO NEO</w:t>
            </w:r>
          </w:p>
        </w:tc>
        <w:tc>
          <w:tcPr>
            <w:tcW w:w="100" w:type="dxa"/>
            <w:vAlign w:val="bottom"/>
            <w:tcBorders>
              <w:bottom w:val="single" w:sz="8" w:color="939599"/>
            </w:tcBorders>
          </w:tcPr>
          <w:p>
            <w:pPr>
              <w:spacing w:after="0"/>
              <w:rPr>
                <w:sz w:val="17"/>
                <w:szCs w:val="17"/>
                <w:color w:val="auto"/>
              </w:rPr>
            </w:pPr>
          </w:p>
        </w:tc>
        <w:tc>
          <w:tcPr>
            <w:tcW w:w="1600" w:type="dxa"/>
            <w:vAlign w:val="bottom"/>
            <w:tcBorders>
              <w:bottom w:val="single" w:sz="8" w:color="939599"/>
            </w:tcBorders>
          </w:tcPr>
          <w:p>
            <w:pPr>
              <w:spacing w:after="0"/>
              <w:rPr>
                <w:sz w:val="17"/>
                <w:szCs w:val="17"/>
                <w:color w:val="auto"/>
              </w:rPr>
            </w:pPr>
          </w:p>
        </w:tc>
        <w:tc>
          <w:tcPr>
            <w:tcW w:w="100" w:type="dxa"/>
            <w:vAlign w:val="bottom"/>
            <w:tcBorders>
              <w:bottom w:val="single" w:sz="8" w:color="939599"/>
            </w:tcBorders>
          </w:tcPr>
          <w:p>
            <w:pPr>
              <w:spacing w:after="0"/>
              <w:rPr>
                <w:sz w:val="17"/>
                <w:szCs w:val="17"/>
                <w:color w:val="auto"/>
              </w:rPr>
            </w:pPr>
          </w:p>
        </w:tc>
        <w:tc>
          <w:tcPr>
            <w:tcW w:w="1760" w:type="dxa"/>
            <w:vAlign w:val="bottom"/>
            <w:tcBorders>
              <w:bottom w:val="single" w:sz="8" w:color="939599"/>
            </w:tcBorders>
          </w:tcPr>
          <w:p>
            <w:pPr>
              <w:spacing w:after="0"/>
              <w:rPr>
                <w:sz w:val="17"/>
                <w:szCs w:val="17"/>
                <w:color w:val="auto"/>
              </w:rPr>
            </w:pPr>
          </w:p>
        </w:tc>
        <w:tc>
          <w:tcPr>
            <w:tcW w:w="120" w:type="dxa"/>
            <w:vAlign w:val="bottom"/>
            <w:tcBorders>
              <w:bottom w:val="single" w:sz="8" w:color="939599"/>
            </w:tcBorders>
          </w:tcPr>
          <w:p>
            <w:pPr>
              <w:spacing w:after="0"/>
              <w:rPr>
                <w:sz w:val="17"/>
                <w:szCs w:val="17"/>
                <w:color w:val="auto"/>
              </w:rPr>
            </w:pPr>
          </w:p>
        </w:tc>
        <w:tc>
          <w:tcPr>
            <w:tcW w:w="1760" w:type="dxa"/>
            <w:vAlign w:val="bottom"/>
            <w:tcBorders>
              <w:bottom w:val="single" w:sz="8" w:color="939599"/>
            </w:tcBorders>
          </w:tcPr>
          <w:p>
            <w:pPr>
              <w:spacing w:after="0"/>
              <w:rPr>
                <w:sz w:val="17"/>
                <w:szCs w:val="17"/>
                <w:color w:val="auto"/>
              </w:rPr>
            </w:pPr>
          </w:p>
        </w:tc>
        <w:tc>
          <w:tcPr>
            <w:tcW w:w="120" w:type="dxa"/>
            <w:vAlign w:val="bottom"/>
            <w:tcBorders>
              <w:bottom w:val="single" w:sz="8" w:color="939599"/>
            </w:tcBorders>
          </w:tcPr>
          <w:p>
            <w:pPr>
              <w:spacing w:after="0"/>
              <w:rPr>
                <w:sz w:val="17"/>
                <w:szCs w:val="17"/>
                <w:color w:val="auto"/>
              </w:rPr>
            </w:pPr>
          </w:p>
        </w:tc>
        <w:tc>
          <w:tcPr>
            <w:tcW w:w="1760" w:type="dxa"/>
            <w:vAlign w:val="bottom"/>
            <w:tcBorders>
              <w:bottom w:val="single" w:sz="8" w:color="939599"/>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939599"/>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0" w:type="dxa"/>
            <w:vAlign w:val="bottom"/>
          </w:tcPr>
          <w:p>
            <w:pPr>
              <w:ind w:left="60"/>
              <w:spacing w:after="0"/>
              <w:rPr>
                <w:sz w:val="20"/>
                <w:szCs w:val="20"/>
                <w:color w:val="auto"/>
              </w:rPr>
            </w:pPr>
            <w:r>
              <w:rPr>
                <w:rFonts w:ascii="Arial" w:cs="Arial" w:eastAsia="Arial" w:hAnsi="Arial"/>
                <w:sz w:val="14"/>
                <w:szCs w:val="14"/>
                <w:color w:val="auto"/>
              </w:rPr>
              <w:t>2023</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color w:val="auto"/>
              </w:rPr>
              <w:t>4,346,386</w:t>
            </w:r>
          </w:p>
        </w:tc>
        <w:tc>
          <w:tcPr>
            <w:tcW w:w="1700" w:type="dxa"/>
            <w:vAlign w:val="bottom"/>
            <w:gridSpan w:val="2"/>
          </w:tcPr>
          <w:p>
            <w:pPr>
              <w:ind w:left="920"/>
              <w:spacing w:after="0"/>
              <w:rPr>
                <w:sz w:val="20"/>
                <w:szCs w:val="20"/>
                <w:color w:val="auto"/>
              </w:rPr>
            </w:pPr>
            <w:r>
              <w:rPr>
                <w:rFonts w:ascii="Arial" w:cs="Arial" w:eastAsia="Arial" w:hAnsi="Arial"/>
                <w:sz w:val="14"/>
                <w:szCs w:val="14"/>
                <w:color w:val="auto"/>
              </w:rPr>
              <w:t>(3,274,792)</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3,168,489</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(473,958)</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42,607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3,808,732</w:t>
            </w:r>
          </w:p>
        </w:tc>
        <w:tc>
          <w:tcPr>
            <w:tcW w:w="0" w:type="dxa"/>
            <w:vAlign w:val="bottom"/>
          </w:tcPr>
          <w:p>
            <w:pPr>
              <w:spacing w:after="0"/>
              <w:rPr>
                <w:sz w:val="1"/>
                <w:szCs w:val="1"/>
                <w:color w:val="auto"/>
              </w:rPr>
            </w:pPr>
          </w:p>
        </w:tc>
      </w:tr>
      <w:tr>
        <w:trPr>
          <w:trHeight w:val="196"/>
        </w:trPr>
        <w:tc>
          <w:tcPr>
            <w:tcW w:w="84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3,923,918</w:t>
            </w:r>
          </w:p>
        </w:tc>
        <w:tc>
          <w:tcPr>
            <w:tcW w:w="100" w:type="dxa"/>
            <w:vAlign w:val="bottom"/>
            <w:tcBorders>
              <w:right w:val="single" w:sz="8" w:color="E5E6E6"/>
            </w:tcBorders>
          </w:tcPr>
          <w:p>
            <w:pPr>
              <w:spacing w:after="0"/>
              <w:rPr>
                <w:sz w:val="17"/>
                <w:szCs w:val="17"/>
                <w:color w:val="auto"/>
              </w:rPr>
            </w:pPr>
          </w:p>
        </w:tc>
        <w:tc>
          <w:tcPr>
            <w:tcW w:w="1600" w:type="dxa"/>
            <w:vAlign w:val="bottom"/>
            <w:tcBorders>
              <w:top w:val="single" w:sz="8" w:color="939599"/>
              <w:bottom w:val="single" w:sz="8" w:color="939599"/>
            </w:tcBorders>
            <w:shd w:val="clear" w:color="auto" w:fill="E5E6E6"/>
          </w:tcPr>
          <w:p>
            <w:pPr>
              <w:ind w:left="820"/>
              <w:spacing w:after="0"/>
              <w:rPr>
                <w:sz w:val="20"/>
                <w:szCs w:val="20"/>
                <w:color w:val="auto"/>
              </w:rPr>
            </w:pPr>
            <w:r>
              <w:rPr>
                <w:rFonts w:ascii="Arial" w:cs="Arial" w:eastAsia="Arial" w:hAnsi="Arial"/>
                <w:sz w:val="14"/>
                <w:szCs w:val="14"/>
                <w:color w:val="auto"/>
              </w:rPr>
              <w:t>(2,874,881)</w:t>
            </w:r>
          </w:p>
        </w:tc>
        <w:tc>
          <w:tcPr>
            <w:tcW w:w="10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2,766,660</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(756,083)</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(435,884)</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2,623,730</w:t>
            </w:r>
          </w:p>
        </w:tc>
        <w:tc>
          <w:tcPr>
            <w:tcW w:w="0" w:type="dxa"/>
            <w:vAlign w:val="bottom"/>
          </w:tcPr>
          <w:p>
            <w:pPr>
              <w:spacing w:after="0"/>
              <w:rPr>
                <w:sz w:val="1"/>
                <w:szCs w:val="1"/>
                <w:color w:val="auto"/>
              </w:rPr>
            </w:pPr>
          </w:p>
        </w:tc>
      </w:tr>
      <w:tr>
        <w:trPr>
          <w:trHeight w:val="196"/>
        </w:trPr>
        <w:tc>
          <w:tcPr>
            <w:tcW w:w="840" w:type="dxa"/>
            <w:vAlign w:val="bottom"/>
          </w:tcPr>
          <w:p>
            <w:pPr>
              <w:ind w:left="60"/>
              <w:spacing w:after="0"/>
              <w:rPr>
                <w:sz w:val="20"/>
                <w:szCs w:val="20"/>
                <w:color w:val="auto"/>
              </w:rPr>
            </w:pPr>
            <w:r>
              <w:rPr>
                <w:rFonts w:ascii="Arial" w:cs="Arial" w:eastAsia="Arial" w:hAnsi="Arial"/>
                <w:sz w:val="14"/>
                <w:szCs w:val="14"/>
                <w:color w:val="auto"/>
              </w:rPr>
              <w:t>2021</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color w:val="auto"/>
              </w:rPr>
              <w:t>3,450,115</w:t>
            </w:r>
          </w:p>
        </w:tc>
        <w:tc>
          <w:tcPr>
            <w:tcW w:w="1700" w:type="dxa"/>
            <w:vAlign w:val="bottom"/>
            <w:gridSpan w:val="2"/>
          </w:tcPr>
          <w:p>
            <w:pPr>
              <w:ind w:left="920"/>
              <w:spacing w:after="0"/>
              <w:rPr>
                <w:sz w:val="20"/>
                <w:szCs w:val="20"/>
                <w:color w:val="auto"/>
              </w:rPr>
            </w:pPr>
            <w:r>
              <w:rPr>
                <w:rFonts w:ascii="Arial" w:cs="Arial" w:eastAsia="Arial" w:hAnsi="Arial"/>
                <w:sz w:val="14"/>
                <w:szCs w:val="14"/>
                <w:color w:val="auto"/>
              </w:rPr>
              <w:t>(2,399,993)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3,074,268</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509,712</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(174,527)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4,459,575</w:t>
            </w:r>
          </w:p>
        </w:tc>
        <w:tc>
          <w:tcPr>
            <w:tcW w:w="0" w:type="dxa"/>
            <w:vAlign w:val="bottom"/>
          </w:tcPr>
          <w:p>
            <w:pPr>
              <w:spacing w:after="0"/>
              <w:rPr>
                <w:sz w:val="1"/>
                <w:szCs w:val="1"/>
                <w:color w:val="auto"/>
              </w:rPr>
            </w:pPr>
          </w:p>
        </w:tc>
      </w:tr>
      <w:tr>
        <w:trPr>
          <w:trHeight w:val="196"/>
        </w:trPr>
        <w:tc>
          <w:tcPr>
            <w:tcW w:w="840" w:type="dxa"/>
            <w:vAlign w:val="bottom"/>
            <w:tcBorders>
              <w:top w:val="single" w:sz="8" w:color="939599"/>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3,303,750</w:t>
            </w:r>
          </w:p>
        </w:tc>
        <w:tc>
          <w:tcPr>
            <w:tcW w:w="100" w:type="dxa"/>
            <w:vAlign w:val="bottom"/>
            <w:tcBorders>
              <w:right w:val="single" w:sz="8" w:color="E5E6E6"/>
            </w:tcBorders>
          </w:tcPr>
          <w:p>
            <w:pPr>
              <w:spacing w:after="0"/>
              <w:rPr>
                <w:sz w:val="17"/>
                <w:szCs w:val="17"/>
                <w:color w:val="auto"/>
              </w:rPr>
            </w:pPr>
          </w:p>
        </w:tc>
        <w:tc>
          <w:tcPr>
            <w:tcW w:w="1600" w:type="dxa"/>
            <w:vAlign w:val="bottom"/>
            <w:tcBorders>
              <w:top w:val="single" w:sz="8" w:color="939599"/>
              <w:bottom w:val="single" w:sz="8" w:color="939599"/>
            </w:tcBorders>
            <w:shd w:val="clear" w:color="auto" w:fill="E5E6E6"/>
          </w:tcPr>
          <w:p>
            <w:pPr>
              <w:ind w:left="820"/>
              <w:spacing w:after="0"/>
              <w:rPr>
                <w:sz w:val="20"/>
                <w:szCs w:val="20"/>
                <w:color w:val="auto"/>
              </w:rPr>
            </w:pPr>
            <w:r>
              <w:rPr>
                <w:rFonts w:ascii="Arial" w:cs="Arial" w:eastAsia="Arial" w:hAnsi="Arial"/>
                <w:sz w:val="14"/>
                <w:szCs w:val="14"/>
                <w:color w:val="auto"/>
              </w:rPr>
              <w:t>(2,286,236)</w:t>
            </w:r>
          </w:p>
        </w:tc>
        <w:tc>
          <w:tcPr>
            <w:tcW w:w="10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2,404,204</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57,229</w:t>
            </w:r>
          </w:p>
        </w:tc>
        <w:tc>
          <w:tcPr>
            <w:tcW w:w="120" w:type="dxa"/>
            <w:vAlign w:val="bottom"/>
            <w:tcBorders>
              <w:right w:val="single" w:sz="8" w:color="E5E6E6"/>
            </w:tcBorders>
          </w:tcPr>
          <w:p>
            <w:pPr>
              <w:spacing w:after="0"/>
              <w:rPr>
                <w:sz w:val="17"/>
                <w:szCs w:val="17"/>
                <w:color w:val="auto"/>
              </w:rPr>
            </w:pPr>
          </w:p>
        </w:tc>
        <w:tc>
          <w:tcPr>
            <w:tcW w:w="176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550,765</w:t>
            </w:r>
          </w:p>
        </w:tc>
        <w:tc>
          <w:tcPr>
            <w:tcW w:w="120" w:type="dxa"/>
            <w:vAlign w:val="bottom"/>
            <w:tcBorders>
              <w:right w:val="single" w:sz="8" w:color="E5E6E6"/>
            </w:tcBorders>
          </w:tcPr>
          <w:p>
            <w:pPr>
              <w:spacing w:after="0"/>
              <w:rPr>
                <w:sz w:val="17"/>
                <w:szCs w:val="17"/>
                <w:color w:val="auto"/>
              </w:rPr>
            </w:pPr>
          </w:p>
        </w:tc>
        <w:tc>
          <w:tcPr>
            <w:tcW w:w="1420" w:type="dxa"/>
            <w:vAlign w:val="bottom"/>
            <w:tcBorders>
              <w:top w:val="single" w:sz="8" w:color="939599"/>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4,029,712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720" w:hanging="252"/>
        <w:spacing w:after="0" w:line="305"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TSR based on initial investment of $100 made at the end of 2019 and reflects cumulative change since that time. Peer group represents the S&amp;P 500 Information Technology Sector Index.</w:t>
      </w:r>
    </w:p>
    <w:p>
      <w:pPr>
        <w:spacing w:after="0" w:line="9" w:lineRule="exact"/>
        <w:rPr>
          <w:rFonts w:ascii="Arial" w:cs="Arial" w:eastAsia="Arial" w:hAnsi="Arial"/>
          <w:sz w:val="9"/>
          <w:szCs w:val="9"/>
          <w:color w:val="auto"/>
        </w:rPr>
      </w:pPr>
    </w:p>
    <w:p>
      <w:pPr>
        <w:jc w:val="both"/>
        <w:ind w:left="260" w:right="220" w:hanging="252"/>
        <w:spacing w:after="0" w:line="283" w:lineRule="auto"/>
        <w:tabs>
          <w:tab w:leader="none" w:pos="248" w:val="left"/>
        </w:tabs>
        <w:numPr>
          <w:ilvl w:val="0"/>
          <w:numId w:val="46"/>
        </w:numPr>
        <w:rPr>
          <w:rFonts w:ascii="Times New Roman" w:cs="Times New Roman" w:eastAsia="Times New Roman" w:hAnsi="Times New Roman"/>
          <w:sz w:val="11"/>
          <w:szCs w:val="11"/>
          <w:color w:val="auto"/>
        </w:rPr>
      </w:pPr>
      <w:r>
        <w:rPr>
          <w:rFonts w:ascii="Arial" w:cs="Arial" w:eastAsia="Arial" w:hAnsi="Arial"/>
          <w:sz w:val="14"/>
          <w:szCs w:val="14"/>
          <w:color w:val="auto"/>
        </w:rPr>
        <w:t>In December 2020, the Compensation Committee approved a $6.5 million adjustment to the 2020 operating income amount used in the determination of the performance level achieved for the PSUs that vested in February 2021. The adjustment was made to account for the impact of the sale of the security services contracts in December 2018, which was not contemplated at the time the performance goals for these PSUs were established.</w:t>
      </w:r>
    </w:p>
    <w:p>
      <w:pPr>
        <w:spacing w:after="0" w:line="32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920"/>
        <w:spacing w:after="0" w:line="298" w:lineRule="auto"/>
        <w:rPr>
          <w:sz w:val="20"/>
          <w:szCs w:val="20"/>
          <w:color w:val="auto"/>
        </w:rPr>
      </w:pPr>
      <w:r>
        <w:rPr>
          <w:rFonts w:ascii="Arial" w:cs="Arial" w:eastAsia="Arial" w:hAnsi="Arial"/>
          <w:sz w:val="25"/>
          <w:szCs w:val="25"/>
          <w:b w:val="1"/>
          <w:bCs w:val="1"/>
          <w:color w:val="auto"/>
        </w:rPr>
        <w:t>Description of Certain Relationships between Information Presented in the Pay versus Performance Table</w:t>
      </w:r>
    </w:p>
    <w:p>
      <w:pPr>
        <w:spacing w:after="0" w:line="1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accordance with SEC rules, the Company is providing the following charts to show the relationship between the CAP for Mr. Bidzos and the average CAP for our other NEOs in comparison to the TSR for Verisign, the TSR for the S&amp;P 500 Information Technology Sector Index, our net income and our operating income, respectively, over the 4 year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44450</wp:posOffset>
            </wp:positionV>
            <wp:extent cx="5795010" cy="384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9501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Performance Measures</w:t>
      </w:r>
    </w:p>
    <w:p>
      <w:pPr>
        <w:spacing w:after="0" w:line="14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following table sets forth the most important financial performance measures that were used in determining the NEOs compensation during the last fiscal year, as further described in the “Compensation Discussion and Analysis” section of this Proxy Statement.</w:t>
      </w:r>
    </w:p>
    <w:p>
      <w:pPr>
        <w:spacing w:after="0" w:line="84"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031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0317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CAGR of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0317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Relative TSR vs.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Compensation of Directors</w:t>
      </w:r>
    </w:p>
    <w:p>
      <w:pPr>
        <w:spacing w:after="0" w:line="335"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This section provides information regarding our compensation policies for non-employee directors and amounts earned and securities awarded to these directors in 2023. Mr. Bidzos is our Executive Chairman, President and Chief Executive Officer. As an employee of our Company, Mr. Bidzos does not participate in our compensation program for non-employee directors, and he is compensated as an executive officer of our Company. Mr. Bidzos’ compensation is described in “Executive Compensation” elsewhere in this Proxy Statement.</w:t>
      </w:r>
    </w:p>
    <w:p>
      <w:pPr>
        <w:spacing w:after="0" w:line="265" w:lineRule="exact"/>
        <w:rPr>
          <w:sz w:val="20"/>
          <w:szCs w:val="20"/>
          <w:color w:val="auto"/>
        </w:rPr>
      </w:pPr>
    </w:p>
    <w:p>
      <w:pPr>
        <w:ind w:right="1320"/>
        <w:spacing w:after="0" w:line="295" w:lineRule="auto"/>
        <w:rPr>
          <w:sz w:val="20"/>
          <w:szCs w:val="20"/>
          <w:color w:val="auto"/>
        </w:rPr>
      </w:pPr>
      <w:r>
        <w:rPr>
          <w:rFonts w:ascii="Arial" w:cs="Arial" w:eastAsia="Arial" w:hAnsi="Arial"/>
          <w:sz w:val="32"/>
          <w:szCs w:val="32"/>
          <w:b w:val="1"/>
          <w:bCs w:val="1"/>
          <w:color w:val="004A98"/>
        </w:rPr>
        <w:t>Non-Employee Director Retainer Fees and Equity Compensation Information</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July 26, 2023, the Compensation Committee met to review our overall non-employee director compensation program. As part of this review, the Compensation Committee received a report of competitive market data and compensation practices prepared by FW Cook for the same peer group it used to benchmark executive compensation. For information about the peer group, see “Executive Compensation—Compensation Discussion and Analysis” elsewhere in this Proxy Statement. The Compensation Committee sets director compensation levels at or near the market median relative to directors at companies in the peer group so that directors are paid competitively for their time commitment and responsibilities. Providing a competitive compensation package is important because it enables us to attract and retain highly qualified directors who are critical to our long-term success. Following the July 2023 review, including consideration of the recommendations made by FW Cook, the Compensation Committee determined that it was in the best interests of our Company and our stockholders (i) to increase the annual cash retainer for each non-employee director from $40,000 to $45,000; (ii) to increase the annual cash retainer for the lead independent director from $25,000 to $50,000; (iii) to increase the annual cash retainer for the Chairperson of the Corporate Governance and Nominating Committee from $10,000 to $15,000; and (iv) to continue to make an annual equity award grant to each director of $250,000 (made solely in the form of RSUs), which vest immediately upon grant. Historically, new directors are granted an equity award equal to the pro rata amount of such annual equity award, the amount of which is determined based on the date of such new director’s appointment or election to the Board. Directors are subject to our stock retention policy as described in “Stock Ownership Information—Stock Ownership Policies.”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received annual cash retainer fees for 2023 as follows: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ANNUAL CASH RETAINER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20" w:type="dxa"/>
            <w:vAlign w:val="bottom"/>
            <w:tcBorders>
              <w:top w:val="single" w:sz="8" w:color="auto"/>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Non-Employee Director</w:t>
            </w:r>
          </w:p>
        </w:tc>
        <w:tc>
          <w:tcPr>
            <w:tcW w:w="120" w:type="dxa"/>
            <w:vAlign w:val="bottom"/>
            <w:tcBorders>
              <w:top w:val="single" w:sz="8" w:color="auto"/>
              <w:bottom w:val="single" w:sz="8" w:color="939598"/>
              <w:right w:val="single" w:sz="8" w:color="E6E7E8"/>
            </w:tcBorders>
            <w:shd w:val="clear" w:color="auto" w:fill="E6E7E8"/>
          </w:tcPr>
          <w:p>
            <w:pPr>
              <w:spacing w:after="0"/>
              <w:rPr>
                <w:sz w:val="18"/>
                <w:szCs w:val="18"/>
                <w:color w:val="auto"/>
              </w:rPr>
            </w:pPr>
          </w:p>
        </w:tc>
        <w:tc>
          <w:tcPr>
            <w:tcW w:w="1320" w:type="dxa"/>
            <w:vAlign w:val="bottom"/>
            <w:tcBorders>
              <w:top w:val="single" w:sz="8" w:color="auto"/>
              <w:bottom w:val="single" w:sz="8" w:color="939598"/>
            </w:tcBorders>
            <w:shd w:val="clear" w:color="auto" w:fill="E6E7E8"/>
          </w:tcPr>
          <w:p>
            <w:pPr>
              <w:spacing w:after="0"/>
              <w:rPr>
                <w:sz w:val="18"/>
                <w:szCs w:val="18"/>
                <w:color w:val="auto"/>
              </w:rPr>
            </w:pPr>
          </w:p>
        </w:tc>
        <w:tc>
          <w:tcPr>
            <w:tcW w:w="1180" w:type="dxa"/>
            <w:vAlign w:val="bottom"/>
            <w:tcBorders>
              <w:top w:val="single" w:sz="8" w:color="auto"/>
              <w:bottom w:val="single" w:sz="8" w:color="939598"/>
            </w:tcBorders>
            <w:gridSpan w:val="2"/>
            <w:shd w:val="clear" w:color="auto" w:fill="E6E7E8"/>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355"/>
        </w:trPr>
        <w:tc>
          <w:tcPr>
            <w:tcW w:w="8620" w:type="dxa"/>
            <w:vAlign w:val="bottom"/>
            <w:tcBorders>
              <w:bottom w:val="single" w:sz="8" w:color="050505"/>
            </w:tcBorders>
          </w:tcPr>
          <w:p>
            <w:pPr>
              <w:ind w:left="20"/>
              <w:spacing w:after="0"/>
              <w:rPr>
                <w:sz w:val="20"/>
                <w:szCs w:val="20"/>
                <w:color w:val="auto"/>
              </w:rPr>
            </w:pPr>
            <w:r>
              <w:rPr>
                <w:rFonts w:ascii="Arial" w:cs="Arial" w:eastAsia="Arial" w:hAnsi="Arial"/>
                <w:sz w:val="13"/>
                <w:szCs w:val="13"/>
                <w:b w:val="1"/>
                <w:bCs w:val="1"/>
                <w:color w:val="auto"/>
              </w:rPr>
              <w:t>ADDITIONAL CASH RETAINERS</w:t>
            </w:r>
          </w:p>
        </w:tc>
        <w:tc>
          <w:tcPr>
            <w:tcW w:w="120" w:type="dxa"/>
            <w:vAlign w:val="bottom"/>
            <w:tcBorders>
              <w:bottom w:val="single" w:sz="8" w:color="050505"/>
            </w:tcBorders>
          </w:tcPr>
          <w:p>
            <w:pPr>
              <w:spacing w:after="0"/>
              <w:rPr>
                <w:sz w:val="24"/>
                <w:szCs w:val="24"/>
                <w:color w:val="auto"/>
              </w:rPr>
            </w:pPr>
          </w:p>
        </w:tc>
        <w:tc>
          <w:tcPr>
            <w:tcW w:w="1320" w:type="dxa"/>
            <w:vAlign w:val="bottom"/>
            <w:tcBorders>
              <w:bottom w:val="single" w:sz="8" w:color="050505"/>
            </w:tcBorders>
          </w:tcPr>
          <w:p>
            <w:pPr>
              <w:spacing w:after="0"/>
              <w:rPr>
                <w:sz w:val="24"/>
                <w:szCs w:val="24"/>
                <w:color w:val="auto"/>
              </w:rPr>
            </w:pPr>
          </w:p>
        </w:tc>
        <w:tc>
          <w:tcPr>
            <w:tcW w:w="120" w:type="dxa"/>
            <w:vAlign w:val="bottom"/>
            <w:tcBorders>
              <w:bottom w:val="single" w:sz="8" w:color="050505"/>
            </w:tcBorders>
          </w:tcPr>
          <w:p>
            <w:pPr>
              <w:spacing w:after="0"/>
              <w:rPr>
                <w:sz w:val="24"/>
                <w:szCs w:val="24"/>
                <w:color w:val="auto"/>
              </w:rPr>
            </w:pPr>
          </w:p>
        </w:tc>
        <w:tc>
          <w:tcPr>
            <w:tcW w:w="1060" w:type="dxa"/>
            <w:vAlign w:val="bottom"/>
            <w:tcBorders>
              <w:bottom w:val="single" w:sz="8" w:color="050505"/>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62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 xml:space="preserve">Non-Executive Chairman of the Board </w:t>
            </w:r>
            <w:r>
              <w:rPr>
                <w:rFonts w:ascii="Arial" w:cs="Arial" w:eastAsia="Arial" w:hAnsi="Arial"/>
                <w:sz w:val="21"/>
                <w:szCs w:val="21"/>
                <w:color w:val="auto"/>
                <w:vertAlign w:val="superscript"/>
              </w:rPr>
              <w:t>(1)</w:t>
            </w:r>
          </w:p>
        </w:tc>
        <w:tc>
          <w:tcPr>
            <w:tcW w:w="120" w:type="dxa"/>
            <w:vAlign w:val="bottom"/>
            <w:tcBorders>
              <w:bottom w:val="single" w:sz="8" w:color="939598"/>
              <w:right w:val="single" w:sz="8" w:color="E6E7E8"/>
            </w:tcBorders>
            <w:shd w:val="clear" w:color="auto" w:fill="E6E7E8"/>
          </w:tcPr>
          <w:p>
            <w:pPr>
              <w:spacing w:after="0"/>
              <w:rPr>
                <w:sz w:val="24"/>
                <w:szCs w:val="24"/>
                <w:color w:val="auto"/>
              </w:rPr>
            </w:pPr>
          </w:p>
        </w:tc>
        <w:tc>
          <w:tcPr>
            <w:tcW w:w="1320" w:type="dxa"/>
            <w:vAlign w:val="bottom"/>
            <w:tcBorders>
              <w:bottom w:val="single" w:sz="8" w:color="939598"/>
            </w:tcBorders>
            <w:shd w:val="clear" w:color="auto" w:fill="E6E7E8"/>
          </w:tcPr>
          <w:p>
            <w:pPr>
              <w:spacing w:after="0"/>
              <w:rPr>
                <w:sz w:val="24"/>
                <w:szCs w:val="24"/>
                <w:color w:val="auto"/>
              </w:rPr>
            </w:pPr>
          </w:p>
        </w:tc>
        <w:tc>
          <w:tcPr>
            <w:tcW w:w="1180" w:type="dxa"/>
            <w:vAlign w:val="bottom"/>
            <w:tcBorders>
              <w:bottom w:val="single" w:sz="8" w:color="939598"/>
            </w:tcBorders>
            <w:gridSpan w:val="2"/>
            <w:shd w:val="clear" w:color="auto" w:fill="E6E7E8"/>
          </w:tcPr>
          <w:p>
            <w:pPr>
              <w:jc w:val="right"/>
              <w:ind w:right="3"/>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862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Lead Independent Director</w:t>
            </w:r>
          </w:p>
        </w:tc>
        <w:tc>
          <w:tcPr>
            <w:tcW w:w="12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180" w:type="dxa"/>
            <w:vAlign w:val="bottom"/>
            <w:tcBorders>
              <w:bottom w:val="single" w:sz="8" w:color="939598"/>
            </w:tcBorders>
            <w:gridSpan w:val="2"/>
          </w:tcPr>
          <w:p>
            <w:pPr>
              <w:jc w:val="right"/>
              <w:ind w:right="3"/>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Safety and Security Council Liaison</w:t>
            </w:r>
          </w:p>
        </w:tc>
        <w:tc>
          <w:tcPr>
            <w:tcW w:w="120" w:type="dxa"/>
            <w:vAlign w:val="bottom"/>
            <w:tcBorders>
              <w:bottom w:val="single" w:sz="8" w:color="939598"/>
              <w:right w:val="single" w:sz="8" w:color="E6E7E8"/>
            </w:tcBorders>
            <w:shd w:val="clear" w:color="auto" w:fill="E6E7E8"/>
          </w:tcPr>
          <w:p>
            <w:pPr>
              <w:spacing w:after="0"/>
              <w:rPr>
                <w:sz w:val="21"/>
                <w:szCs w:val="21"/>
                <w:color w:val="auto"/>
              </w:rPr>
            </w:pPr>
          </w:p>
        </w:tc>
        <w:tc>
          <w:tcPr>
            <w:tcW w:w="1320" w:type="dxa"/>
            <w:vAlign w:val="bottom"/>
            <w:tcBorders>
              <w:bottom w:val="single" w:sz="8" w:color="939598"/>
            </w:tcBorders>
            <w:shd w:val="clear" w:color="auto" w:fill="E6E7E8"/>
          </w:tcPr>
          <w:p>
            <w:pPr>
              <w:spacing w:after="0"/>
              <w:rPr>
                <w:sz w:val="21"/>
                <w:szCs w:val="21"/>
                <w:color w:val="auto"/>
              </w:rPr>
            </w:pPr>
          </w:p>
        </w:tc>
        <w:tc>
          <w:tcPr>
            <w:tcW w:w="1180" w:type="dxa"/>
            <w:vAlign w:val="bottom"/>
            <w:tcBorders>
              <w:bottom w:val="single" w:sz="8" w:color="939598"/>
            </w:tcBorders>
            <w:gridSpan w:val="2"/>
            <w:shd w:val="clear" w:color="auto" w:fill="E6E7E8"/>
          </w:tcPr>
          <w:p>
            <w:pPr>
              <w:jc w:val="right"/>
              <w:ind w:right="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83"/>
        </w:trPr>
        <w:tc>
          <w:tcPr>
            <w:tcW w:w="8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ADDITIONAL CASH RETAINERS FOR COMMITTEE SERVICE</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CHAIRPERSON</w:t>
            </w:r>
          </w:p>
        </w:tc>
        <w:tc>
          <w:tcPr>
            <w:tcW w:w="120" w:type="dxa"/>
            <w:vAlign w:val="bottom"/>
          </w:tcPr>
          <w:p>
            <w:pPr>
              <w:spacing w:after="0"/>
              <w:rPr>
                <w:sz w:val="15"/>
                <w:szCs w:val="15"/>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3"/>
                <w:szCs w:val="13"/>
                <w:b w:val="1"/>
                <w:bCs w:val="1"/>
                <w:color w:val="auto"/>
              </w:rPr>
              <w:t>MEMBER</w:t>
            </w:r>
          </w:p>
        </w:tc>
        <w:tc>
          <w:tcPr>
            <w:tcW w:w="0" w:type="dxa"/>
            <w:vAlign w:val="bottom"/>
          </w:tcPr>
          <w:p>
            <w:pPr>
              <w:spacing w:after="0"/>
              <w:rPr>
                <w:sz w:val="1"/>
                <w:szCs w:val="1"/>
                <w:color w:val="auto"/>
              </w:rPr>
            </w:pPr>
          </w:p>
        </w:tc>
      </w:tr>
      <w:tr>
        <w:trPr>
          <w:trHeight w:val="177"/>
        </w:trPr>
        <w:tc>
          <w:tcPr>
            <w:tcW w:w="862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2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Audit</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9"/>
        </w:trPr>
        <w:tc>
          <w:tcPr>
            <w:tcW w:w="862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0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0"/>
        </w:trPr>
        <w:tc>
          <w:tcPr>
            <w:tcW w:w="862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Corporate Governance and Nominating</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1"/>
        </w:trPr>
        <w:tc>
          <w:tcPr>
            <w:tcW w:w="862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Cybersecurity</w:t>
            </w:r>
          </w:p>
        </w:tc>
        <w:tc>
          <w:tcPr>
            <w:tcW w:w="120" w:type="dxa"/>
            <w:vAlign w:val="bottom"/>
          </w:tcPr>
          <w:p>
            <w:pPr>
              <w:spacing w:after="0"/>
              <w:rPr>
                <w:sz w:val="20"/>
                <w:szCs w:val="2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0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The position of “Non-Executive Chairman of the Board” was not held during 2023, and as such no annual retainer fees were paid during this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reimbursed for their expenses incurred in attending meetings.</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Amended and Restated VeriSign, Inc. 2006 Equity Incentive Plan limits the compensation (including equity and cash awards) paid to any non-employee director in any year to an aggregate dollar value of $600,000, with an exception to allow for up to two times such limit for grants made in the first year of service or first year designated as chairman or lead independent director.</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Non-Employee Director Compensation Table for 2023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sets forth a summary of compensation information for our non-employee directors for </w:t>
      </w:r>
      <w:r>
        <w:rPr>
          <w:rFonts w:ascii="Arial" w:cs="Arial" w:eastAsia="Arial" w:hAnsi="Arial"/>
          <w:sz w:val="17"/>
          <w:szCs w:val="17"/>
          <w:color w:val="auto"/>
        </w:rPr>
        <w:t>2023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FEES EARNED OR</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NON-EMPLOYEE DIRECTOR NAME</w:t>
            </w:r>
          </w:p>
        </w:tc>
        <w:tc>
          <w:tcPr>
            <w:tcW w:w="120" w:type="dxa"/>
            <w:vAlign w:val="bottom"/>
            <w:tcBorders>
              <w:right w:val="single" w:sz="8" w:color="auto"/>
            </w:tcBorders>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PAID IN CASH</w:t>
            </w:r>
          </w:p>
        </w:tc>
        <w:tc>
          <w:tcPr>
            <w:tcW w:w="120" w:type="dxa"/>
            <w:vAlign w:val="bottom"/>
            <w:tcBorders>
              <w:right w:val="single" w:sz="8" w:color="auto"/>
            </w:tcBorders>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20" w:type="dxa"/>
            <w:vAlign w:val="bottom"/>
            <w:tcBorders>
              <w:right w:val="single" w:sz="8" w:color="auto"/>
            </w:tcBorders>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050505"/>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 xml:space="preserve">Courtney D. Armstrong </w:t>
            </w:r>
            <w:r>
              <w:rPr>
                <w:rFonts w:ascii="Arial" w:cs="Arial" w:eastAsia="Arial" w:hAnsi="Arial"/>
                <w:sz w:val="9"/>
                <w:szCs w:val="9"/>
                <w:b w:val="1"/>
                <w:bCs w:val="1"/>
                <w:color w:val="004A98"/>
              </w:rPr>
              <w:t>(3)</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69,743</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319,550</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Yehuda Ari Buchalter</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72,188</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ind w:right="12"/>
              <w:spacing w:after="0"/>
              <w:rPr>
                <w:sz w:val="20"/>
                <w:szCs w:val="20"/>
                <w:color w:val="auto"/>
              </w:rPr>
            </w:pPr>
            <w:r>
              <w:rPr>
                <w:rFonts w:ascii="Arial" w:cs="Arial" w:eastAsia="Arial" w:hAnsi="Arial"/>
                <w:sz w:val="14"/>
                <w:szCs w:val="14"/>
                <w:color w:val="auto"/>
              </w:rPr>
              <w:t>249,807</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321,995</w:t>
            </w:r>
          </w:p>
        </w:tc>
        <w:tc>
          <w:tcPr>
            <w:tcW w:w="0" w:type="dxa"/>
            <w:vAlign w:val="bottom"/>
          </w:tcPr>
          <w:p>
            <w:pPr>
              <w:spacing w:after="0"/>
              <w:rPr>
                <w:sz w:val="1"/>
                <w:szCs w:val="1"/>
                <w:color w:val="auto"/>
              </w:rPr>
            </w:pPr>
          </w:p>
        </w:tc>
      </w:tr>
      <w:tr>
        <w:trPr>
          <w:trHeight w:val="196"/>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Kathleen A. Cote</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89,375</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339,182</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Thomas F. Frist III</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82,188</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ind w:right="12"/>
              <w:spacing w:after="0"/>
              <w:rPr>
                <w:sz w:val="20"/>
                <w:szCs w:val="20"/>
                <w:color w:val="auto"/>
              </w:rPr>
            </w:pPr>
            <w:r>
              <w:rPr>
                <w:rFonts w:ascii="Arial" w:cs="Arial" w:eastAsia="Arial" w:hAnsi="Arial"/>
                <w:sz w:val="14"/>
                <w:szCs w:val="14"/>
                <w:color w:val="auto"/>
              </w:rPr>
              <w:t>249,807</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331,995</w:t>
            </w:r>
          </w:p>
        </w:tc>
        <w:tc>
          <w:tcPr>
            <w:tcW w:w="0" w:type="dxa"/>
            <w:vAlign w:val="bottom"/>
          </w:tcPr>
          <w:p>
            <w:pPr>
              <w:spacing w:after="0"/>
              <w:rPr>
                <w:sz w:val="1"/>
                <w:szCs w:val="1"/>
                <w:color w:val="auto"/>
              </w:rPr>
            </w:pPr>
          </w:p>
        </w:tc>
      </w:tr>
      <w:tr>
        <w:trPr>
          <w:trHeight w:val="196"/>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Jamie S. Gorelick</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72,188</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321,995</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Roger H. Moore</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168,125</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ind w:right="12"/>
              <w:spacing w:after="0"/>
              <w:rPr>
                <w:sz w:val="20"/>
                <w:szCs w:val="20"/>
                <w:color w:val="auto"/>
              </w:rPr>
            </w:pPr>
            <w:r>
              <w:rPr>
                <w:rFonts w:ascii="Arial" w:cs="Arial" w:eastAsia="Arial" w:hAnsi="Arial"/>
                <w:sz w:val="14"/>
                <w:szCs w:val="14"/>
                <w:color w:val="auto"/>
              </w:rPr>
              <w:t>249,807</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417,932</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939598"/>
            </w:tcBorders>
          </w:tcPr>
          <w:p>
            <w:pPr>
              <w:ind w:left="60"/>
              <w:spacing w:after="0"/>
              <w:rPr>
                <w:sz w:val="20"/>
                <w:szCs w:val="20"/>
                <w:color w:val="auto"/>
              </w:rPr>
            </w:pPr>
            <w:r>
              <w:rPr>
                <w:rFonts w:ascii="Arial" w:cs="Arial" w:eastAsia="Arial" w:hAnsi="Arial"/>
                <w:sz w:val="14"/>
                <w:szCs w:val="14"/>
                <w:b w:val="1"/>
                <w:bCs w:val="1"/>
                <w:color w:val="004A98"/>
              </w:rPr>
              <w:t>Timothy Tomlinson</w:t>
            </w:r>
          </w:p>
        </w:tc>
        <w:tc>
          <w:tcPr>
            <w:tcW w:w="120" w:type="dxa"/>
            <w:vAlign w:val="bottom"/>
          </w:tcPr>
          <w:p>
            <w:pPr>
              <w:spacing w:after="0"/>
              <w:rPr>
                <w:sz w:val="17"/>
                <w:szCs w:val="17"/>
                <w:color w:val="auto"/>
              </w:rPr>
            </w:pP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132,188</w:t>
            </w:r>
          </w:p>
        </w:tc>
        <w:tc>
          <w:tcPr>
            <w:tcW w:w="120" w:type="dxa"/>
            <w:vAlign w:val="bottom"/>
          </w:tcPr>
          <w:p>
            <w:pPr>
              <w:spacing w:after="0"/>
              <w:rPr>
                <w:sz w:val="17"/>
                <w:szCs w:val="17"/>
                <w:color w:val="auto"/>
              </w:rPr>
            </w:pPr>
          </w:p>
        </w:tc>
        <w:tc>
          <w:tcPr>
            <w:tcW w:w="880" w:type="dxa"/>
            <w:vAlign w:val="bottom"/>
            <w:tcBorders>
              <w:bottom w:val="single" w:sz="8" w:color="939598"/>
            </w:tcBorders>
          </w:tcPr>
          <w:p>
            <w:pPr>
              <w:jc w:val="right"/>
              <w:ind w:right="12"/>
              <w:spacing w:after="0"/>
              <w:rPr>
                <w:sz w:val="20"/>
                <w:szCs w:val="20"/>
                <w:color w:val="auto"/>
              </w:rPr>
            </w:pPr>
            <w:r>
              <w:rPr>
                <w:rFonts w:ascii="Arial" w:cs="Arial" w:eastAsia="Arial" w:hAnsi="Arial"/>
                <w:sz w:val="14"/>
                <w:szCs w:val="14"/>
                <w:color w:val="auto"/>
              </w:rPr>
              <w:t>249,807</w:t>
            </w:r>
          </w:p>
        </w:tc>
        <w:tc>
          <w:tcPr>
            <w:tcW w:w="120" w:type="dxa"/>
            <w:vAlign w:val="bottom"/>
          </w:tcPr>
          <w:p>
            <w:pPr>
              <w:spacing w:after="0"/>
              <w:rPr>
                <w:sz w:val="17"/>
                <w:szCs w:val="17"/>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381,995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Amounts shown represent cash retainer fees earned by each director.</w:t>
      </w:r>
    </w:p>
    <w:p>
      <w:pPr>
        <w:spacing w:after="0" w:line="57" w:lineRule="exact"/>
        <w:rPr>
          <w:rFonts w:ascii="Arial" w:cs="Arial" w:eastAsia="Arial" w:hAnsi="Arial"/>
          <w:sz w:val="19"/>
          <w:szCs w:val="19"/>
          <w:color w:val="auto"/>
          <w:vertAlign w:val="superscript"/>
        </w:rPr>
      </w:pPr>
    </w:p>
    <w:p>
      <w:pPr>
        <w:ind w:left="260" w:right="80" w:hanging="252"/>
        <w:spacing w:after="0" w:line="280"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Stock awards consist solely of RSUs which vest immediately upon grant. Amounts shown represent the aggregate grant date fair value computed in accordance with FASB ASC Topic 718 for awards granted in 2023. The grant date fair value of each award granted to each non-employee director on July 24, 2023 was $249,807 (consisting of 1,179 RSUs valued at $211.88 per share, which was the closing price per share on the grant date). No director held any outstanding awards as of December 31, 2023.</w:t>
      </w:r>
    </w:p>
    <w:p>
      <w:pPr>
        <w:ind w:left="280" w:hanging="272"/>
        <w:spacing w:after="0"/>
        <w:tabs>
          <w:tab w:leader="none" w:pos="2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Mr. Armstrong was appointed to the Compensation Committee on February 14, 2023.</w:t>
      </w:r>
    </w:p>
    <w:p>
      <w:pPr>
        <w:spacing w:after="0" w:line="200" w:lineRule="exact"/>
        <w:rPr>
          <w:sz w:val="20"/>
          <w:szCs w:val="20"/>
          <w:color w:val="auto"/>
        </w:rPr>
      </w:pPr>
    </w:p>
    <w:p>
      <w:pPr>
        <w:spacing w:after="0" w:line="31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9154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91540" cy="145415"/>
                    </a:xfrm>
                    <a:prstGeom prst="rect">
                      <a:avLst/>
                    </a:prstGeom>
                    <a:noFill/>
                  </pic:spPr>
                </pic:pic>
              </a:graphicData>
            </a:graphic>
          </wp:anchor>
        </w:drawing>
      </w:r>
    </w:p>
    <w:p>
      <w:pPr>
        <w:spacing w:after="0" w:line="180" w:lineRule="exact"/>
        <w:rPr>
          <w:sz w:val="20"/>
          <w:szCs w:val="20"/>
          <w:color w:val="auto"/>
        </w:rPr>
      </w:pPr>
    </w:p>
    <w:p>
      <w:pPr>
        <w:ind w:right="440"/>
        <w:spacing w:after="0" w:line="291" w:lineRule="auto"/>
        <w:rPr>
          <w:sz w:val="20"/>
          <w:szCs w:val="20"/>
          <w:color w:val="auto"/>
        </w:rPr>
      </w:pPr>
      <w:r>
        <w:rPr>
          <w:rFonts w:ascii="Arial" w:cs="Arial" w:eastAsia="Arial" w:hAnsi="Arial"/>
          <w:sz w:val="32"/>
          <w:szCs w:val="32"/>
          <w:b w:val="1"/>
          <w:bCs w:val="1"/>
          <w:color w:val="004A98"/>
        </w:rPr>
        <w:t>Ratification of Selection of Independent Registered Public Accounting Firm</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Audit Committee has selected KPMG LLP as our independent registered public accounting firm to perform the audit of our consolidated financial statements for the year ending December 31, 2024, and, as a matter of good corporate governance, our stockholders are being asked to ratify this selection. A representative of KPMG LLP is expected to be available at the Annual Meeting, will have the opportunity to make a statement at the Annual Meeting if he or she desires to do so, and is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49465" cy="3511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52"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The Board recommends a vote FOR this proposal.</w:t>
      </w:r>
    </w:p>
    <w:p>
      <w:pPr>
        <w:spacing w:after="0" w:line="381" w:lineRule="exact"/>
        <w:rPr>
          <w:sz w:val="20"/>
          <w:szCs w:val="20"/>
          <w:color w:val="auto"/>
        </w:rPr>
      </w:pPr>
    </w:p>
    <w:p>
      <w:pPr>
        <w:sectPr>
          <w:pgSz w:w="11900" w:h="16838" w:orient="portrait"/>
          <w:cols w:equalWidth="0" w:num="2">
            <w:col w:w="1380" w:space="720"/>
            <w:col w:w="9140"/>
          </w:cols>
          <w:pgMar w:left="320" w:top="122"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Principal Accountant Fees and Services</w:t>
      </w:r>
    </w:p>
    <w:p>
      <w:pPr>
        <w:spacing w:after="0" w:line="1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presents fees billed for professional services rendered by KPMG LLP for the audit of our annual consolidated financial statements for the years ended December 31, 2023 and December 31, 2022, and fees billed for other services provided by KPMG LLP, in each of the last two completed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auto"/>
            </w:tcBorders>
          </w:tcPr>
          <w:p>
            <w:pPr>
              <w:spacing w:after="0"/>
              <w:rPr>
                <w:sz w:val="17"/>
                <w:szCs w:val="17"/>
                <w:color w:val="auto"/>
              </w:rPr>
            </w:pPr>
          </w:p>
        </w:tc>
        <w:tc>
          <w:tcPr>
            <w:tcW w:w="7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 FEES</w:t>
            </w:r>
          </w:p>
        </w:tc>
        <w:tc>
          <w:tcPr>
            <w:tcW w:w="10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 FEES</w:t>
            </w:r>
          </w:p>
        </w:tc>
        <w:tc>
          <w:tcPr>
            <w:tcW w:w="0" w:type="dxa"/>
            <w:vAlign w:val="bottom"/>
          </w:tcPr>
          <w:p>
            <w:pPr>
              <w:spacing w:after="0"/>
              <w:rPr>
                <w:sz w:val="1"/>
                <w:szCs w:val="1"/>
                <w:color w:val="auto"/>
              </w:rPr>
            </w:pPr>
          </w:p>
        </w:tc>
      </w:tr>
      <w:tr>
        <w:trPr>
          <w:trHeight w:val="158"/>
        </w:trPr>
        <w:tc>
          <w:tcPr>
            <w:tcW w:w="800" w:type="dxa"/>
            <w:vAlign w:val="bottom"/>
            <w:vMerge w:val="restart"/>
            <w:shd w:val="clear" w:color="auto" w:fill="E6E7E8"/>
          </w:tcPr>
          <w:p>
            <w:pPr>
              <w:ind w:left="20"/>
              <w:spacing w:after="0"/>
              <w:rPr>
                <w:sz w:val="20"/>
                <w:szCs w:val="20"/>
                <w:color w:val="auto"/>
              </w:rPr>
            </w:pPr>
            <w:r>
              <w:rPr>
                <w:rFonts w:ascii="Arial" w:cs="Arial" w:eastAsia="Arial" w:hAnsi="Arial"/>
                <w:sz w:val="16"/>
                <w:szCs w:val="16"/>
                <w:b w:val="1"/>
                <w:bCs w:val="1"/>
                <w:color w:val="004A98"/>
                <w:w w:val="98"/>
                <w:shd w:val="clear" w:color="auto" w:fill="E6E7E8"/>
              </w:rPr>
              <w:t>Audit fees</w:t>
            </w:r>
          </w:p>
        </w:tc>
        <w:tc>
          <w:tcPr>
            <w:tcW w:w="7900" w:type="dxa"/>
            <w:vAlign w:val="bottom"/>
            <w:shd w:val="clear" w:color="auto" w:fill="E6E7E8"/>
          </w:tcPr>
          <w:p>
            <w:pPr>
              <w:jc w:val="right"/>
              <w:ind w:right="7707"/>
              <w:spacing w:after="0"/>
              <w:rPr>
                <w:sz w:val="20"/>
                <w:szCs w:val="20"/>
                <w:color w:val="auto"/>
              </w:rPr>
            </w:pPr>
            <w:r>
              <w:rPr>
                <w:rFonts w:ascii="Arial" w:cs="Arial" w:eastAsia="Arial" w:hAnsi="Arial"/>
                <w:sz w:val="11"/>
                <w:szCs w:val="11"/>
                <w:b w:val="1"/>
                <w:bCs w:val="1"/>
                <w:color w:val="004A98"/>
                <w:w w:val="88"/>
                <w:shd w:val="clear" w:color="auto" w:fill="E6E7E8"/>
              </w:rPr>
              <w:t>(1)</w:t>
            </w:r>
          </w:p>
        </w:tc>
        <w:tc>
          <w:tcPr>
            <w:tcW w:w="120" w:type="dxa"/>
            <w:vAlign w:val="bottom"/>
            <w:tcBorders>
              <w:right w:val="single" w:sz="8" w:color="E6E7E8"/>
            </w:tcBorders>
          </w:tcPr>
          <w:p>
            <w:pPr>
              <w:spacing w:after="0"/>
              <w:rPr>
                <w:sz w:val="13"/>
                <w:szCs w:val="13"/>
                <w:color w:val="auto"/>
              </w:rPr>
            </w:pPr>
          </w:p>
        </w:tc>
        <w:tc>
          <w:tcPr>
            <w:tcW w:w="220" w:type="dxa"/>
            <w:vAlign w:val="bottom"/>
            <w:vMerge w:val="restart"/>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2,021,283</w:t>
            </w:r>
          </w:p>
        </w:tc>
        <w:tc>
          <w:tcPr>
            <w:tcW w:w="100" w:type="dxa"/>
            <w:vAlign w:val="bottom"/>
            <w:tcBorders>
              <w:right w:val="single" w:sz="8" w:color="E6E7E8"/>
            </w:tcBorders>
          </w:tcPr>
          <w:p>
            <w:pPr>
              <w:spacing w:after="0"/>
              <w:rPr>
                <w:sz w:val="13"/>
                <w:szCs w:val="13"/>
                <w:color w:val="auto"/>
              </w:rPr>
            </w:pPr>
          </w:p>
        </w:tc>
        <w:tc>
          <w:tcPr>
            <w:tcW w:w="240" w:type="dxa"/>
            <w:vAlign w:val="bottom"/>
            <w:vMerge w:val="restart"/>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1,815,926</w:t>
            </w:r>
          </w:p>
        </w:tc>
        <w:tc>
          <w:tcPr>
            <w:tcW w:w="0" w:type="dxa"/>
            <w:vAlign w:val="bottom"/>
          </w:tcPr>
          <w:p>
            <w:pPr>
              <w:spacing w:after="0"/>
              <w:rPr>
                <w:sz w:val="1"/>
                <w:szCs w:val="1"/>
                <w:color w:val="auto"/>
              </w:rPr>
            </w:pPr>
          </w:p>
        </w:tc>
      </w:tr>
      <w:tr>
        <w:trPr>
          <w:trHeight w:val="83"/>
        </w:trPr>
        <w:tc>
          <w:tcPr>
            <w:tcW w:w="800" w:type="dxa"/>
            <w:vAlign w:val="bottom"/>
            <w:tcBorders>
              <w:bottom w:val="single" w:sz="8" w:color="E6E7E8"/>
            </w:tcBorders>
            <w:vMerge w:val="continue"/>
            <w:shd w:val="clear" w:color="auto" w:fill="E6E7E8"/>
          </w:tcPr>
          <w:p>
            <w:pPr>
              <w:spacing w:after="0"/>
              <w:rPr>
                <w:sz w:val="7"/>
                <w:szCs w:val="7"/>
                <w:color w:val="auto"/>
              </w:rPr>
            </w:pPr>
          </w:p>
        </w:tc>
        <w:tc>
          <w:tcPr>
            <w:tcW w:w="7900" w:type="dxa"/>
            <w:vAlign w:val="bottom"/>
            <w:tcBorders>
              <w:bottom w:val="single" w:sz="8" w:color="E6E7E8"/>
            </w:tcBorders>
            <w:shd w:val="clear" w:color="auto" w:fill="E6E7E8"/>
          </w:tcPr>
          <w:p>
            <w:pPr>
              <w:spacing w:after="0"/>
              <w:rPr>
                <w:sz w:val="7"/>
                <w:szCs w:val="7"/>
                <w:color w:val="auto"/>
              </w:rPr>
            </w:pPr>
          </w:p>
        </w:tc>
        <w:tc>
          <w:tcPr>
            <w:tcW w:w="120" w:type="dxa"/>
            <w:vAlign w:val="bottom"/>
            <w:tcBorders>
              <w:right w:val="single" w:sz="8" w:color="E6E7E8"/>
            </w:tcBorders>
          </w:tcPr>
          <w:p>
            <w:pPr>
              <w:spacing w:after="0"/>
              <w:rPr>
                <w:sz w:val="7"/>
                <w:szCs w:val="7"/>
                <w:color w:val="auto"/>
              </w:rPr>
            </w:pPr>
          </w:p>
        </w:tc>
        <w:tc>
          <w:tcPr>
            <w:tcW w:w="220" w:type="dxa"/>
            <w:vAlign w:val="bottom"/>
            <w:tcBorders>
              <w:bottom w:val="single" w:sz="8" w:color="E6E7E8"/>
            </w:tcBorders>
            <w:vMerge w:val="continue"/>
            <w:shd w:val="clear" w:color="auto" w:fill="E6E7E8"/>
          </w:tcPr>
          <w:p>
            <w:pPr>
              <w:spacing w:after="0"/>
              <w:rPr>
                <w:sz w:val="7"/>
                <w:szCs w:val="7"/>
                <w:color w:val="auto"/>
              </w:rPr>
            </w:pPr>
          </w:p>
        </w:tc>
        <w:tc>
          <w:tcPr>
            <w:tcW w:w="940" w:type="dxa"/>
            <w:vAlign w:val="bottom"/>
            <w:tcBorders>
              <w:bottom w:val="single" w:sz="8" w:color="E6E7E8"/>
            </w:tcBorders>
            <w:vMerge w:val="continue"/>
            <w:shd w:val="clear" w:color="auto" w:fill="E6E7E8"/>
          </w:tcPr>
          <w:p>
            <w:pPr>
              <w:spacing w:after="0"/>
              <w:rPr>
                <w:sz w:val="7"/>
                <w:szCs w:val="7"/>
                <w:color w:val="auto"/>
              </w:rPr>
            </w:pPr>
          </w:p>
        </w:tc>
        <w:tc>
          <w:tcPr>
            <w:tcW w:w="100" w:type="dxa"/>
            <w:vAlign w:val="bottom"/>
            <w:tcBorders>
              <w:right w:val="single" w:sz="8" w:color="E6E7E8"/>
            </w:tcBorders>
          </w:tcPr>
          <w:p>
            <w:pPr>
              <w:spacing w:after="0"/>
              <w:rPr>
                <w:sz w:val="7"/>
                <w:szCs w:val="7"/>
                <w:color w:val="auto"/>
              </w:rPr>
            </w:pPr>
          </w:p>
        </w:tc>
        <w:tc>
          <w:tcPr>
            <w:tcW w:w="240" w:type="dxa"/>
            <w:vAlign w:val="bottom"/>
            <w:tcBorders>
              <w:bottom w:val="single" w:sz="8" w:color="E6E7E8"/>
            </w:tcBorders>
            <w:vMerge w:val="continue"/>
            <w:shd w:val="clear" w:color="auto" w:fill="E6E7E8"/>
          </w:tcPr>
          <w:p>
            <w:pPr>
              <w:spacing w:after="0"/>
              <w:rPr>
                <w:sz w:val="7"/>
                <w:szCs w:val="7"/>
                <w:color w:val="auto"/>
              </w:rPr>
            </w:pPr>
          </w:p>
        </w:tc>
        <w:tc>
          <w:tcPr>
            <w:tcW w:w="920" w:type="dxa"/>
            <w:vAlign w:val="bottom"/>
            <w:tcBorders>
              <w:bottom w:val="single" w:sz="8" w:color="E6E7E8"/>
            </w:tcBorders>
            <w:vMerge w:val="continue"/>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700" w:type="dxa"/>
            <w:vAlign w:val="bottom"/>
            <w:tcBorders>
              <w:top w:val="single" w:sz="8" w:color="939598"/>
              <w:bottom w:val="single" w:sz="8" w:color="939598"/>
            </w:tcBorders>
            <w:gridSpan w:val="2"/>
          </w:tcPr>
          <w:p>
            <w:pPr>
              <w:ind w:left="20"/>
              <w:spacing w:after="0"/>
              <w:rPr>
                <w:sz w:val="20"/>
                <w:szCs w:val="20"/>
                <w:color w:val="auto"/>
              </w:rPr>
            </w:pPr>
            <w:r>
              <w:rPr>
                <w:rFonts w:ascii="Arial" w:cs="Arial" w:eastAsia="Arial" w:hAnsi="Arial"/>
                <w:sz w:val="16"/>
                <w:szCs w:val="16"/>
                <w:b w:val="1"/>
                <w:bCs w:val="1"/>
                <w:color w:val="004A98"/>
              </w:rPr>
              <w:t>Audit-related fees</w:t>
            </w:r>
          </w:p>
        </w:tc>
        <w:tc>
          <w:tcPr>
            <w:tcW w:w="120" w:type="dxa"/>
            <w:vAlign w:val="bottom"/>
          </w:tcPr>
          <w:p>
            <w:pPr>
              <w:spacing w:after="0"/>
              <w:rPr>
                <w:sz w:val="18"/>
                <w:szCs w:val="18"/>
                <w:color w:val="auto"/>
              </w:rPr>
            </w:pPr>
          </w:p>
        </w:tc>
        <w:tc>
          <w:tcPr>
            <w:tcW w:w="220" w:type="dxa"/>
            <w:vAlign w:val="bottom"/>
            <w:tcBorders>
              <w:top w:val="single" w:sz="8" w:color="939598"/>
              <w:bottom w:val="single" w:sz="8" w:color="939598"/>
            </w:tcBorders>
          </w:tcPr>
          <w:p>
            <w:pPr>
              <w:spacing w:after="0"/>
              <w:rPr>
                <w:sz w:val="18"/>
                <w:szCs w:val="18"/>
                <w:color w:val="auto"/>
              </w:rPr>
            </w:pPr>
          </w:p>
        </w:tc>
        <w:tc>
          <w:tcPr>
            <w:tcW w:w="94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Tax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spacing w:after="0"/>
              <w:rPr>
                <w:sz w:val="18"/>
                <w:szCs w:val="18"/>
                <w:color w:val="auto"/>
              </w:rPr>
            </w:pP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spacing w:after="0"/>
              <w:rPr>
                <w:sz w:val="18"/>
                <w:szCs w:val="18"/>
                <w:color w:val="auto"/>
              </w:rPr>
            </w:pP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tcPr>
          <w:p>
            <w:pPr>
              <w:ind w:left="20"/>
              <w:spacing w:after="0" w:line="210" w:lineRule="exact"/>
              <w:rPr>
                <w:sz w:val="20"/>
                <w:szCs w:val="20"/>
                <w:color w:val="auto"/>
              </w:rPr>
            </w:pPr>
            <w:r>
              <w:rPr>
                <w:rFonts w:ascii="Arial" w:cs="Arial" w:eastAsia="Arial" w:hAnsi="Arial"/>
                <w:sz w:val="16"/>
                <w:szCs w:val="16"/>
                <w:b w:val="1"/>
                <w:bCs w:val="1"/>
                <w:color w:val="004A98"/>
              </w:rPr>
              <w:t>All other fees</w:t>
            </w:r>
            <w:r>
              <w:rPr>
                <w:rFonts w:ascii="Arial" w:cs="Arial" w:eastAsia="Arial" w:hAnsi="Arial"/>
                <w:sz w:val="21"/>
                <w:szCs w:val="21"/>
                <w:b w:val="1"/>
                <w:bCs w:val="1"/>
                <w:color w:val="004A98"/>
                <w:vertAlign w:val="superscript"/>
              </w:rPr>
              <w:t>(2)</w:t>
            </w:r>
          </w:p>
        </w:tc>
        <w:tc>
          <w:tcPr>
            <w:tcW w:w="120" w:type="dxa"/>
            <w:vAlign w:val="bottom"/>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4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Total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2,039,283</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1,832,426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Audit fees consist of fees for the integrated audit of the annual financial statements included in our Annual Reports on Form 10-K, the review of the interim financial statements included in our Quarterly Reports on Form 10-Q, and other professional services provided in connection with statutory and regulatory filings or engagements for those years.</w:t>
      </w:r>
    </w:p>
    <w:p>
      <w:pPr>
        <w:spacing w:after="0" w:line="201"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9"/>
        </w:numPr>
        <w:rPr>
          <w:rFonts w:ascii="Arial" w:cs="Arial" w:eastAsia="Arial" w:hAnsi="Arial"/>
          <w:sz w:val="9"/>
          <w:szCs w:val="9"/>
          <w:color w:val="auto"/>
        </w:rPr>
      </w:pPr>
      <w:r>
        <w:rPr>
          <w:rFonts w:ascii="Arial" w:cs="Arial" w:eastAsia="Arial" w:hAnsi="Arial"/>
          <w:sz w:val="14"/>
          <w:szCs w:val="14"/>
          <w:color w:val="auto"/>
        </w:rPr>
        <w:t>All other fees consist of registration fees for three employees to participate in KPMG’s Executive Leadership Institute for Women.</w:t>
      </w:r>
    </w:p>
    <w:p>
      <w:pPr>
        <w:spacing w:after="0" w:line="318" w:lineRule="exact"/>
        <w:rPr>
          <w:sz w:val="20"/>
          <w:szCs w:val="20"/>
          <w:color w:val="auto"/>
        </w:rPr>
      </w:pPr>
    </w:p>
    <w:p>
      <w:pPr>
        <w:ind w:right="260"/>
        <w:spacing w:after="0" w:line="295" w:lineRule="auto"/>
        <w:rPr>
          <w:sz w:val="20"/>
          <w:szCs w:val="20"/>
          <w:color w:val="auto"/>
        </w:rPr>
      </w:pPr>
      <w:r>
        <w:rPr>
          <w:rFonts w:ascii="Arial" w:cs="Arial" w:eastAsia="Arial" w:hAnsi="Arial"/>
          <w:sz w:val="32"/>
          <w:szCs w:val="32"/>
          <w:b w:val="1"/>
          <w:bCs w:val="1"/>
          <w:color w:val="004A98"/>
        </w:rPr>
        <w:t>Policy on Audit Committee Pre-Approval of Audit and Permissible Non-Audit Services of Independent Auditors</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Pursuant to the Audit Committee’s Charter and the Policy for Pre-Approval of Audit and Non-Audit Services, the Audit Committee, or a designated member of the Audit Committee, pre-approved all audit and permissible non-audit services provided by the independent registered public accounting firm described above. The Audit Committee has adopted a policy for the pre-approval of services provided by the Independent Auditors. These services included audit services, audit-related services, tax services and other services. Any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ind w:left="4960"/>
        <w:spacing w:after="0"/>
        <w:rPr>
          <w:sz w:val="20"/>
          <w:szCs w:val="20"/>
          <w:color w:val="auto"/>
        </w:rPr>
      </w:pPr>
      <w:r>
        <w:rPr>
          <w:rFonts w:ascii="Arial" w:cs="Arial" w:eastAsia="Arial" w:hAnsi="Arial"/>
          <w:sz w:val="16"/>
          <w:szCs w:val="16"/>
          <w:color w:val="004A98"/>
        </w:rPr>
        <w:t>Proposal 3—Ratification of Selection of Independent Registered Public Accounting Firm</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Report of the Audit Committee</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Audit Committee is composed of three directors who meet the independence and experience requirements of the listing rules of The Nasdaq Stock Market. The Audit Committee operates under a written charter adopted by the board of directors (the “Board”) of VeriSign, Inc. (“Verisign”). The members of the Audit Committee are Mr. Tomlinson (Chairperson), Ms. Cote, and Mr. Moore. The Audit Committee met five times during 2023.</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Management is responsible for the preparation, presentation, and integrity of Verisign’s financial statements, accounting, and financial reporting principles and internal controls and processes designed to provide reasonable assurance regarding the reliability of financial reporting and the preparation of financial statements for external purposes in accordance with accounting standards and applicable laws and regulations. The independent registered public accounting firm, KPMG LLP (“KPMG”), is responsible for performing an independent audit of Verisign’s consolidated financial statements and the effectiveness of Verisign’s internal control over financial reporting in accordance with standards of the Public Company Accounting Oversight Board (United States) (“PCAOB”) and for issuing reports thereon.</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Audit Committee is responsible for oversight of Verisign’s accounting and financial reporting processes. The Audit Committee is also responsible for the appointment, compensation, and oversight of Verisign’s independent registered public accounting firm, including (i) annually evaluating the independent registered public accounting firm’s qualifications and performance, (ii) annually reviewing and confirming the independent registered public accounting firm’s independence, (iii) reviewing and approving the planned scope of the annual audit, (iv) overseeing the audit work of the independent registered public accounting firm, (v) reviewing and pre-approving any non-audit services that may be performed by the independent registered public accounting firm, which are considered in the evaluation of the independent registered public accounting firm’s independence, (vi) annually reviewing with Management and the independent registered public accounting firm the adequacy of Verisign’s internal control over financial reporting, (vii) annually reviewing Verisign’s critical accounting policies, and the application of accounting principles, and (viii) overseeing the conduct of the annual audit, including the oversight of the resolution of any issues identified by the independent registered public accounting firm. In evaluating the independent registered public accounting firm’s qualifications and performance and considering the independent registered public accounting firm for appointment, the Audit Committee considers the firm’s quality of engagement services, as well as the engagement team’s quality of audit services (including their knowledge, skills, and experience), the firm’s global capabilities and technical resources, the reasonableness of its fees, its communications with the Audit Committee, its independence, objectivity, and professional skepticism, its knowledge of Verisign, and its tenure as Verisign’s independent registered public accounting firm as well as regulatory reviews of the firm and the firm’s responses thereto. As part of this evaluation, the Audit Committee considers information provided by the firm as well as from Management, including from the Chief Financial Officer, Controller, and Head of Internal Audit.</w:t>
      </w:r>
    </w:p>
    <w:p>
      <w:pPr>
        <w:spacing w:after="0" w:line="8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To consider the independence of Verisign’s independent registered public accountant, the Audit Committee has received from KPMG the written disclosures and the letter required by applicable requirements of the PCAOB regarding KPMG’s communications with the Audit Committee concerning independence, and the Audit Committee has discussed with KPMG their independence. In addition, the Audit Committee follows the applicable laws, rules, and regulations regarding the rotation of audit partners, including Rule 2-01 of Regulation S-X. The Audit Committee is involved in the selection of the audit partner when a rotational change is required.</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During 2023, the Audit Committee met privately with KPMG to discuss the results of the audit, evaluations by the independent registered public accounting firm of Verisign’s internal control over financial reporting, and the quality of Verisign’s financial reporting. In addition, in connection with its regularly scheduled meetings, the Audit Committee met privately with each of Verisign’s Chief Financial Officer, General Counsel and Compliance Officer, and Head of Internal Audit to discuss various legal, accounting, auditing, and internal control over financial reporting matters.</w:t>
      </w:r>
    </w:p>
    <w:p>
      <w:pPr>
        <w:spacing w:after="0" w:line="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Audit Committee has reviewed and discussed the audited consolidated financial statements contained in Verisign’s Annual Report on Form 10-K for the year ended December 31, 2023 with Management. This review included a discussion of the accounting principles, reasonableness of significant judgments, and clarity of disclosures in the consolidated financial statements. Management represented to the Audit Committee that Verisign’s consolidated financial statements were prepared in accordance with accounting principles generally accepted in the United States of America and the Audit Committee has reviewed and discussed the consolidated financial statements with KPMG.</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Audit Committee has discussed with KPMG the matters required to be discussed by the applicable requirements of the PCAOB and the Securities and Exchange Commission (the “SEC”).</w:t>
      </w:r>
    </w:p>
    <w:p>
      <w:pPr>
        <w:spacing w:after="0" w:line="4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Based upon the review and discussions referred to above, the Audit Committee recommended to the Board that the audited consolidated financial statements be included in Verisign’s Annual Report on Form 10-K for the year ended December 31, 2023, for filing with the SEC.</w:t>
      </w:r>
    </w:p>
    <w:p>
      <w:pPr>
        <w:spacing w:after="0" w:line="8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This report is submitted by the Audit Committee</w:t>
      </w:r>
    </w:p>
    <w:p>
      <w:pPr>
        <w:spacing w:after="0" w:line="37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 xml:space="preserve">Timothy Tomlinson </w:t>
      </w:r>
      <w:r>
        <w:rPr>
          <w:rFonts w:ascii="Arial" w:cs="Arial" w:eastAsia="Arial" w:hAnsi="Arial"/>
          <w:sz w:val="18"/>
          <w:szCs w:val="18"/>
          <w:color w:val="000000"/>
        </w:rPr>
        <w:t>(Chairperson)</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Kathleen A. Cote</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Roger H. Moore</w:t>
      </w:r>
    </w:p>
    <w:p>
      <w:pPr>
        <w:spacing w:after="0" w:line="34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Stock Ownership Information</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Security Ownership of Certain Beneficial Owners and Management</w:t>
      </w:r>
    </w:p>
    <w:p>
      <w:pPr>
        <w:spacing w:after="0" w:line="14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28, 2024, except as otherwise indicated, by:</w:t>
      </w:r>
    </w:p>
    <w:p>
      <w:pPr>
        <w:spacing w:after="0" w:line="48"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6"/>
          <w:szCs w:val="16"/>
          <w:color w:val="004A98"/>
        </w:rPr>
      </w:pPr>
      <w:r>
        <w:rPr>
          <w:rFonts w:ascii="Arial" w:cs="Arial" w:eastAsia="Arial" w:hAnsi="Arial"/>
          <w:sz w:val="16"/>
          <w:szCs w:val="16"/>
          <w:color w:val="auto"/>
        </w:rPr>
        <w:t>each current stockholder who is known by us to own beneficially more than 5% of our common stock;</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0"/>
        </w:numPr>
        <w:rPr>
          <w:rFonts w:ascii="Arial" w:cs="Arial" w:eastAsia="Arial" w:hAnsi="Arial"/>
          <w:sz w:val="16"/>
          <w:szCs w:val="16"/>
          <w:color w:val="004A98"/>
        </w:rPr>
      </w:pPr>
      <w:r>
        <w:rPr>
          <w:rFonts w:ascii="Arial" w:cs="Arial" w:eastAsia="Arial" w:hAnsi="Arial"/>
          <w:sz w:val="16"/>
          <w:szCs w:val="16"/>
          <w:color w:val="auto"/>
        </w:rPr>
        <w:t>each current director;</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0"/>
        </w:numPr>
        <w:rPr>
          <w:rFonts w:ascii="Arial" w:cs="Arial" w:eastAsia="Arial" w:hAnsi="Arial"/>
          <w:sz w:val="16"/>
          <w:szCs w:val="16"/>
          <w:color w:val="004A98"/>
        </w:rPr>
      </w:pPr>
      <w:r>
        <w:rPr>
          <w:rFonts w:ascii="Arial" w:cs="Arial" w:eastAsia="Arial" w:hAnsi="Arial"/>
          <w:sz w:val="16"/>
          <w:szCs w:val="16"/>
          <w:color w:val="auto"/>
        </w:rPr>
        <w:t>each of our named executive officers listed in the Summary Compensation Table in “Executive Compensation” elsewhere in this Proxy Statement; and</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0"/>
        </w:numPr>
        <w:rPr>
          <w:rFonts w:ascii="Arial" w:cs="Arial" w:eastAsia="Arial" w:hAnsi="Arial"/>
          <w:sz w:val="16"/>
          <w:szCs w:val="16"/>
          <w:color w:val="004A98"/>
        </w:rPr>
      </w:pPr>
      <w:r>
        <w:rPr>
          <w:rFonts w:ascii="Arial" w:cs="Arial" w:eastAsia="Arial" w:hAnsi="Arial"/>
          <w:sz w:val="16"/>
          <w:szCs w:val="16"/>
          <w:color w:val="auto"/>
        </w:rPr>
        <w:t>all current directors and Executive Officers as a group.</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Shares of common stock that are issuable upon vesting of RSUs within 60 days of March 28, 2024 are deemed outstanding for the purpose of computing the percentage ownership of the person holding such RSUs but are not deemed outstanding for computing the percentage ownership of any other person. Unless otherwise indicated in the footnotes following the table, the persons and entities named in the table have sole voting and sole investment power with respect to all shares beneficially owned, subject to community property laws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60" w:type="dxa"/>
            <w:vAlign w:val="bottom"/>
            <w:gridSpan w:val="3"/>
          </w:tcPr>
          <w:p>
            <w:pPr>
              <w:ind w:left="20"/>
              <w:spacing w:after="0"/>
              <w:rPr>
                <w:sz w:val="20"/>
                <w:szCs w:val="20"/>
                <w:color w:val="auto"/>
              </w:rPr>
            </w:pPr>
            <w:r>
              <w:rPr>
                <w:rFonts w:ascii="Arial" w:cs="Arial" w:eastAsia="Arial" w:hAnsi="Arial"/>
                <w:sz w:val="13"/>
                <w:szCs w:val="13"/>
                <w:b w:val="1"/>
                <w:bCs w:val="1"/>
                <w:color w:val="004A98"/>
              </w:rPr>
              <w:t>BENEFICIAL OWNERSHIP TABLE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vMerge w:val="restart"/>
          </w:tcPr>
          <w:p>
            <w:pPr>
              <w:ind w:left="9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gridSpan w:val="4"/>
          </w:tcPr>
          <w:p>
            <w:pPr>
              <w:jc w:val="right"/>
              <w:ind w:right="393"/>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76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92"/>
        </w:trPr>
        <w:tc>
          <w:tcPr>
            <w:tcW w:w="8760" w:type="dxa"/>
            <w:vAlign w:val="bottom"/>
            <w:tcBorders>
              <w:top w:val="single" w:sz="8" w:color="auto"/>
              <w:bottom w:val="single" w:sz="8" w:color="939598"/>
            </w:tcBorders>
            <w:gridSpan w:val="3"/>
          </w:tcPr>
          <w:p>
            <w:pPr>
              <w:ind w:left="20"/>
              <w:spacing w:after="0"/>
              <w:rPr>
                <w:sz w:val="20"/>
                <w:szCs w:val="20"/>
                <w:color w:val="auto"/>
              </w:rPr>
            </w:pPr>
            <w:r>
              <w:rPr>
                <w:rFonts w:ascii="Arial" w:cs="Arial" w:eastAsia="Arial" w:hAnsi="Arial"/>
                <w:sz w:val="14"/>
                <w:szCs w:val="14"/>
                <w:i w:val="1"/>
                <w:iCs w:val="1"/>
                <w:color w:val="auto"/>
              </w:rPr>
              <w:t>Greater Than 5% Stockholders</w:t>
            </w:r>
          </w:p>
        </w:tc>
        <w:tc>
          <w:tcPr>
            <w:tcW w:w="120" w:type="dxa"/>
            <w:vAlign w:val="bottom"/>
          </w:tcPr>
          <w:p>
            <w:pPr>
              <w:spacing w:after="0"/>
              <w:rPr>
                <w:sz w:val="16"/>
                <w:szCs w:val="16"/>
                <w:color w:val="auto"/>
              </w:rPr>
            </w:pPr>
          </w:p>
        </w:tc>
        <w:tc>
          <w:tcPr>
            <w:tcW w:w="1100" w:type="dxa"/>
            <w:vAlign w:val="bottom"/>
            <w:tcBorders>
              <w:top w:val="single" w:sz="8" w:color="auto"/>
              <w:bottom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bottom w:val="single" w:sz="8" w:color="939598"/>
            </w:tcBorders>
          </w:tcPr>
          <w:p>
            <w:pPr>
              <w:spacing w:after="0"/>
              <w:rPr>
                <w:sz w:val="16"/>
                <w:szCs w:val="16"/>
                <w:color w:val="auto"/>
              </w:rPr>
            </w:pPr>
          </w:p>
        </w:tc>
        <w:tc>
          <w:tcPr>
            <w:tcW w:w="820" w:type="dxa"/>
            <w:vAlign w:val="bottom"/>
            <w:tcBorders>
              <w:top w:val="single" w:sz="8" w:color="auto"/>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20" w:type="dxa"/>
            <w:vAlign w:val="bottom"/>
            <w:vMerge w:val="restart"/>
            <w:shd w:val="clear" w:color="auto" w:fill="E6E7E8"/>
          </w:tcPr>
          <w:p>
            <w:pPr>
              <w:ind w:left="20"/>
              <w:spacing w:after="0"/>
              <w:rPr>
                <w:sz w:val="20"/>
                <w:szCs w:val="20"/>
                <w:color w:val="auto"/>
              </w:rPr>
            </w:pPr>
            <w:r>
              <w:rPr>
                <w:rFonts w:ascii="Arial" w:cs="Arial" w:eastAsia="Arial" w:hAnsi="Arial"/>
                <w:sz w:val="14"/>
                <w:szCs w:val="14"/>
                <w:b w:val="1"/>
                <w:bCs w:val="1"/>
                <w:color w:val="004A98"/>
                <w:shd w:val="clear" w:color="auto" w:fill="E6E7E8"/>
              </w:rPr>
              <w:t>Warren Buffett</w:t>
            </w:r>
          </w:p>
        </w:tc>
        <w:tc>
          <w:tcPr>
            <w:tcW w:w="100" w:type="dxa"/>
            <w:vAlign w:val="bottom"/>
            <w:shd w:val="clear" w:color="auto" w:fill="E6E7E8"/>
          </w:tcPr>
          <w:p>
            <w:pPr>
              <w:jc w:val="right"/>
              <w:spacing w:after="0"/>
              <w:rPr>
                <w:sz w:val="20"/>
                <w:szCs w:val="20"/>
                <w:color w:val="auto"/>
              </w:rPr>
            </w:pPr>
            <w:r>
              <w:rPr>
                <w:rFonts w:ascii="Arial" w:cs="Arial" w:eastAsia="Arial" w:hAnsi="Arial"/>
                <w:sz w:val="9"/>
                <w:szCs w:val="9"/>
                <w:b w:val="1"/>
                <w:bCs w:val="1"/>
                <w:color w:val="004A98"/>
                <w:w w:val="72"/>
                <w:shd w:val="clear" w:color="auto" w:fill="E6E7E8"/>
              </w:rPr>
              <w:t>(2)</w:t>
            </w:r>
          </w:p>
        </w:tc>
        <w:tc>
          <w:tcPr>
            <w:tcW w:w="7640" w:type="dxa"/>
            <w:vAlign w:val="bottom"/>
            <w:vMerge w:val="restart"/>
            <w:shd w:val="clear" w:color="auto" w:fill="E6E7E8"/>
          </w:tcPr>
          <w:p>
            <w:pPr>
              <w:spacing w:after="0"/>
              <w:rPr>
                <w:sz w:val="12"/>
                <w:szCs w:val="12"/>
                <w:color w:val="auto"/>
              </w:rPr>
            </w:pPr>
          </w:p>
        </w:tc>
        <w:tc>
          <w:tcPr>
            <w:tcW w:w="120" w:type="dxa"/>
            <w:vAlign w:val="bottom"/>
            <w:tcBorders>
              <w:right w:val="single" w:sz="8" w:color="E6E7E8"/>
            </w:tcBorders>
          </w:tcPr>
          <w:p>
            <w:pPr>
              <w:spacing w:after="0"/>
              <w:rPr>
                <w:sz w:val="12"/>
                <w:szCs w:val="12"/>
                <w:color w:val="auto"/>
              </w:rPr>
            </w:pPr>
          </w:p>
        </w:tc>
        <w:tc>
          <w:tcPr>
            <w:tcW w:w="1100" w:type="dxa"/>
            <w:vAlign w:val="bottom"/>
            <w:vMerge w:val="restart"/>
            <w:shd w:val="clear" w:color="auto" w:fill="E6E7E8"/>
          </w:tcPr>
          <w:p>
            <w:pPr>
              <w:jc w:val="right"/>
              <w:ind w:right="15"/>
              <w:spacing w:after="0"/>
              <w:rPr>
                <w:sz w:val="20"/>
                <w:szCs w:val="20"/>
                <w:color w:val="auto"/>
              </w:rPr>
            </w:pPr>
            <w:r>
              <w:rPr>
                <w:rFonts w:ascii="Arial" w:cs="Arial" w:eastAsia="Arial" w:hAnsi="Arial"/>
                <w:sz w:val="14"/>
                <w:szCs w:val="14"/>
                <w:color w:val="auto"/>
              </w:rPr>
              <w:t>12,815,613</w:t>
            </w:r>
          </w:p>
        </w:tc>
        <w:tc>
          <w:tcPr>
            <w:tcW w:w="100" w:type="dxa"/>
            <w:vAlign w:val="bottom"/>
            <w:tcBorders>
              <w:right w:val="single" w:sz="8" w:color="E6E7E8"/>
            </w:tcBorders>
          </w:tcPr>
          <w:p>
            <w:pPr>
              <w:spacing w:after="0"/>
              <w:rPr>
                <w:sz w:val="12"/>
                <w:szCs w:val="12"/>
                <w:color w:val="auto"/>
              </w:rPr>
            </w:pPr>
          </w:p>
        </w:tc>
        <w:tc>
          <w:tcPr>
            <w:tcW w:w="340" w:type="dxa"/>
            <w:vAlign w:val="bottom"/>
            <w:shd w:val="clear" w:color="auto" w:fill="E6E7E8"/>
          </w:tcPr>
          <w:p>
            <w:pPr>
              <w:spacing w:after="0"/>
              <w:rPr>
                <w:sz w:val="12"/>
                <w:szCs w:val="12"/>
                <w:color w:val="auto"/>
              </w:rPr>
            </w:pPr>
          </w:p>
        </w:tc>
        <w:tc>
          <w:tcPr>
            <w:tcW w:w="82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12.80 %</w:t>
            </w:r>
          </w:p>
        </w:tc>
        <w:tc>
          <w:tcPr>
            <w:tcW w:w="0" w:type="dxa"/>
            <w:vAlign w:val="bottom"/>
          </w:tcPr>
          <w:p>
            <w:pPr>
              <w:spacing w:after="0"/>
              <w:rPr>
                <w:sz w:val="1"/>
                <w:szCs w:val="1"/>
                <w:color w:val="auto"/>
              </w:rPr>
            </w:pPr>
          </w:p>
        </w:tc>
      </w:tr>
      <w:tr>
        <w:trPr>
          <w:trHeight w:val="47"/>
        </w:trPr>
        <w:tc>
          <w:tcPr>
            <w:tcW w:w="1020" w:type="dxa"/>
            <w:vAlign w:val="bottom"/>
            <w:vMerge w:val="continue"/>
            <w:shd w:val="clear" w:color="auto" w:fill="E6E7E8"/>
          </w:tcPr>
          <w:p>
            <w:pPr>
              <w:spacing w:after="0"/>
              <w:rPr>
                <w:sz w:val="4"/>
                <w:szCs w:val="4"/>
                <w:color w:val="auto"/>
              </w:rPr>
            </w:pPr>
          </w:p>
        </w:tc>
        <w:tc>
          <w:tcPr>
            <w:tcW w:w="100" w:type="dxa"/>
            <w:vAlign w:val="bottom"/>
            <w:shd w:val="clear" w:color="auto" w:fill="E6E7E8"/>
          </w:tcPr>
          <w:p>
            <w:pPr>
              <w:spacing w:after="0"/>
              <w:rPr>
                <w:sz w:val="4"/>
                <w:szCs w:val="4"/>
                <w:color w:val="auto"/>
              </w:rPr>
            </w:pPr>
          </w:p>
        </w:tc>
        <w:tc>
          <w:tcPr>
            <w:tcW w:w="7640" w:type="dxa"/>
            <w:vAlign w:val="bottom"/>
            <w:vMerge w:val="continue"/>
            <w:shd w:val="clear" w:color="auto" w:fill="E6E7E8"/>
          </w:tcPr>
          <w:p>
            <w:pPr>
              <w:spacing w:after="0"/>
              <w:rPr>
                <w:sz w:val="4"/>
                <w:szCs w:val="4"/>
                <w:color w:val="auto"/>
              </w:rPr>
            </w:pPr>
          </w:p>
        </w:tc>
        <w:tc>
          <w:tcPr>
            <w:tcW w:w="120" w:type="dxa"/>
            <w:vAlign w:val="bottom"/>
            <w:tcBorders>
              <w:right w:val="single" w:sz="8" w:color="E6E7E8"/>
            </w:tcBorders>
          </w:tcPr>
          <w:p>
            <w:pPr>
              <w:spacing w:after="0"/>
              <w:rPr>
                <w:sz w:val="4"/>
                <w:szCs w:val="4"/>
                <w:color w:val="auto"/>
              </w:rPr>
            </w:pPr>
          </w:p>
        </w:tc>
        <w:tc>
          <w:tcPr>
            <w:tcW w:w="1100" w:type="dxa"/>
            <w:vAlign w:val="bottom"/>
            <w:vMerge w:val="continue"/>
            <w:shd w:val="clear" w:color="auto" w:fill="E6E7E8"/>
          </w:tcPr>
          <w:p>
            <w:pPr>
              <w:spacing w:after="0"/>
              <w:rPr>
                <w:sz w:val="4"/>
                <w:szCs w:val="4"/>
                <w:color w:val="auto"/>
              </w:rPr>
            </w:pPr>
          </w:p>
        </w:tc>
        <w:tc>
          <w:tcPr>
            <w:tcW w:w="100" w:type="dxa"/>
            <w:vAlign w:val="bottom"/>
            <w:tcBorders>
              <w:right w:val="single" w:sz="8" w:color="E6E7E8"/>
            </w:tcBorders>
          </w:tcPr>
          <w:p>
            <w:pPr>
              <w:spacing w:after="0"/>
              <w:rPr>
                <w:sz w:val="4"/>
                <w:szCs w:val="4"/>
                <w:color w:val="auto"/>
              </w:rPr>
            </w:pPr>
          </w:p>
        </w:tc>
        <w:tc>
          <w:tcPr>
            <w:tcW w:w="340" w:type="dxa"/>
            <w:vAlign w:val="bottom"/>
            <w:shd w:val="clear" w:color="auto" w:fill="E6E7E8"/>
          </w:tcPr>
          <w:p>
            <w:pPr>
              <w:spacing w:after="0"/>
              <w:rPr>
                <w:sz w:val="4"/>
                <w:szCs w:val="4"/>
                <w:color w:val="auto"/>
              </w:rPr>
            </w:pPr>
          </w:p>
        </w:tc>
        <w:tc>
          <w:tcPr>
            <w:tcW w:w="820" w:type="dxa"/>
            <w:vAlign w:val="bottom"/>
            <w:vMerge w:val="continue"/>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8760" w:type="dxa"/>
            <w:vAlign w:val="bottom"/>
            <w:gridSpan w:val="3"/>
            <w:shd w:val="clear" w:color="auto" w:fill="E6E7E8"/>
          </w:tcPr>
          <w:p>
            <w:pPr>
              <w:ind w:left="20"/>
              <w:spacing w:after="0"/>
              <w:rPr>
                <w:sz w:val="20"/>
                <w:szCs w:val="20"/>
                <w:color w:val="auto"/>
              </w:rPr>
            </w:pPr>
            <w:r>
              <w:rPr>
                <w:rFonts w:ascii="Arial" w:cs="Arial" w:eastAsia="Arial" w:hAnsi="Arial"/>
                <w:sz w:val="14"/>
                <w:szCs w:val="14"/>
                <w:color w:val="auto"/>
              </w:rPr>
              <w:t>Berkshire Hathaway, Inc.</w:t>
            </w:r>
          </w:p>
        </w:tc>
        <w:tc>
          <w:tcPr>
            <w:tcW w:w="120" w:type="dxa"/>
            <w:vAlign w:val="bottom"/>
            <w:tcBorders>
              <w:right w:val="single" w:sz="8" w:color="E6E7E8"/>
            </w:tcBorders>
          </w:tcPr>
          <w:p>
            <w:pPr>
              <w:spacing w:after="0"/>
              <w:rPr>
                <w:sz w:val="20"/>
                <w:szCs w:val="20"/>
                <w:color w:val="auto"/>
              </w:rPr>
            </w:pPr>
          </w:p>
        </w:tc>
        <w:tc>
          <w:tcPr>
            <w:tcW w:w="1100" w:type="dxa"/>
            <w:vAlign w:val="bottom"/>
            <w:shd w:val="clear" w:color="auto" w:fill="E6E7E8"/>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340" w:type="dxa"/>
            <w:vAlign w:val="bottom"/>
            <w:shd w:val="clear" w:color="auto" w:fill="E6E7E8"/>
          </w:tcPr>
          <w:p>
            <w:pPr>
              <w:spacing w:after="0"/>
              <w:rPr>
                <w:sz w:val="20"/>
                <w:szCs w:val="20"/>
                <w:color w:val="auto"/>
              </w:rPr>
            </w:pPr>
          </w:p>
        </w:tc>
        <w:tc>
          <w:tcPr>
            <w:tcW w:w="8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60" w:type="dxa"/>
            <w:vAlign w:val="bottom"/>
            <w:gridSpan w:val="3"/>
            <w:shd w:val="clear" w:color="auto" w:fill="E6E7E8"/>
          </w:tcPr>
          <w:p>
            <w:pPr>
              <w:ind w:left="20"/>
              <w:spacing w:after="0"/>
              <w:rPr>
                <w:sz w:val="20"/>
                <w:szCs w:val="20"/>
                <w:color w:val="auto"/>
              </w:rPr>
            </w:pPr>
            <w:r>
              <w:rPr>
                <w:rFonts w:ascii="Arial" w:cs="Arial" w:eastAsia="Arial" w:hAnsi="Arial"/>
                <w:sz w:val="14"/>
                <w:szCs w:val="14"/>
                <w:color w:val="auto"/>
              </w:rPr>
              <w:t>3555 Farnam Street</w:t>
            </w:r>
          </w:p>
        </w:tc>
        <w:tc>
          <w:tcPr>
            <w:tcW w:w="120" w:type="dxa"/>
            <w:vAlign w:val="bottom"/>
            <w:tcBorders>
              <w:right w:val="single" w:sz="8" w:color="E6E7E8"/>
            </w:tcBorders>
          </w:tcPr>
          <w:p>
            <w:pPr>
              <w:spacing w:after="0"/>
              <w:rPr>
                <w:sz w:val="17"/>
                <w:szCs w:val="17"/>
                <w:color w:val="auto"/>
              </w:rPr>
            </w:pPr>
          </w:p>
        </w:tc>
        <w:tc>
          <w:tcPr>
            <w:tcW w:w="1100" w:type="dxa"/>
            <w:vAlign w:val="bottom"/>
            <w:shd w:val="clear" w:color="auto" w:fill="E6E7E8"/>
          </w:tcPr>
          <w:p>
            <w:pPr>
              <w:spacing w:after="0"/>
              <w:rPr>
                <w:sz w:val="17"/>
                <w:szCs w:val="17"/>
                <w:color w:val="auto"/>
              </w:rPr>
            </w:pPr>
          </w:p>
        </w:tc>
        <w:tc>
          <w:tcPr>
            <w:tcW w:w="100" w:type="dxa"/>
            <w:vAlign w:val="bottom"/>
            <w:tcBorders>
              <w:right w:val="single" w:sz="8" w:color="E6E7E8"/>
            </w:tcBorders>
          </w:tcPr>
          <w:p>
            <w:pPr>
              <w:spacing w:after="0"/>
              <w:rPr>
                <w:sz w:val="17"/>
                <w:szCs w:val="17"/>
                <w:color w:val="auto"/>
              </w:rPr>
            </w:pPr>
          </w:p>
        </w:tc>
        <w:tc>
          <w:tcPr>
            <w:tcW w:w="340" w:type="dxa"/>
            <w:vAlign w:val="bottom"/>
            <w:shd w:val="clear" w:color="auto" w:fill="E6E7E8"/>
          </w:tcPr>
          <w:p>
            <w:pPr>
              <w:spacing w:after="0"/>
              <w:rPr>
                <w:sz w:val="17"/>
                <w:szCs w:val="17"/>
                <w:color w:val="auto"/>
              </w:rPr>
            </w:pPr>
          </w:p>
        </w:tc>
        <w:tc>
          <w:tcPr>
            <w:tcW w:w="820" w:type="dxa"/>
            <w:vAlign w:val="bottom"/>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60" w:type="dxa"/>
            <w:vAlign w:val="bottom"/>
            <w:tcBorders>
              <w:bottom w:val="single" w:sz="8" w:color="939598"/>
            </w:tcBorders>
            <w:gridSpan w:val="3"/>
            <w:shd w:val="clear" w:color="auto" w:fill="E6E7E8"/>
          </w:tcPr>
          <w:p>
            <w:pPr>
              <w:ind w:left="20"/>
              <w:spacing w:after="0"/>
              <w:rPr>
                <w:sz w:val="20"/>
                <w:szCs w:val="20"/>
                <w:color w:val="auto"/>
              </w:rPr>
            </w:pPr>
            <w:r>
              <w:rPr>
                <w:rFonts w:ascii="Arial" w:cs="Arial" w:eastAsia="Arial" w:hAnsi="Arial"/>
                <w:sz w:val="14"/>
                <w:szCs w:val="14"/>
                <w:color w:val="auto"/>
              </w:rPr>
              <w:t>Omaha, NE 68131</w:t>
            </w:r>
          </w:p>
        </w:tc>
        <w:tc>
          <w:tcPr>
            <w:tcW w:w="120" w:type="dxa"/>
            <w:vAlign w:val="bottom"/>
            <w:tcBorders>
              <w:right w:val="single" w:sz="8" w:color="E6E7E8"/>
            </w:tcBorders>
          </w:tcPr>
          <w:p>
            <w:pPr>
              <w:spacing w:after="0"/>
              <w:rPr>
                <w:sz w:val="17"/>
                <w:szCs w:val="17"/>
                <w:color w:val="auto"/>
              </w:rPr>
            </w:pPr>
          </w:p>
        </w:tc>
        <w:tc>
          <w:tcPr>
            <w:tcW w:w="1100" w:type="dxa"/>
            <w:vAlign w:val="bottom"/>
            <w:tcBorders>
              <w:bottom w:val="single" w:sz="8" w:color="939598"/>
            </w:tcBorders>
            <w:shd w:val="clear" w:color="auto" w:fill="E6E7E8"/>
          </w:tcPr>
          <w:p>
            <w:pPr>
              <w:spacing w:after="0"/>
              <w:rPr>
                <w:sz w:val="17"/>
                <w:szCs w:val="17"/>
                <w:color w:val="auto"/>
              </w:rPr>
            </w:pPr>
          </w:p>
        </w:tc>
        <w:tc>
          <w:tcPr>
            <w:tcW w:w="100" w:type="dxa"/>
            <w:vAlign w:val="bottom"/>
            <w:tcBorders>
              <w:right w:val="single" w:sz="8" w:color="E6E7E8"/>
            </w:tcBorders>
          </w:tcPr>
          <w:p>
            <w:pPr>
              <w:spacing w:after="0"/>
              <w:rPr>
                <w:sz w:val="17"/>
                <w:szCs w:val="17"/>
                <w:color w:val="auto"/>
              </w:rPr>
            </w:pPr>
          </w:p>
        </w:tc>
        <w:tc>
          <w:tcPr>
            <w:tcW w:w="340" w:type="dxa"/>
            <w:vAlign w:val="bottom"/>
            <w:tcBorders>
              <w:bottom w:val="single" w:sz="8" w:color="939598"/>
            </w:tcBorders>
            <w:shd w:val="clear" w:color="auto" w:fill="E6E7E8"/>
          </w:tcPr>
          <w:p>
            <w:pPr>
              <w:spacing w:after="0"/>
              <w:rPr>
                <w:sz w:val="17"/>
                <w:szCs w:val="17"/>
                <w:color w:val="auto"/>
              </w:rPr>
            </w:pPr>
          </w:p>
        </w:tc>
        <w:tc>
          <w:tcPr>
            <w:tcW w:w="820" w:type="dxa"/>
            <w:vAlign w:val="bottom"/>
            <w:tcBorders>
              <w:bottom w:val="single" w:sz="8" w:color="939598"/>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Arial" w:cs="Arial" w:eastAsia="Arial" w:hAnsi="Arial"/>
          <w:sz w:val="14"/>
          <w:szCs w:val="14"/>
          <w:b w:val="1"/>
          <w:bCs w:val="1"/>
          <w:color w:val="004A98"/>
        </w:rPr>
        <w:t>The Vanguard Group</w:t>
      </w:r>
      <w:r>
        <w:rPr>
          <w:rFonts w:ascii="Arial" w:cs="Arial" w:eastAsia="Arial" w:hAnsi="Arial"/>
          <w:sz w:val="18"/>
          <w:szCs w:val="18"/>
          <w:b w:val="1"/>
          <w:bCs w:val="1"/>
          <w:color w:val="004A98"/>
          <w:vertAlign w:val="superscript"/>
        </w:rPr>
        <w:t>(3)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100 Vanguard Boulevard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411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63235" cy="41148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shd w:val="clear" w:color="auto" w:fill="E6E7E8"/>
        </w:rPr>
        <w:t>BlackRock, Inc.</w:t>
      </w:r>
      <w:r>
        <w:rPr>
          <w:rFonts w:ascii="Arial" w:cs="Arial" w:eastAsia="Arial" w:hAnsi="Arial"/>
          <w:sz w:val="18"/>
          <w:szCs w:val="18"/>
          <w:b w:val="1"/>
          <w:bCs w:val="1"/>
          <w:color w:val="004A98"/>
          <w:vertAlign w:val="superscript"/>
          <w:shd w:val="clear" w:color="auto" w:fill="E6E7E8"/>
        </w:rPr>
        <w:t>(4)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 East 52nd Street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Ninety One UK Ltd.</w:t>
      </w:r>
      <w:r>
        <w:rPr>
          <w:rFonts w:ascii="Arial" w:cs="Arial" w:eastAsia="Arial" w:hAnsi="Arial"/>
          <w:sz w:val="18"/>
          <w:szCs w:val="18"/>
          <w:color w:val="004A98"/>
          <w:vertAlign w:val="superscript"/>
        </w:rPr>
        <w:t>(5)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 Gresham Street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London, UK EC2V 7EL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tabs>
          <w:tab w:leader="none" w:pos="1500" w:val="left"/>
        </w:tabs>
        <w:rPr>
          <w:sz w:val="20"/>
          <w:szCs w:val="20"/>
          <w:color w:val="auto"/>
        </w:rPr>
      </w:pPr>
      <w:r>
        <w:rPr>
          <w:rFonts w:ascii="Arial" w:cs="Arial" w:eastAsia="Arial" w:hAnsi="Arial"/>
          <w:sz w:val="14"/>
          <w:szCs w:val="14"/>
          <w:color w:val="auto"/>
        </w:rPr>
        <w:t>10,322,372</w:t>
      </w:r>
      <w:r>
        <w:rPr>
          <w:sz w:val="20"/>
          <w:szCs w:val="20"/>
          <w:color w:val="auto"/>
        </w:rPr>
        <w:tab/>
      </w:r>
      <w:r>
        <w:rPr>
          <w:rFonts w:ascii="Arial" w:cs="Arial" w:eastAsia="Arial" w:hAnsi="Arial"/>
          <w:sz w:val="14"/>
          <w:szCs w:val="14"/>
          <w:color w:val="auto"/>
        </w:rPr>
        <w:t>10.31 %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411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10,818,159</w:t>
      </w:r>
      <w:r>
        <w:rPr>
          <w:sz w:val="20"/>
          <w:szCs w:val="20"/>
          <w:color w:val="auto"/>
        </w:rPr>
        <w:tab/>
      </w:r>
      <w:r>
        <w:rPr>
          <w:rFonts w:ascii="Arial" w:cs="Arial" w:eastAsia="Arial" w:hAnsi="Arial"/>
          <w:sz w:val="14"/>
          <w:szCs w:val="14"/>
          <w:color w:val="auto"/>
        </w:rPr>
        <w:t>10.80 %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14"/>
          <w:szCs w:val="14"/>
          <w:color w:val="auto"/>
        </w:rPr>
        <w:t>5,638,416</w:t>
      </w:r>
      <w:r>
        <w:rPr>
          <w:sz w:val="20"/>
          <w:szCs w:val="20"/>
          <w:color w:val="auto"/>
        </w:rPr>
        <w:tab/>
      </w:r>
      <w:r>
        <w:rPr>
          <w:rFonts w:ascii="Arial" w:cs="Arial" w:eastAsia="Arial" w:hAnsi="Arial"/>
          <w:sz w:val="14"/>
          <w:szCs w:val="14"/>
          <w:color w:val="auto"/>
        </w:rPr>
        <w:t>5.63 %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8460" w:space="720"/>
            <w:col w:w="206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D. James Bidzos</w:t>
            </w:r>
            <w:r>
              <w:rPr>
                <w:rFonts w:ascii="Arial" w:cs="Arial" w:eastAsia="Arial" w:hAnsi="Arial"/>
                <w:sz w:val="18"/>
                <w:szCs w:val="18"/>
                <w:color w:val="004A98"/>
                <w:vertAlign w:val="superscript"/>
              </w:rPr>
              <w:t>(6)</w:t>
            </w:r>
          </w:p>
        </w:tc>
        <w:tc>
          <w:tcPr>
            <w:tcW w:w="100" w:type="dxa"/>
            <w:vAlign w:val="bottom"/>
          </w:tcPr>
          <w:p>
            <w:pPr>
              <w:spacing w:after="0"/>
              <w:rPr>
                <w:sz w:val="20"/>
                <w:szCs w:val="20"/>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484,918</w:t>
            </w:r>
          </w:p>
        </w:tc>
        <w:tc>
          <w:tcPr>
            <w:tcW w:w="80" w:type="dxa"/>
            <w:vAlign w:val="bottom"/>
          </w:tcPr>
          <w:p>
            <w:pPr>
              <w:spacing w:after="0"/>
              <w:rPr>
                <w:sz w:val="20"/>
                <w:szCs w:val="20"/>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Courtney D. Armstrong</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3,746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Yehuda Ari Buchalter</w:t>
            </w:r>
          </w:p>
        </w:tc>
        <w:tc>
          <w:tcPr>
            <w:tcW w:w="100" w:type="dxa"/>
            <w:vAlign w:val="bottom"/>
          </w:tcPr>
          <w:p>
            <w:pPr>
              <w:spacing w:after="0"/>
              <w:rPr>
                <w:sz w:val="17"/>
                <w:szCs w:val="17"/>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4,528</w:t>
            </w:r>
          </w:p>
        </w:tc>
        <w:tc>
          <w:tcPr>
            <w:tcW w:w="80" w:type="dxa"/>
            <w:vAlign w:val="bottom"/>
          </w:tcPr>
          <w:p>
            <w:pPr>
              <w:spacing w:after="0"/>
              <w:rPr>
                <w:sz w:val="17"/>
                <w:szCs w:val="17"/>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Kathleen A. Cote</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28,938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Thomas F. Frist III</w:t>
            </w:r>
          </w:p>
        </w:tc>
        <w:tc>
          <w:tcPr>
            <w:tcW w:w="100" w:type="dxa"/>
            <w:vAlign w:val="bottom"/>
          </w:tcPr>
          <w:p>
            <w:pPr>
              <w:spacing w:after="0"/>
              <w:rPr>
                <w:sz w:val="17"/>
                <w:szCs w:val="17"/>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14,810</w:t>
            </w:r>
          </w:p>
        </w:tc>
        <w:tc>
          <w:tcPr>
            <w:tcW w:w="80" w:type="dxa"/>
            <w:vAlign w:val="bottom"/>
          </w:tcPr>
          <w:p>
            <w:pPr>
              <w:spacing w:after="0"/>
              <w:rPr>
                <w:sz w:val="17"/>
                <w:szCs w:val="17"/>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Jamie S. Gorelick</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19,907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Roger H. Moore</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43,394</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Timothy Tomlinson</w:t>
            </w:r>
            <w:r>
              <w:rPr>
                <w:rFonts w:ascii="Arial" w:cs="Arial" w:eastAsia="Arial" w:hAnsi="Arial"/>
                <w:sz w:val="18"/>
                <w:szCs w:val="18"/>
                <w:b w:val="1"/>
                <w:bCs w:val="1"/>
                <w:color w:val="004A98"/>
                <w:vertAlign w:val="superscript"/>
              </w:rPr>
              <w:t>(7)</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15,000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Todd B. Strubbe</w:t>
            </w:r>
            <w:r>
              <w:rPr>
                <w:rFonts w:ascii="Arial" w:cs="Arial" w:eastAsia="Arial" w:hAnsi="Arial"/>
                <w:sz w:val="18"/>
                <w:szCs w:val="18"/>
                <w:b w:val="1"/>
                <w:bCs w:val="1"/>
                <w:color w:val="004A98"/>
                <w:vertAlign w:val="superscript"/>
              </w:rPr>
              <w:t>(8)</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91,963</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George E. Kilguss, III</w:t>
            </w:r>
            <w:r>
              <w:rPr>
                <w:rFonts w:ascii="Arial" w:cs="Arial" w:eastAsia="Arial" w:hAnsi="Arial"/>
                <w:sz w:val="18"/>
                <w:szCs w:val="18"/>
                <w:b w:val="1"/>
                <w:bCs w:val="1"/>
                <w:color w:val="004A98"/>
                <w:vertAlign w:val="superscript"/>
              </w:rPr>
              <w:t>(9)</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97,703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tcBorders>
              <w:top w:val="single" w:sz="8" w:color="939598"/>
              <w:bottom w:val="single" w:sz="8" w:color="939598"/>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004A98"/>
              </w:rPr>
              <w:t xml:space="preserve">Danny R. McPherson </w:t>
            </w:r>
            <w:r>
              <w:rPr>
                <w:rFonts w:ascii="Arial" w:cs="Arial" w:eastAsia="Arial" w:hAnsi="Arial"/>
                <w:sz w:val="18"/>
                <w:szCs w:val="18"/>
                <w:b w:val="1"/>
                <w:bCs w:val="1"/>
                <w:color w:val="004A98"/>
                <w:vertAlign w:val="superscript"/>
              </w:rPr>
              <w:t>(10)</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13,068</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4"/>
                <w:szCs w:val="14"/>
                <w:b w:val="1"/>
                <w:bCs w:val="1"/>
                <w:color w:val="004A98"/>
              </w:rPr>
              <w:t>Thomas C. Indelicarto</w:t>
            </w:r>
            <w:r>
              <w:rPr>
                <w:rFonts w:ascii="Arial" w:cs="Arial" w:eastAsia="Arial" w:hAnsi="Arial"/>
                <w:sz w:val="18"/>
                <w:szCs w:val="18"/>
                <w:b w:val="1"/>
                <w:bCs w:val="1"/>
                <w:color w:val="004A98"/>
                <w:vertAlign w:val="superscript"/>
              </w:rPr>
              <w:t>(11)</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25,770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top w:val="single" w:sz="8" w:color="939598"/>
              <w:bottom w:val="single" w:sz="8" w:color="939598"/>
            </w:tcBorders>
            <w:gridSpan w:val="2"/>
            <w:shd w:val="clear" w:color="auto" w:fill="E6E7E8"/>
          </w:tcPr>
          <w:p>
            <w:pPr>
              <w:ind w:left="20"/>
              <w:spacing w:after="0" w:line="196" w:lineRule="exact"/>
              <w:rPr>
                <w:sz w:val="20"/>
                <w:szCs w:val="20"/>
                <w:color w:val="auto"/>
              </w:rPr>
            </w:pPr>
            <w:r>
              <w:rPr>
                <w:rFonts w:ascii="Arial" w:cs="Arial" w:eastAsia="Arial" w:hAnsi="Arial"/>
                <w:sz w:val="14"/>
                <w:szCs w:val="14"/>
                <w:color w:val="auto"/>
              </w:rPr>
              <w:t>All current directors and Executive Officers as a group (12 persons)</w:t>
            </w:r>
            <w:r>
              <w:rPr>
                <w:rFonts w:ascii="Arial" w:cs="Arial" w:eastAsia="Arial" w:hAnsi="Arial"/>
                <w:sz w:val="18"/>
                <w:szCs w:val="18"/>
                <w:color w:val="auto"/>
                <w:vertAlign w:val="superscript"/>
              </w:rPr>
              <w:t>(12)</w:t>
            </w:r>
          </w:p>
        </w:tc>
        <w:tc>
          <w:tcPr>
            <w:tcW w:w="100" w:type="dxa"/>
            <w:vAlign w:val="bottom"/>
          </w:tcPr>
          <w:p>
            <w:pPr>
              <w:spacing w:after="0"/>
              <w:rPr>
                <w:sz w:val="17"/>
                <w:szCs w:val="17"/>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843,745</w:t>
            </w:r>
          </w:p>
        </w:tc>
        <w:tc>
          <w:tcPr>
            <w:tcW w:w="80" w:type="dxa"/>
            <w:vAlign w:val="bottom"/>
          </w:tcPr>
          <w:p>
            <w:pPr>
              <w:spacing w:after="0"/>
              <w:rPr>
                <w:sz w:val="17"/>
                <w:szCs w:val="17"/>
                <w:color w:val="auto"/>
              </w:rPr>
            </w:pPr>
          </w:p>
        </w:tc>
        <w:tc>
          <w:tcPr>
            <w:tcW w:w="11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377"/>
        </w:trPr>
        <w:tc>
          <w:tcPr>
            <w:tcW w:w="8760" w:type="dxa"/>
            <w:vAlign w:val="bottom"/>
            <w:gridSpan w:val="2"/>
          </w:tcPr>
          <w:p>
            <w:pPr>
              <w:spacing w:after="0"/>
              <w:rPr>
                <w:sz w:val="20"/>
                <w:szCs w:val="20"/>
                <w:color w:val="auto"/>
              </w:rPr>
            </w:pPr>
            <w:r>
              <w:rPr>
                <w:rFonts w:ascii="Arial" w:cs="Arial" w:eastAsia="Arial" w:hAnsi="Arial"/>
                <w:sz w:val="14"/>
                <w:szCs w:val="14"/>
                <w:color w:val="auto"/>
              </w:rPr>
              <w:t>*   Less than 1% of Verisign’s outstanding common stock.</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14"/>
        </w:trPr>
        <w:tc>
          <w:tcPr>
            <w:tcW w:w="320" w:type="dxa"/>
            <w:vAlign w:val="bottom"/>
          </w:tcPr>
          <w:p>
            <w:pPr>
              <w:ind w:left="20"/>
              <w:spacing w:after="0"/>
              <w:rPr>
                <w:sz w:val="20"/>
                <w:szCs w:val="20"/>
                <w:color w:val="auto"/>
              </w:rPr>
            </w:pPr>
            <w:r>
              <w:rPr>
                <w:rFonts w:ascii="Arial" w:cs="Arial" w:eastAsia="Arial" w:hAnsi="Arial"/>
                <w:sz w:val="14"/>
                <w:szCs w:val="14"/>
                <w:b w:val="1"/>
                <w:bCs w:val="1"/>
                <w:color w:val="004A98"/>
              </w:rPr>
              <w:t>46</w:t>
            </w:r>
          </w:p>
        </w:tc>
        <w:tc>
          <w:tcPr>
            <w:tcW w:w="8440" w:type="dxa"/>
            <w:vAlign w:val="bottom"/>
          </w:tcPr>
          <w:p>
            <w:pPr>
              <w:ind w:left="140"/>
              <w:spacing w:after="0"/>
              <w:rPr>
                <w:sz w:val="20"/>
                <w:szCs w:val="20"/>
                <w:color w:val="auto"/>
              </w:rPr>
            </w:pPr>
            <w:r>
              <w:rPr>
                <w:rFonts w:ascii="Arial" w:cs="Arial" w:eastAsia="Arial" w:hAnsi="Arial"/>
                <w:sz w:val="14"/>
                <w:szCs w:val="14"/>
                <w:b w:val="1"/>
                <w:bCs w:val="1"/>
                <w:color w:val="004A98"/>
              </w:rPr>
              <w:t>VeriSign, Inc.</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1"/>
        </w:trPr>
        <w:tc>
          <w:tcPr>
            <w:tcW w:w="320" w:type="dxa"/>
            <w:vAlign w:val="bottom"/>
            <w:tcBorders>
              <w:bottom w:val="single" w:sz="8" w:color="9A9A9A"/>
            </w:tcBorders>
          </w:tcPr>
          <w:p>
            <w:pPr>
              <w:spacing w:after="0"/>
              <w:rPr>
                <w:sz w:val="18"/>
                <w:szCs w:val="18"/>
                <w:color w:val="auto"/>
              </w:rPr>
            </w:pPr>
          </w:p>
        </w:tc>
        <w:tc>
          <w:tcPr>
            <w:tcW w:w="84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Stock Ownership Information</w:t>
      </w:r>
    </w:p>
    <w:p>
      <w:pPr>
        <w:spacing w:after="0" w:line="280" w:lineRule="exact"/>
        <w:rPr>
          <w:sz w:val="20"/>
          <w:szCs w:val="20"/>
          <w:color w:val="auto"/>
        </w:rPr>
      </w:pPr>
    </w:p>
    <w:p>
      <w:pPr>
        <w:ind w:left="260" w:hanging="252"/>
        <w:spacing w:after="0" w:line="283" w:lineRule="auto"/>
        <w:tabs>
          <w:tab w:leader="none" w:pos="264" w:val="left"/>
        </w:tabs>
        <w:numPr>
          <w:ilvl w:val="0"/>
          <w:numId w:val="51"/>
        </w:numPr>
        <w:rPr>
          <w:rFonts w:ascii="Arial" w:cs="Arial" w:eastAsia="Arial" w:hAnsi="Arial"/>
          <w:sz w:val="9"/>
          <w:szCs w:val="9"/>
          <w:color w:val="auto"/>
        </w:rPr>
      </w:pPr>
      <w:r>
        <w:rPr>
          <w:rFonts w:ascii="Arial" w:cs="Arial" w:eastAsia="Arial" w:hAnsi="Arial"/>
          <w:sz w:val="14"/>
          <w:szCs w:val="14"/>
          <w:color w:val="auto"/>
        </w:rPr>
        <w:t>The percentages are calculated using 100,138,512 outstanding shares of common stock on March 28, 2024, as adjusted pursuant to Rule 13d-3(d)(1)(i) of the Exchange Act. Pursuant to Rule 13d-3(d)(1), beneficial ownership information for each person also includes any shares of common stock that are issuable to such person upon vesting of RSUs within 60 days of March 28, 2024.</w:t>
      </w:r>
    </w:p>
    <w:p>
      <w:pPr>
        <w:spacing w:after="0" w:line="24" w:lineRule="exact"/>
        <w:rPr>
          <w:rFonts w:ascii="Arial" w:cs="Arial" w:eastAsia="Arial" w:hAnsi="Arial"/>
          <w:sz w:val="9"/>
          <w:szCs w:val="9"/>
          <w:color w:val="auto"/>
        </w:rPr>
      </w:pPr>
    </w:p>
    <w:p>
      <w:pPr>
        <w:ind w:left="260" w:right="460" w:hanging="252"/>
        <w:spacing w:after="0"/>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with the SEC on February 16, 2021, by Warren E. Buffett, Berkshire Hathaway, Inc. and other reporting persons with respect to the beneficial ownership of 12,815,613 shares, as of December 31, 2020. Berkshire Hathaway, Inc., is a diversified holding company which Mr. Buffett may be deemed to control. Mr. Buffett and Berkshire Hathaway share voting and dispositive power over 12,815,613 of these shares, which include shares beneficially owned by certain subsidiaries of Berkshire Hathaway. National Indemnity Company and GEICO Corporation each share voting and dispositive power over 7,905,481 of these shares.</w:t>
      </w:r>
    </w:p>
    <w:p>
      <w:pPr>
        <w:spacing w:after="0" w:line="68" w:lineRule="exact"/>
        <w:rPr>
          <w:rFonts w:ascii="Arial" w:cs="Arial" w:eastAsia="Arial" w:hAnsi="Arial"/>
          <w:sz w:val="19"/>
          <w:szCs w:val="19"/>
          <w:color w:val="auto"/>
          <w:vertAlign w:val="superscript"/>
        </w:rPr>
      </w:pPr>
    </w:p>
    <w:p>
      <w:pPr>
        <w:ind w:left="260" w:right="480" w:hanging="252"/>
        <w:spacing w:after="0" w:line="234"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with the SEC on February 13, 2024, by The Vanguard Group with respect to the beneficial ownership of 10,322,372 shares, as of December 29, 2023. The Vanguard Group has shared voting power over 111,666 of these shares, sole dispositive power over 9,944,173 of these shares, and shared dispositive power over 378,199 of these shares.</w:t>
      </w:r>
    </w:p>
    <w:p>
      <w:pPr>
        <w:spacing w:after="0" w:line="53" w:lineRule="exact"/>
        <w:rPr>
          <w:rFonts w:ascii="Arial" w:cs="Arial" w:eastAsia="Arial" w:hAnsi="Arial"/>
          <w:sz w:val="19"/>
          <w:szCs w:val="19"/>
          <w:color w:val="auto"/>
          <w:vertAlign w:val="superscript"/>
        </w:rPr>
      </w:pPr>
    </w:p>
    <w:p>
      <w:pPr>
        <w:ind w:left="260" w:right="80" w:hanging="252"/>
        <w:spacing w:after="0" w:line="305" w:lineRule="auto"/>
        <w:tabs>
          <w:tab w:leader="none" w:pos="264" w:val="left"/>
        </w:tabs>
        <w:numPr>
          <w:ilvl w:val="0"/>
          <w:numId w:val="51"/>
        </w:numPr>
        <w:rPr>
          <w:rFonts w:ascii="Arial" w:cs="Arial" w:eastAsia="Arial" w:hAnsi="Arial"/>
          <w:sz w:val="9"/>
          <w:szCs w:val="9"/>
          <w:color w:val="auto"/>
        </w:rPr>
      </w:pPr>
      <w:r>
        <w:rPr>
          <w:rFonts w:ascii="Arial" w:cs="Arial" w:eastAsia="Arial" w:hAnsi="Arial"/>
          <w:sz w:val="14"/>
          <w:szCs w:val="14"/>
          <w:color w:val="auto"/>
        </w:rPr>
        <w:t>Based on a Schedule 13G/A filed with the SEC on January 24, 2024, by BlackRock, Inc. with respect to the beneficial ownership of 10,818,159 shares, as of December 31, 2023. BlackRock, Inc. has sole voting power over 10,002,802 of these shares and sole dispositive power over all 10,818,159 of these shares.</w:t>
      </w:r>
    </w:p>
    <w:p>
      <w:pPr>
        <w:spacing w:after="0" w:line="9" w:lineRule="exact"/>
        <w:rPr>
          <w:rFonts w:ascii="Arial" w:cs="Arial" w:eastAsia="Arial" w:hAnsi="Arial"/>
          <w:sz w:val="9"/>
          <w:szCs w:val="9"/>
          <w:color w:val="auto"/>
        </w:rPr>
      </w:pPr>
    </w:p>
    <w:p>
      <w:pPr>
        <w:ind w:left="260" w:right="60" w:hanging="252"/>
        <w:spacing w:after="0" w:line="231"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 filed with the SEC on February 13, 2024 by Ninety One UK Ltd. with respect to the beneficial ownership of 5,234,855 shares as of December 31, 2023 and shared dispositive power over 3,709,420 of these shares.</w:t>
      </w:r>
    </w:p>
    <w:p>
      <w:pPr>
        <w:spacing w:after="0" w:line="2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3,206 RSUs vesting within 60 days of March 28, 2024, held directly by Mr. Bidzos.</w:t>
      </w:r>
    </w:p>
    <w:p>
      <w:pPr>
        <w:spacing w:after="0" w:line="57"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15,000 shares held by the Tomlinson Family Trust, under which Mr. Tomlinson and his spouse are co-trustees.</w:t>
      </w:r>
    </w:p>
    <w:p>
      <w:pPr>
        <w:spacing w:after="0" w:line="77" w:lineRule="exact"/>
        <w:rPr>
          <w:rFonts w:ascii="Arial" w:cs="Arial" w:eastAsia="Arial" w:hAnsi="Arial"/>
          <w:sz w:val="9"/>
          <w:szCs w:val="9"/>
          <w:color w:val="auto"/>
        </w:rPr>
      </w:pPr>
    </w:p>
    <w:p>
      <w:pPr>
        <w:ind w:left="280" w:hanging="272"/>
        <w:spacing w:after="0"/>
        <w:tabs>
          <w:tab w:leader="none" w:pos="28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1,499 RSUs vesting within 60 days of March 28, 2024, held directly by Mr. Strubbe.</w:t>
      </w:r>
    </w:p>
    <w:p>
      <w:pPr>
        <w:spacing w:after="0" w:line="67" w:lineRule="exact"/>
        <w:rPr>
          <w:rFonts w:ascii="Arial" w:cs="Arial" w:eastAsia="Arial" w:hAnsi="Arial"/>
          <w:sz w:val="9"/>
          <w:szCs w:val="9"/>
          <w:color w:val="auto"/>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1,258 RSUs vesting within 60 days of March 28, 2024, held directly by Mr. Kilguss.</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1,144 RSUs vesting within 60 days of March 28, 2024, held directly by Mr. McPherson.</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1,105 RSUs vesting within 60 days of March 28, 2024, held directly by Mr. Indelicarto.</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Includes the shares described in footnotes (6)-(11).</w:t>
      </w: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Delinquent Section 16(a) Reports</w:t>
      </w:r>
    </w:p>
    <w:p>
      <w:pPr>
        <w:spacing w:after="0" w:line="13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Section 16(a) of the Exchange Act requires our directors and officers, and persons who own more than 10% of our common stock, to file initial reports of ownership and reports of changes in ownership with the SEC. We file Section 16(a) reports on behalf of our directors and Executive Officers to report their initial and subsequent changes in beneficial ownership of our common stock. Based solely on a review of the reports we filed on behalf of our directors and Executive Officers, or written representations from reporting persons that all reportable transactions were reported, the Company believes that all Section 16(a) filing requirements applicable to our directors and Executive Officers were complied with for 2023, except that a Form 4 was inadvertently filed late for Mr. McPherson reporting the vesting of restricted stock units because of an administrative error by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Stock Ownership Policies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Retention Policy</w:t>
      </w:r>
    </w:p>
    <w:p>
      <w:pPr>
        <w:spacing w:after="0" w:line="1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stock retention policy applies to our employees at the Senior Vice President level and above, officers who are subject to the provisions of Section 16 of the Exchange Act (“Section 16 Officers”), and board members.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Ownership levels are set as a multiple of base salary or annual retainer and are as follows:</w:t>
      </w:r>
    </w:p>
    <w:p>
      <w:pPr>
        <w:spacing w:after="0" w:line="113"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Directors: 10x Annual Retainer</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CEO: 6x Base Salary</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Section 16 Officers, Executive Vice Presidents and Senior Vice Presidents, other than the CEO: 2x Base Salary</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stock retention policy requires participants to retain 50% of their shares received from equity awards (net of taxes) until they reach the required minimum ownership level, and that the required minimum number of shares must be held until six months after the participant ceases employment or board service with the Company. We believe requiring executives and board members to continue to retain stock after their service with the Company ceases aligns our executives’ interests with the long-term interests of our stockholders. Each individual covered by this policy is in compliance.</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Insider Trading Policy prohibits our directors and employees (including our executives) from (i) trading in our securities, including derivative securities, while aware of material non-public information or (ii) disclosing material non-public information to unauthorized persons outside of the Company. In addition, under our Insider Trading Policy, our directors and executives may only trade in our securities during approved trading windows after our Compliance Officer has pre-approved the trade.</w:t>
      </w:r>
    </w:p>
    <w:p>
      <w:pPr>
        <w:spacing w:after="0" w:line="29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Stock Ownership Information</w:t>
      </w:r>
    </w:p>
    <w:p>
      <w:pPr>
        <w:spacing w:after="0" w:line="3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insider trading policy and procedures governing the purchase, sale, and other dispositions of their securities by directors, officers, and employees, or the registrant itself are reasonably designed to promote compliance with insider trading laws, rules, and regulations, and any listing standards applicable to the registrant.</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Shorting, Hedging, or Pledging Allowed</w:t>
      </w:r>
    </w:p>
    <w:p>
      <w:pPr>
        <w:spacing w:after="0" w:line="14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Insider Trading Policy also prohibits our directors and employees (including our executives) from (i) trading in any interest or position relating to the future price of our securities, such as a put, call or short sale, other than a cashless exercise of an option through a broker, (ii) engaging in hedging or monetization transactions using our securities, including through the use of financial instruments such as prepaid variable forwards, equity swaps, collars, and exchange funds, or (iii) holding our securities in a margin account or otherwise pledging our securities as collateral.</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Information About the Meeting</w:t>
      </w:r>
    </w:p>
    <w:p>
      <w:pPr>
        <w:spacing w:after="0" w:line="3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Annual Meeting will be held at our corporate offices located at 12061 Bluemont Way, Reston, Virginia 20190 on Thursday, May 23, 2024, at 10:00 a.m., Eastern Time.</w:t>
      </w:r>
    </w:p>
    <w:p>
      <w:pPr>
        <w:spacing w:after="0" w:line="6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Only holders of record of our common stock at the close of business on March 28, 2024, which is the record date, will be entitled to vote at the Annual Meeting. This Proxy Statement and related proxy materials were first made available to stockholders on April 10, 2024. Our 2023 Annual Report, which includes our Annual Report on Form 10-K for the year ended December 31, 2023, is enclosed with this Proxy Statement for stockholders receiving a paper copy of proxy materials. This Proxy Statement, together with our 2022 Annual Report, can be accessed on our Investor Relations website at https://investor.verisign.com, or at www.edocumentview.com/vrsn.</w:t>
      </w:r>
    </w:p>
    <w:p>
      <w:pPr>
        <w:spacing w:after="0" w:line="70"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 xml:space="preserve">Each proxy received will be voted in accordance with the instructions specified in the proxy. Unless contrary instructions are specified, if the proxy is submitted (and not revoked) prior to the Annual Meeting, the shares of Verisign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eight director candidates nominated by the Board (Proposal 1);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non-binding, advisory resolution to approve Verisign’s executive compensation (Proposal 2); (3)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our independent registered public accounting firm for the year ending December 31, 2024 (Proposal 3); and in accordance with the best judgment of the named proxies on any other matters properly brought before the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Voting Rights</w:t>
      </w:r>
    </w:p>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the close of business on the record date, we had 100,138,512 shares of common stock outstanding and entitled to vote. Holders of our common stock are entitled to one vote for each share held as of the record date.</w:t>
      </w:r>
    </w:p>
    <w:p>
      <w:pPr>
        <w:spacing w:after="0" w:line="261" w:lineRule="exact"/>
        <w:rPr>
          <w:sz w:val="20"/>
          <w:szCs w:val="20"/>
          <w:color w:val="auto"/>
        </w:rPr>
      </w:pPr>
    </w:p>
    <w:p>
      <w:pPr>
        <w:spacing w:after="0" w:line="291" w:lineRule="auto"/>
        <w:rPr>
          <w:sz w:val="20"/>
          <w:szCs w:val="20"/>
          <w:color w:val="auto"/>
        </w:rPr>
      </w:pPr>
      <w:r>
        <w:rPr>
          <w:rFonts w:ascii="Arial" w:cs="Arial" w:eastAsia="Arial" w:hAnsi="Arial"/>
          <w:sz w:val="32"/>
          <w:szCs w:val="32"/>
          <w:b w:val="1"/>
          <w:bCs w:val="1"/>
          <w:color w:val="004A98"/>
        </w:rPr>
        <w:t>Quorum, Effect of Abstentions and Broker Non-Votes, and Vote Required to Approve the Proposals</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 majority of the shares of our common stock outstanding and entitled to vote must be present or represented by proxy at the Annual Meeting in order to have a quorum for the transaction of business at the Annual Meeting. Abstentions and broker non-votes will be treated as shares present for the purpose of determining the presence of a quorum.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vote on any of the proposals unless you provide voting instructions. If you do not provide voting instructions and the broker elects to vote your shares on some but not all matters, it will result in a “broker non-vote” for the matters on which the broker does not vote. Abstentions occur when you provide voting instructions but instruct the broker to abstain from voting on a particular matter instead of voting for or against the matter.</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quorum is present at the Annual Meeting, to be elected, a nominee for director must receive a majority of the votes cast (the number of shares voted “for” that nominee must exceed the number of votes cast “against” that nominee). Under this voting standard, abstentions and broker non-votes will not affect the voting outcome. Stockholders may not cumulate votes in the election of directors.</w:t>
      </w:r>
    </w:p>
    <w:p>
      <w:pPr>
        <w:spacing w:after="0" w:line="5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If a nominee who currently serves as a director is not re-elected, Delaware law provides that the director would continue to serve on the Board as a “holdover director.” Under our Corporate Governance Principles, each director that is not reelected by the stockholders must offer to resign, subject to acceptance by the Board. Each director submits an irrevocable letter of resignation for this purpose. When such a resignation offer is made, the Corporate Governance and Nominating Committee makes a recommendation to the Board with respect to the resignation offer and the Board must then determine whether to accept or reject the resignation offer and publicly disclose its decision and the rationale therefor within 90 days following the date of the certification of the relevant election results.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If a quorum is present at the Annual Meeting, approval of the proposals for:</w:t>
      </w:r>
    </w:p>
    <w:p>
      <w:pPr>
        <w:spacing w:after="0" w:line="113"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6"/>
          <w:szCs w:val="16"/>
          <w:color w:val="004A98"/>
        </w:rPr>
      </w:pPr>
      <w:r>
        <w:rPr>
          <w:rFonts w:ascii="Arial" w:cs="Arial" w:eastAsia="Arial" w:hAnsi="Arial"/>
          <w:sz w:val="16"/>
          <w:szCs w:val="16"/>
          <w:color w:val="auto"/>
        </w:rPr>
        <w:t>the non-binding, advisory resolution to approve Verisign’s executive compensation (Proposal 2); and</w:t>
      </w:r>
    </w:p>
    <w:p>
      <w:pPr>
        <w:spacing w:after="0" w:line="86" w:lineRule="exact"/>
        <w:rPr>
          <w:rFonts w:ascii="Arial" w:cs="Arial" w:eastAsia="Arial" w:hAnsi="Arial"/>
          <w:sz w:val="16"/>
          <w:szCs w:val="16"/>
          <w:color w:val="004A98"/>
        </w:rPr>
      </w:pPr>
    </w:p>
    <w:p>
      <w:pPr>
        <w:ind w:left="200" w:right="360" w:hanging="192"/>
        <w:spacing w:after="0" w:line="286" w:lineRule="auto"/>
        <w:tabs>
          <w:tab w:leader="none" w:pos="170" w:val="left"/>
        </w:tabs>
        <w:numPr>
          <w:ilvl w:val="0"/>
          <w:numId w:val="53"/>
        </w:numPr>
        <w:rPr>
          <w:rFonts w:ascii="Arial" w:cs="Arial" w:eastAsia="Arial" w:hAnsi="Arial"/>
          <w:sz w:val="16"/>
          <w:szCs w:val="16"/>
          <w:color w:val="004A98"/>
        </w:rPr>
      </w:pPr>
      <w:r>
        <w:rPr>
          <w:rFonts w:ascii="Arial" w:cs="Arial" w:eastAsia="Arial" w:hAnsi="Arial"/>
          <w:sz w:val="16"/>
          <w:szCs w:val="16"/>
          <w:color w:val="auto"/>
        </w:rPr>
        <w:t>the ratification of the selection of KPMG LLP as the Company’s independent registered public accounting firm for the year ending December 31, 2024 (Proposal 3).</w:t>
      </w:r>
    </w:p>
    <w:p>
      <w:pPr>
        <w:spacing w:after="0" w:line="48"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requires, in each case, the affirmative vote of a majority of the shares of our common stock present or represented by proxy and entitled to vote on the matter. Under this voting standard, abstentions will have the effect of votes cast against the proposal, and broker non-votes will not affect the voting outcome.</w:t>
      </w:r>
    </w:p>
    <w:p>
      <w:pPr>
        <w:spacing w:after="0" w:line="29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Information About the Meeting</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inspector of elections appointed for the Annual Meeting will separately tabulate for and against votes, abstentions, and broker non-votes.</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Adjournment of Annual Meeting</w:t>
      </w:r>
    </w:p>
    <w:p>
      <w:pPr>
        <w:spacing w:after="0" w:line="1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event that a quorum shall fail to attend the Annual Meeting, either present or represented by proxy at the Annual Meeting, the chairman of the meeting may adjourn the Annual Meeting, or alternatively, the holders of a majority of the shares of our common stock entitled to vote who are present or represented by proxy may adjourn the Annual Meeting. Any such adjournment proposed by a stockholder or person named as a proxy would require the affirmative vote of the majority of the shares present or represented by proxy at the Annual Meeting.</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Expenses of Soliciting Proxies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Verisign will bear the expense of soliciting proxies to be voted at the Annual Meeting. Verisign intends to retain Alliance Advisors for various services related to the solicitation of proxies, which we anticipate will cost approximately $49,500, plus reimbursement of expenses. Following the original mailing of the Notice Regarding the Availability of Proxy Materials and paper copies of proxy materials, we and/or our agents may also solicit proxies by mail, telephone, electronic transmission, including email, or in person. Following the original mailing of the Notice Regarding the Availability of Proxy Materials and paper copies of the proxy materials, we will request that brokers, custodians, nominees, and other record holders of our shares forward copies of the proxy materials to persons for whom they hold shares and request authority for the exercise of proxies. In such cases, we will reimburse the record holders for their reasonable expenses if they ask us to do so.</w:t>
      </w: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Internet and Telephone Voting</w:t>
      </w:r>
    </w:p>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If you hold your shares as a stockholder of record as of the record date, you can simplify your voting process and save the Company expense by voting your shares by telephone at 1-800-652-VOTE (8683) or on the internet at</w:t>
      </w:r>
    </w:p>
    <w:p>
      <w:pPr>
        <w:ind w:right="40"/>
        <w:spacing w:after="0" w:line="256" w:lineRule="auto"/>
        <w:rPr>
          <w:sz w:val="20"/>
          <w:szCs w:val="20"/>
          <w:color w:val="auto"/>
        </w:rPr>
      </w:pPr>
      <w:r>
        <w:rPr>
          <w:rFonts w:ascii="Arial" w:cs="Arial" w:eastAsia="Arial" w:hAnsi="Arial"/>
          <w:sz w:val="16"/>
          <w:szCs w:val="16"/>
          <w:color w:val="auto"/>
        </w:rPr>
        <w:t>www.envisionreports.com/VRSN 24 hours a day, seven days a week. Telephone and internet voting are available through 12:00 a.m. Eastern Time on the day of the Annual Meeting. More information regarding internet voting is given on the Notice Regarding the Availability of Proxy Materials. If you hold your shares as of the record date through an intermediary, such as a bank or broker, the intermediary should provide you with separate instructions on a form you will receive from them. Many such intermediaries make telephone or internet voting available, but the specific processes available will depend on those intermediaries’ individual arrangements.</w:t>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Revocability of Proxies</w:t>
      </w:r>
    </w:p>
    <w:p>
      <w:pPr>
        <w:spacing w:after="0" w:line="1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If you hold your shares as a stockholder of record, you may revoke any proxy that is not irrevocable by attending and voting at the Annual Meeting or by delivering a proxy in accordance with applicable law bearing a later date to the Secretary of the Company. If you hold your shares through an intermediary, such as a bank or broker, you must follow the instructions provided by the intermediary to change or revoke your voting instructions.</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Householding</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 number of brokerage firms have instituted a procedure called “householding,” which has been approved by the SEC. Under this procedure, the firm delivers only one copy of the Notice Regarding the Availability of Proxy Materials or one copy of this Proxy Statement, together with our 2023 Annual Report, as the case may be, to multiple stockholders who share the same address and have the same last name, unless it has received contrary instructions from an affected stockholder. If your shares are held in “street name” and you would like to receive only one copy of these materials (instead of separate copies) in the future, please contact your bank, broker, or other holder of record to request information about householding. If you would like to receive an individual copy of the Notice Regarding the Availability of Proxy Materials or an individual copy of this Proxy Statement, together with our 2023 Annual Report, as the case may be, now or in the future, we will promptly deliver these materials to you upon request to VeriSign, Inc., 12061 Bluemont Way, Reston, Virginia 20190, Attention: Secretary or by phone at (703) 948-3200.</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Other Information</w:t>
      </w:r>
    </w:p>
    <w:p>
      <w:pPr>
        <w:spacing w:after="0" w:line="373" w:lineRule="exact"/>
        <w:rPr>
          <w:sz w:val="20"/>
          <w:szCs w:val="20"/>
          <w:color w:val="auto"/>
        </w:rPr>
      </w:pPr>
    </w:p>
    <w:p>
      <w:pPr>
        <w:ind w:right="180"/>
        <w:spacing w:after="0" w:line="291" w:lineRule="auto"/>
        <w:rPr>
          <w:sz w:val="20"/>
          <w:szCs w:val="20"/>
          <w:color w:val="auto"/>
        </w:rPr>
      </w:pPr>
      <w:r>
        <w:rPr>
          <w:rFonts w:ascii="Arial" w:cs="Arial" w:eastAsia="Arial" w:hAnsi="Arial"/>
          <w:sz w:val="32"/>
          <w:szCs w:val="32"/>
          <w:b w:val="1"/>
          <w:bCs w:val="1"/>
          <w:color w:val="004A98"/>
        </w:rPr>
        <w:t>Stockholder Proposals and Nominations for the 2025 Annual Meeting of Stockholders</w:t>
      </w:r>
    </w:p>
    <w:p>
      <w:pPr>
        <w:spacing w:after="0" w:line="1"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auto"/>
        </w:rPr>
        <w:t>We strongly encourage any stockholder interested in submitting a stockholder proposal to contact our Secretary in advance of the applicable deadline described below to discuss the proposal. Our Corporate Governance and Nominating Committee reviews all stockholder proposals and makes recommendations to the Board for action on such proposals. For information on recommending individuals for consideration as director nominees, see “Corporate Governance—Board Structure and Operations” elsewhere in this Proxy Statement.</w:t>
      </w:r>
    </w:p>
    <w:p>
      <w:pPr>
        <w:spacing w:after="0" w:line="6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We engage in a continuous quality improvement approach to corporate governance practices. We monitor and evaluate trends and events in corporate governance and compare and evaluate new developments against our current practices; we understand that corporate governance is not in a static state with regard to numerous topic areas. We seek and receive input from stockholders and other commentators on our practices and policies, and our Board and our Corporate Governance and Nominating Committee consider this input when reviewing proposals to change practices or policies.</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for Inclusion in Proxy Statement</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Under Rule 14a-8 of the Exchange Act, some stockholder proposals may be eligible for inclusion in our Proxy Statement for our 2025 Annual Meeting of Stockholders (other than nominees for director). These stockholder proposals must comply with Rule 14a-8 and must be submitted, along with proof of ownership of our stock in accordance with Rule 14a-8, to our Secretary at VeriSign, Inc., 12061 Bluemont Way, Reston, Virginia 20190. Failure to deliver a proposal in accordance with this procedure may result in the proposal not being deemed timely received. We must receive all submissions no later than 6:00 p.m. Eastern Time on December 11, 2024. Submitting a stockholder proposal does not guarantee that we will include it in our Proxy Statement for our 2025 Annual Meeting of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Nominations for Inclusion in Proxy Statement (Proxy Access)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Bylaws permit a stockholder (or a group of up to 20 stockholders) that has continuously owned at least 3% of the outstanding shares of our common stock entitled to vote in the election of directors for at least three years, to nominate and include in our Proxy Statement for an annual meeting of stockholders up to the greater of two individuals or 20% of the number of the directors then in office so long as the nominating stockholder(s) and the nominee(s) satisfy the eligibility, procedural, and disclosure requirements in our Bylaws. For our Proxy Statement for our 2025 Annual Meeting of Stockholders, notice of a proxy access nomination must be delivered to our Secretary at VeriSign, Inc., 12061 Bluemont Way, Reston, Virginia 20190 no earlier than 6:00 p.m. Eastern Time on November 11, 2024, and no later than 6:00 p.m. Eastern Time on December 11, 2024.The notice must include the information required by our Bylaws, including information concerning the nominee and information about the stockholder’s ownership of and agreements related to our common stock. If our 2025 Annual Meeting of Stockholders is held more than 30 days before or after the anniversary of our 2024 Annual Meeting of Stockholders, a stockholder seeking to nominate a candidate for election to the Board pursuant to the proxy access provisions of our Bylaws must submit notice of any such nomination no earlier than 6:00 p.m. Eastern Time on the 150th day prior to our 2025 Annual Meeting of Stockholders and no later than 6:00 p.m. Eastern Time on the later of the 120th day prior to our 2025 Annual Meeting of Stockholders or the 10th day following the day on which the date of our 2025 Annual Meeting of Stockholders is first publicly announced by us.</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Proposals and Nominations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Bylaws govern the submission of nominations for director or other business proposals that a stockholder wishes to have considered at a meeting of our stockholders, but which are not included in our Proxy Statement for that meeting. Under the advance notice provisions of our Bylaws, written notice of any such nominations for directors or other business proposals must be delivered to our Secretary at VeriSign, Inc., 12061 Bluemont Way, Reston, Virginia 20190, no earlier than 6:00 p.m. Eastern Time on January 23, 2025 and no later than 6:00 p.m. Eastern Time on February 22, 2025. The notice must include the information required by these advance notice provisions. If our 2025 Annual Meeting of Stockholders is held more than 30 days before or more than 60 days after the anniversary of our 2024 Annual Meeting of Stockholders, a stockholder seeking to nominate a candidate for election to the Board or propose any business at our 2025 Annual Meeting of Stockholders, pursuant to these advance notice provisions, must submit notice of any such nomination or proposed business or no earlier than 6:00 p.m. Eastern Time on the 120th day prior to our 2025 Annual Meeting of Stockholders and no later than 6:00 p.m. Eastern Time on the later of the 90th day prior to our 2025 Annual Meeting of Stockholders or the 10th day following the day on which the date of our 2025 Annual Meeting of Stockholders is first publicly announced by us. These advance notice provisions are separate from the requirements that a stockholder must meet in order to have a nominee or proposal included in the Proxy Statement.</w:t>
      </w:r>
    </w:p>
    <w:p>
      <w:pPr>
        <w:spacing w:after="0" w:line="29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Other Information</w:t>
      </w:r>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stockholders who intend to solicit proxies in support of director nominees other than Verisign’s nominees must provide notice that sets forth the information required by Rule 14a-19 under the Exchange Act no later than 6:00 p.m. Eastern Time, Tuesday, March 24, 2025 (or, if the 2025 Annual Meeting of Stockholders is called for a date that is more than 30 days before or more than 30 days after such anniversary date, then notice must be provided not later than the close of business on the later of 60 calendar days prior to the 2025 Annual Meeting of Stockholders or the 10th calendar day following the day on which public announcement of the 2025 Annual Meeting of Stockholders is first made by the Company). The notice requirement under Rule 14a-19 is in addition to the applicable advance notice requirements under our Bylaws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Other Business</w:t>
      </w:r>
    </w:p>
    <w:p>
      <w:pPr>
        <w:spacing w:after="0" w:line="14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the proxies received will be voted in accordance with the best judgment of the persons voting such proxies.</w:t>
      </w:r>
    </w:p>
    <w:p>
      <w:pPr>
        <w:spacing w:after="0" w:line="77"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b w:val="1"/>
          <w:bCs w:val="1"/>
          <w:color w:val="auto"/>
        </w:rPr>
        <w:t>Whether or not you expect to attend the Annual Meeting, please complete the proxy electronically as described on the Notice Regarding the Availability of Proxy Materials and under “Information About the Meeting—Internet and Telephone Voting” in this Proxy Statement, or alternatively, if you have received paper copies of our proxy materials, please complete, date, sign, and promptly return the proxy card or voting instruction form in the enclosed postage paid envelope or cast your vote by phone so that your shares may be represented at the Annual Meeting.</w:t>
      </w: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Communicating with Verisign</w:t>
      </w:r>
    </w:p>
    <w:p>
      <w:pPr>
        <w:spacing w:after="0" w:line="121"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Visit our main website at https://www.verisign.com for additional information regarding our products and services, capabilities, technologies, and customer support. Our Investor Relations website at https://investor.verisign.com contains key corporate governance documents, financial information, links to our SEC filings, and a copy of this Proxy Statement, together with our 2023 Annual Report. References to our 2023 Annual Report and website references throughout this Proxy Statement (including any hyperlinks) are provided for convenience only, and the contents in our 2023 Annual Report and on the websites are not incorporated by reference into this Proxy Statement.</w:t>
      </w:r>
    </w:p>
    <w:p>
      <w:pPr>
        <w:spacing w:after="0" w:line="93"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b w:val="1"/>
          <w:bCs w:val="1"/>
          <w:color w:val="auto"/>
        </w:rPr>
        <w:t>A copy of this Proxy Statement, together with our 2023 Annual Report, will be sent without charge to any stockholder who requests it. Please direct your requests to Verisign Investor Relations at ir@verisign.com (and specify your mailing address).</w:t>
      </w:r>
    </w:p>
    <w:p>
      <w:pPr>
        <w:spacing w:after="0" w:line="32"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If you have any questions concerning the Annual Meeting or the proposals to be voted on at the Annual Meeting, you may submit your questions to the following address: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VeriSign, Inc.</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Attention: Investor Relations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12061 Bluemont Way</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Reston, Virginia 20190</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or via email at ir@verisign.com</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Phone: +1 800 922 4917</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Int’l: +1 703 948 3447</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have any questions concerning accounts of stockholders of record, including address changes, name changes, inquiries as to requirements to transfer shares, and similar issues, please contact our transfer agent Computershare by calling (877) 255-1918 (U.S.) or +1 (201) 680-6578 (outside the U.S.), or by accessing their website at https://www.computershare.com/investor.</w:t>
      </w:r>
    </w:p>
    <w:p>
      <w:pPr>
        <w:spacing w:after="0" w:line="5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If you have any questions concerning accounts of stockholders who hold their shares through an intermediary, such as a bank or broker, please contact the intermediary.</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8285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828548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500380</wp:posOffset>
            </wp:positionV>
            <wp:extent cx="5966460" cy="77152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x"/>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bullet"/>
      <w:start w:val="1"/>
    </w:lvl>
  </w:abstractNum>
  <w:abstractNum w:abstractNumId="4">
    <w:nsid w:val="2901D82"/>
    <w:multiLevelType w:val="hybridMultilevel"/>
    <w:lvl w:ilvl="0">
      <w:lvlJc w:val="left"/>
      <w:lvlText w:val="2"/>
      <w:numFmt w:val="bullet"/>
      <w:start w:val="1"/>
    </w:lvl>
  </w:abstractNum>
  <w:abstractNum w:abstractNumId="5">
    <w:nsid w:val="3A95F874"/>
    <w:multiLevelType w:val="hybridMultilevel"/>
    <w:lvl w:ilvl="0">
      <w:lvlJc w:val="left"/>
      <w:lvlText w:val="2"/>
      <w:numFmt w:val="bullet"/>
      <w:start w:val="1"/>
    </w:lvl>
  </w:abstractNum>
  <w:abstractNum w:abstractNumId="6">
    <w:nsid w:val="8138641"/>
    <w:multiLevelType w:val="hybridMultilevel"/>
    <w:lvl w:ilvl="0">
      <w:lvlJc w:val="left"/>
      <w:lvlText w:val="4"/>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6"/>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8"/>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2"/>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2024-04-10T15:39:49Z</dcterms:created>
  <dcterms:modified xsi:type="dcterms:W3CDTF">2024-04-10T15:39:49Z</dcterms:modified>
</cp:coreProperties>
</file>