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386080</wp:posOffset>
            </wp:positionV>
            <wp:extent cx="705485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4850" cy="889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412115</wp:posOffset>
            </wp:positionV>
            <wp:extent cx="7054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4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8" w:lineRule="exact"/>
        <w:rPr>
          <w:sz w:val="24"/>
          <w:szCs w:val="24"/>
          <w:color w:val="auto"/>
        </w:rPr>
      </w:pPr>
    </w:p>
    <w:p>
      <w:pPr>
        <w:jc w:val="center"/>
        <w:ind w:right="-1100"/>
        <w:spacing w:after="0"/>
        <w:rPr>
          <w:sz w:val="20"/>
          <w:szCs w:val="20"/>
          <w:color w:val="auto"/>
        </w:rPr>
      </w:pPr>
      <w:r>
        <w:rPr>
          <w:rFonts w:ascii="Arial" w:cs="Arial" w:eastAsia="Arial" w:hAnsi="Arial"/>
          <w:sz w:val="27"/>
          <w:szCs w:val="27"/>
          <w:b w:val="1"/>
          <w:bCs w:val="1"/>
          <w:color w:val="auto"/>
        </w:rPr>
        <w:t>UNITED STATES</w:t>
      </w:r>
    </w:p>
    <w:p>
      <w:pPr>
        <w:spacing w:after="0" w:line="42" w:lineRule="exact"/>
        <w:rPr>
          <w:sz w:val="24"/>
          <w:szCs w:val="24"/>
          <w:color w:val="auto"/>
        </w:rPr>
      </w:pPr>
    </w:p>
    <w:p>
      <w:pPr>
        <w:jc w:val="center"/>
        <w:ind w:right="-1100"/>
        <w:spacing w:after="0"/>
        <w:rPr>
          <w:sz w:val="20"/>
          <w:szCs w:val="20"/>
          <w:color w:val="auto"/>
        </w:rPr>
      </w:pPr>
      <w:r>
        <w:rPr>
          <w:rFonts w:ascii="Arial" w:cs="Arial" w:eastAsia="Arial" w:hAnsi="Arial"/>
          <w:sz w:val="26"/>
          <w:szCs w:val="26"/>
          <w:b w:val="1"/>
          <w:bCs w:val="1"/>
          <w:color w:val="auto"/>
        </w:rPr>
        <w:t>SECURITIES AND EXCHANGE COMMISSION</w:t>
      </w:r>
    </w:p>
    <w:p>
      <w:pPr>
        <w:spacing w:after="0" w:line="20" w:lineRule="exact"/>
        <w:rPr>
          <w:sz w:val="24"/>
          <w:szCs w:val="24"/>
          <w:color w:val="auto"/>
        </w:rPr>
      </w:pPr>
    </w:p>
    <w:p>
      <w:pPr>
        <w:jc w:val="center"/>
        <w:ind w:right="-1100"/>
        <w:spacing w:after="0"/>
        <w:rPr>
          <w:sz w:val="20"/>
          <w:szCs w:val="20"/>
          <w:color w:val="auto"/>
        </w:rPr>
      </w:pPr>
      <w:r>
        <w:rPr>
          <w:rFonts w:ascii="Arial" w:cs="Arial" w:eastAsia="Arial" w:hAnsi="Arial"/>
          <w:sz w:val="22"/>
          <w:szCs w:val="22"/>
          <w:b w:val="1"/>
          <w:bCs w:val="1"/>
          <w:color w:val="auto"/>
        </w:rPr>
        <w:t>Washington, D.C. 20549</w:t>
      </w:r>
    </w:p>
    <w:p>
      <w:pPr>
        <w:spacing w:after="0" w:line="48" w:lineRule="exact"/>
        <w:rPr>
          <w:sz w:val="24"/>
          <w:szCs w:val="24"/>
          <w:color w:val="auto"/>
        </w:rPr>
      </w:pPr>
    </w:p>
    <w:p>
      <w:pPr>
        <w:jc w:val="center"/>
        <w:ind w:right="-1100"/>
        <w:spacing w:after="0"/>
        <w:rPr>
          <w:sz w:val="20"/>
          <w:szCs w:val="20"/>
          <w:color w:val="auto"/>
        </w:rPr>
      </w:pPr>
      <w:r>
        <w:rPr>
          <w:rFonts w:ascii="Arial" w:cs="Arial" w:eastAsia="Arial" w:hAnsi="Arial"/>
          <w:sz w:val="27"/>
          <w:szCs w:val="27"/>
          <w:b w:val="1"/>
          <w:bCs w:val="1"/>
          <w:color w:val="auto"/>
        </w:rPr>
        <w:t>SCHEDULE 14A INFORMATION</w:t>
      </w:r>
    </w:p>
    <w:p>
      <w:pPr>
        <w:spacing w:after="0" w:line="25" w:lineRule="exact"/>
        <w:rPr>
          <w:sz w:val="24"/>
          <w:szCs w:val="24"/>
          <w:color w:val="auto"/>
        </w:rPr>
      </w:pPr>
    </w:p>
    <w:p>
      <w:pPr>
        <w:jc w:val="center"/>
        <w:ind w:right="-1100"/>
        <w:spacing w:after="0"/>
        <w:rPr>
          <w:sz w:val="20"/>
          <w:szCs w:val="20"/>
          <w:color w:val="auto"/>
        </w:rPr>
      </w:pPr>
      <w:r>
        <w:rPr>
          <w:rFonts w:ascii="Arial" w:cs="Arial" w:eastAsia="Arial" w:hAnsi="Arial"/>
          <w:sz w:val="20"/>
          <w:szCs w:val="20"/>
          <w:b w:val="1"/>
          <w:bCs w:val="1"/>
          <w:color w:val="auto"/>
        </w:rPr>
        <w:t>Proxy Statement Pursuant to Section 14(a) of the</w:t>
      </w:r>
    </w:p>
    <w:p>
      <w:pPr>
        <w:jc w:val="center"/>
        <w:ind w:right="-1100"/>
        <w:spacing w:after="0"/>
        <w:rPr>
          <w:sz w:val="20"/>
          <w:szCs w:val="20"/>
          <w:color w:val="auto"/>
        </w:rPr>
      </w:pPr>
      <w:r>
        <w:rPr>
          <w:rFonts w:ascii="Arial" w:cs="Arial" w:eastAsia="Arial" w:hAnsi="Arial"/>
          <w:sz w:val="20"/>
          <w:szCs w:val="20"/>
          <w:b w:val="1"/>
          <w:bCs w:val="1"/>
          <w:color w:val="auto"/>
        </w:rPr>
        <w:t>Securities Exchange Act of 1934</w:t>
      </w:r>
    </w:p>
    <w:p>
      <w:pPr>
        <w:spacing w:after="0" w:line="52" w:lineRule="exact"/>
        <w:rPr>
          <w:sz w:val="24"/>
          <w:szCs w:val="24"/>
          <w:color w:val="auto"/>
        </w:rPr>
      </w:pPr>
    </w:p>
    <w:p>
      <w:pPr>
        <w:spacing w:after="0"/>
        <w:rPr>
          <w:sz w:val="20"/>
          <w:szCs w:val="20"/>
          <w:color w:val="auto"/>
        </w:rPr>
      </w:pPr>
      <w:r>
        <w:rPr>
          <w:rFonts w:ascii="Arial" w:cs="Arial" w:eastAsia="Arial" w:hAnsi="Arial"/>
          <w:sz w:val="18"/>
          <w:szCs w:val="18"/>
          <w:color w:val="auto"/>
        </w:rPr>
        <w:t xml:space="preserve">Filed by the Registrant </w:t>
      </w:r>
      <w:r>
        <w:rPr>
          <w:rFonts w:ascii="Wingdings" w:cs="Wingdings" w:eastAsia="Wingdings" w:hAnsi="Wingdings"/>
          <w:sz w:val="18"/>
          <w:szCs w:val="18"/>
          <w:b w:val="1"/>
          <w:bCs w:val="1"/>
          <w:color w:val="auto"/>
        </w:rPr>
        <w:t>x</w:t>
      </w:r>
    </w:p>
    <w:p>
      <w:pPr>
        <w:spacing w:after="0" w:line="2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49" w:lineRule="exact"/>
        <w:rPr>
          <w:rFonts w:ascii="MS PGothic" w:cs="MS PGothic" w:eastAsia="MS PGothic" w:hAnsi="MS PGothic"/>
          <w:sz w:val="18"/>
          <w:szCs w:val="18"/>
          <w:color w:val="auto"/>
        </w:rPr>
      </w:pPr>
    </w:p>
    <w:p>
      <w:pPr>
        <w:ind w:left="20" w:right="3039" w:firstLine="6"/>
        <w:spacing w:after="0" w:line="295" w:lineRule="auto"/>
        <w:tabs>
          <w:tab w:leader="none" w:pos="317"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Confidential, for Use of the Commission Only (as permitted by Rule 14a-6(e)(2)) </w:t>
      </w:r>
      <w:r>
        <w:rPr>
          <w:rFonts w:ascii="Wingdings" w:cs="Wingdings" w:eastAsia="Wingdings" w:hAnsi="Wingdings"/>
          <w:sz w:val="18"/>
          <w:szCs w:val="18"/>
          <w:b w:val="1"/>
          <w:bCs w:val="1"/>
          <w:color w:val="auto"/>
        </w:rPr>
        <w:t xml:space="preserve">x </w:t>
      </w:r>
      <w:r>
        <w:rPr>
          <w:rFonts w:ascii="Arial" w:cs="Arial" w:eastAsia="Arial" w:hAnsi="Arial"/>
          <w:sz w:val="18"/>
          <w:szCs w:val="18"/>
          <w:color w:val="auto"/>
        </w:rPr>
        <w:t>Definitive Proxy Statement</w:t>
      </w:r>
    </w:p>
    <w:p>
      <w:pPr>
        <w:spacing w:after="0" w:line="31" w:lineRule="exact"/>
        <w:rPr>
          <w:rFonts w:ascii="MS PGothic" w:cs="MS PGothic" w:eastAsia="MS PGothic" w:hAnsi="MS PGothic"/>
          <w:sz w:val="18"/>
          <w:szCs w:val="18"/>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63" w:lineRule="exact"/>
        <w:rPr>
          <w:rFonts w:ascii="MS PGothic" w:cs="MS PGothic" w:eastAsia="MS PGothic" w:hAnsi="MS PGothic"/>
          <w:sz w:val="18"/>
          <w:szCs w:val="18"/>
          <w:color w:val="auto"/>
        </w:rPr>
      </w:pPr>
    </w:p>
    <w:p>
      <w:pPr>
        <w:ind w:left="320" w:hanging="294"/>
        <w:spacing w:after="0"/>
        <w:tabs>
          <w:tab w:leader="none" w:pos="3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2696845</wp:posOffset>
            </wp:positionH>
            <wp:positionV relativeFrom="paragraph">
              <wp:posOffset>437515</wp:posOffset>
            </wp:positionV>
            <wp:extent cx="1748790" cy="55753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48790" cy="5575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VeriSign,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55245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4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27" w:lineRule="exact"/>
        <w:rPr>
          <w:sz w:val="24"/>
          <w:szCs w:val="24"/>
          <w:color w:val="auto"/>
        </w:rPr>
      </w:pPr>
    </w:p>
    <w:p>
      <w:pPr>
        <w:ind w:left="3340"/>
        <w:spacing w:after="0"/>
        <w:rPr>
          <w:sz w:val="20"/>
          <w:szCs w:val="20"/>
          <w:color w:val="auto"/>
        </w:rPr>
      </w:pPr>
      <w:r>
        <w:rPr>
          <w:rFonts w:ascii="Arial" w:cs="Arial" w:eastAsia="Arial" w:hAnsi="Arial"/>
          <w:sz w:val="13"/>
          <w:szCs w:val="13"/>
          <w:b w:val="1"/>
          <w:bCs w:val="1"/>
          <w:color w:val="auto"/>
        </w:rPr>
        <w:t>(Name of Person(s) Filing Proxy Statement, if other than the Registrant)</w:t>
      </w:r>
    </w:p>
    <w:p>
      <w:pPr>
        <w:spacing w:after="0" w:line="238"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all boxes that apply):</w:t>
      </w:r>
    </w:p>
    <w:p>
      <w:pPr>
        <w:spacing w:after="0" w:line="90" w:lineRule="exact"/>
        <w:rPr>
          <w:sz w:val="24"/>
          <w:szCs w:val="24"/>
          <w:color w:val="auto"/>
        </w:rPr>
      </w:pPr>
    </w:p>
    <w:p>
      <w:pPr>
        <w:ind w:left="340" w:hanging="314"/>
        <w:spacing w:after="0"/>
        <w:tabs>
          <w:tab w:leader="none" w:pos="340" w:val="left"/>
        </w:tabs>
        <w:numPr>
          <w:ilvl w:val="0"/>
          <w:numId w:val="2"/>
        </w:numPr>
        <w:rPr>
          <w:rFonts w:ascii="Wingdings" w:cs="Wingdings" w:eastAsia="Wingdings" w:hAnsi="Wingdings"/>
          <w:sz w:val="18"/>
          <w:szCs w:val="18"/>
          <w:b w:val="1"/>
          <w:bCs w:val="1"/>
          <w:color w:val="auto"/>
        </w:rPr>
      </w:pPr>
      <w:r>
        <w:rPr>
          <w:rFonts w:ascii="Arial" w:cs="Arial" w:eastAsia="Arial" w:hAnsi="Arial"/>
          <w:sz w:val="18"/>
          <w:szCs w:val="18"/>
          <w:color w:val="auto"/>
        </w:rPr>
        <w:t>No fee required</w:t>
      </w:r>
    </w:p>
    <w:p>
      <w:pPr>
        <w:spacing w:after="0" w:line="63" w:lineRule="exact"/>
        <w:rPr>
          <w:sz w:val="24"/>
          <w:szCs w:val="24"/>
          <w:color w:val="auto"/>
        </w:rPr>
      </w:pPr>
    </w:p>
    <w:p>
      <w:pPr>
        <w:ind w:left="340" w:hanging="314"/>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63" w:lineRule="exact"/>
        <w:rPr>
          <w:rFonts w:ascii="MS PGothic" w:cs="MS PGothic" w:eastAsia="MS PGothic" w:hAnsi="MS PGothic"/>
          <w:sz w:val="18"/>
          <w:szCs w:val="18"/>
          <w:color w:val="auto"/>
        </w:rPr>
      </w:pPr>
    </w:p>
    <w:p>
      <w:pPr>
        <w:ind w:left="340" w:hanging="314"/>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862330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326390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229"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291465</wp:posOffset>
            </wp:positionV>
            <wp:extent cx="1097280" cy="10204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9728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680"/>
        <w:spacing w:after="0"/>
        <w:rPr>
          <w:sz w:val="20"/>
          <w:szCs w:val="20"/>
          <w:color w:val="auto"/>
        </w:rPr>
      </w:pPr>
      <w:r>
        <w:rPr>
          <w:rFonts w:ascii="Arial" w:cs="Arial" w:eastAsia="Arial" w:hAnsi="Arial"/>
          <w:sz w:val="72"/>
          <w:szCs w:val="72"/>
          <w:color w:val="004A98"/>
        </w:rPr>
        <w:t>NOTICE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-442595</wp:posOffset>
            </wp:positionV>
            <wp:extent cx="5486400" cy="18605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86400" cy="1860550"/>
                    </a:xfrm>
                    <a:prstGeom prst="rect">
                      <a:avLst/>
                    </a:prstGeom>
                    <a:noFill/>
                  </pic:spPr>
                </pic:pic>
              </a:graphicData>
            </a:graphic>
          </wp:anchor>
        </w:drawing>
      </w:r>
    </w:p>
    <w:p>
      <w:pPr>
        <w:ind w:left="680"/>
        <w:spacing w:after="0" w:line="207" w:lineRule="auto"/>
        <w:rPr>
          <w:sz w:val="20"/>
          <w:szCs w:val="20"/>
          <w:color w:val="auto"/>
        </w:rPr>
      </w:pPr>
      <w:r>
        <w:rPr>
          <w:rFonts w:ascii="Arial" w:cs="Arial" w:eastAsia="Arial" w:hAnsi="Arial"/>
          <w:sz w:val="72"/>
          <w:szCs w:val="72"/>
          <w:color w:val="004A98"/>
        </w:rPr>
        <w:t>2025 ANNUAL</w:t>
      </w:r>
    </w:p>
    <w:p>
      <w:pPr>
        <w:spacing w:after="0" w:line="1" w:lineRule="exact"/>
        <w:rPr>
          <w:sz w:val="20"/>
          <w:szCs w:val="20"/>
          <w:color w:val="auto"/>
        </w:rPr>
      </w:pPr>
    </w:p>
    <w:p>
      <w:pPr>
        <w:ind w:left="680" w:right="2499"/>
        <w:spacing w:after="0"/>
        <w:rPr>
          <w:sz w:val="20"/>
          <w:szCs w:val="20"/>
          <w:color w:val="auto"/>
        </w:rPr>
      </w:pPr>
      <w:r>
        <w:rPr>
          <w:rFonts w:ascii="Arial" w:cs="Arial" w:eastAsia="Arial" w:hAnsi="Arial"/>
          <w:sz w:val="70"/>
          <w:szCs w:val="70"/>
          <w:color w:val="004A98"/>
        </w:rPr>
        <w:t>MEETING AND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527685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1097280" cy="10204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97280" cy="1020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6"/>
          <w:szCs w:val="16"/>
          <w:color w:val="auto"/>
        </w:rPr>
        <w:t>VeriSign, Inc.</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12061 Bluemont Way</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Reston, Virginia 20190</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color w:val="auto"/>
        </w:rPr>
        <w:t>April 11, 2025</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To Our Stockholders:</w:t>
      </w:r>
    </w:p>
    <w:p>
      <w:pPr>
        <w:spacing w:after="0" w:line="127"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You are cordially invited to attend the 2025 Annual Meeting of Stockholders (the “Annual Meeting”) of VeriSign, Inc. (“we,” “our,” “us,” or the “Company”) to be held at our corporate offices located at 12061 Bluemont Way, Reston, Virginia 20190 on Thursday, May 22, 2025, at 10:00 a.m., Eastern Time.</w:t>
      </w: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The matters expected to be acted upon at the Annual Meeting are described in detail on the following pages.</w:t>
      </w:r>
    </w:p>
    <w:p>
      <w:pPr>
        <w:spacing w:after="0" w:line="127"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We are using a U.S. Securities and Exchange Commission rule that allows us to furnish our proxy materials over the internet. As a result, we are mailing to our stockholders a Notice Regarding the Availability of Proxy Materials instead of a paper copy of the following Proxy Statement, together with our 2024 Annual Report. The Notice Regarding the Availability of Proxy Materials contains instructions on how to access those documents over the internet or receive a paper copy of those documents. We believe that this process will conserve natural resources and reduce the costs of printing and distributing our proxy materials.</w:t>
      </w:r>
    </w:p>
    <w:p>
      <w:pPr>
        <w:spacing w:after="0" w:line="83"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It is important that you use this opportunity to take part in the affairs of the Company by voting on the business to come before the Annual Meeting. Whether or not you plan to attend the Annual Meeting, please vote electronically via the internet or by telephone as described in the Notice Regarding the Availability of Proxy Materials and under “Information About the Meeting—Internet and Telephone Voting” within the following Proxy Statement, or alternatively, if you have received paper copies of our proxy materials, please complete, date, sign, and promptly return the accompanying proxy card or voting instruction form by mail using the enclosed envelope so that your shares may be represented at the Annual Meeting. Returning or completing the proxy card does not deprive you of your right to attend the Annual Meeting and vote your shares.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Thank you for your continued support of the Company.</w:t>
      </w:r>
    </w:p>
    <w:p>
      <w:pPr>
        <w:spacing w:after="0" w:line="154"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Sincerely,</w:t>
      </w:r>
    </w:p>
    <w:p>
      <w:pPr>
        <w:spacing w:after="0" w:line="289"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/s/ D. James Bidzos</w:t>
      </w:r>
    </w:p>
    <w:p>
      <w:pPr>
        <w:spacing w:after="0" w:line="32" w:lineRule="exact"/>
        <w:rPr>
          <w:sz w:val="20"/>
          <w:szCs w:val="20"/>
          <w:color w:val="auto"/>
        </w:rPr>
      </w:pPr>
    </w:p>
    <w:p>
      <w:pPr>
        <w:ind w:left="6540"/>
        <w:spacing w:after="0"/>
        <w:rPr>
          <w:sz w:val="20"/>
          <w:szCs w:val="20"/>
          <w:color w:val="auto"/>
        </w:rPr>
      </w:pPr>
      <w:r>
        <w:rPr>
          <w:rFonts w:ascii="Arial" w:cs="Arial" w:eastAsia="Arial" w:hAnsi="Arial"/>
          <w:sz w:val="16"/>
          <w:szCs w:val="16"/>
          <w:color w:val="auto"/>
        </w:rPr>
        <w:t>D. James Bidzos</w:t>
      </w:r>
    </w:p>
    <w:p>
      <w:pPr>
        <w:spacing w:after="0" w:line="175" w:lineRule="exact"/>
        <w:rPr>
          <w:sz w:val="20"/>
          <w:szCs w:val="20"/>
          <w:color w:val="auto"/>
        </w:rPr>
      </w:pPr>
    </w:p>
    <w:p>
      <w:pPr>
        <w:ind w:left="6500"/>
        <w:spacing w:after="0"/>
        <w:rPr>
          <w:sz w:val="20"/>
          <w:szCs w:val="20"/>
          <w:color w:val="auto"/>
        </w:rPr>
      </w:pPr>
      <w:r>
        <w:rPr>
          <w:rFonts w:ascii="Arial" w:cs="Arial" w:eastAsia="Arial" w:hAnsi="Arial"/>
          <w:sz w:val="16"/>
          <w:szCs w:val="16"/>
          <w:color w:val="auto"/>
        </w:rPr>
        <w:t>Chairman of the Board of Directors,</w:t>
      </w:r>
    </w:p>
    <w:p>
      <w:pPr>
        <w:ind w:left="6500"/>
        <w:spacing w:after="0"/>
        <w:rPr>
          <w:sz w:val="20"/>
          <w:szCs w:val="20"/>
          <w:color w:val="auto"/>
        </w:rPr>
      </w:pPr>
      <w:r>
        <w:rPr>
          <w:rFonts w:ascii="Arial" w:cs="Arial" w:eastAsia="Arial" w:hAnsi="Arial"/>
          <w:sz w:val="16"/>
          <w:szCs w:val="16"/>
          <w:color w:val="auto"/>
        </w:rPr>
        <w:t>Executive 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574040" cy="531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4040" cy="531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420"/>
        <w:spacing w:after="0" w:line="284" w:lineRule="auto"/>
        <w:rPr>
          <w:sz w:val="20"/>
          <w:szCs w:val="20"/>
          <w:color w:val="auto"/>
        </w:rPr>
      </w:pPr>
      <w:r>
        <w:rPr>
          <w:rFonts w:ascii="Arial" w:cs="Arial" w:eastAsia="Arial" w:hAnsi="Arial"/>
          <w:sz w:val="59"/>
          <w:szCs w:val="59"/>
          <w:color w:val="004A98"/>
        </w:rPr>
        <w:t>Notice of 2025 Annual Meeting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-6350</wp:posOffset>
            </wp:positionV>
            <wp:extent cx="2219960" cy="2948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219960" cy="2948940"/>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p>
      <w:pPr>
        <w:spacing w:after="0" w:line="281"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004A98"/>
        </w:rPr>
        <w:t>Date and Time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2025 Annual Meeting of Stockholders (the “Annual Meeting”) will be held for the following purposes:</w:t>
      </w:r>
    </w:p>
    <w:p>
      <w:pPr>
        <w:spacing w:after="0" w:line="382" w:lineRule="exact"/>
        <w:rPr>
          <w:sz w:val="20"/>
          <w:szCs w:val="20"/>
          <w:color w:val="auto"/>
        </w:rPr>
      </w:pPr>
    </w:p>
    <w:p>
      <w:pPr>
        <w:sectPr>
          <w:pgSz w:w="11900" w:h="16838" w:orient="portrait"/>
          <w:cols w:equalWidth="0" w:num="2">
            <w:col w:w="3040" w:space="720"/>
            <w:col w:w="7460"/>
          </w:cols>
          <w:pgMar w:left="320" w:top="122" w:right="359" w:bottom="1440" w:gutter="0" w:footer="0" w:header="0"/>
          <w:type w:val="continuous"/>
        </w:sectPr>
      </w:pPr>
    </w:p>
    <w:p>
      <w:pPr>
        <w:ind w:left="140"/>
        <w:spacing w:after="0" w:line="304" w:lineRule="auto"/>
        <w:rPr>
          <w:sz w:val="20"/>
          <w:szCs w:val="20"/>
          <w:color w:val="auto"/>
        </w:rPr>
      </w:pPr>
      <w:r>
        <w:rPr>
          <w:rFonts w:ascii="Arial" w:cs="Arial" w:eastAsia="Arial" w:hAnsi="Arial"/>
          <w:sz w:val="16"/>
          <w:szCs w:val="16"/>
          <w:color w:val="auto"/>
        </w:rPr>
        <w:t>May 22, 2025 (Thursday) 10:00 a.m. (Eastern Time)</w:t>
      </w:r>
    </w:p>
    <w:p>
      <w:pPr>
        <w:spacing w:after="0" w:line="137"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004A98"/>
        </w:rPr>
        <w:t>Location</w:t>
      </w:r>
    </w:p>
    <w:p>
      <w:pPr>
        <w:spacing w:after="0" w:line="68" w:lineRule="exact"/>
        <w:rPr>
          <w:sz w:val="20"/>
          <w:szCs w:val="20"/>
          <w:color w:val="auto"/>
        </w:rPr>
      </w:pPr>
    </w:p>
    <w:p>
      <w:pPr>
        <w:ind w:left="140" w:right="100"/>
        <w:spacing w:after="0" w:line="301" w:lineRule="auto"/>
        <w:rPr>
          <w:sz w:val="20"/>
          <w:szCs w:val="20"/>
          <w:color w:val="auto"/>
        </w:rPr>
      </w:pPr>
      <w:r>
        <w:rPr>
          <w:rFonts w:ascii="Arial" w:cs="Arial" w:eastAsia="Arial" w:hAnsi="Arial"/>
          <w:sz w:val="16"/>
          <w:szCs w:val="16"/>
          <w:color w:val="auto"/>
        </w:rPr>
        <w:t>The Annual Meeting will be held at our corporate offices located at 12061 Bluemont Way, Reston, Virginia 20190.</w:t>
      </w:r>
    </w:p>
    <w:p>
      <w:pPr>
        <w:spacing w:after="0" w:line="140"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004A98"/>
        </w:rPr>
        <w:t>Who Can Vote</w:t>
      </w:r>
    </w:p>
    <w:p>
      <w:pPr>
        <w:spacing w:after="0" w:line="68" w:lineRule="exact"/>
        <w:rPr>
          <w:sz w:val="20"/>
          <w:szCs w:val="20"/>
          <w:color w:val="auto"/>
        </w:rPr>
      </w:pPr>
    </w:p>
    <w:p>
      <w:pPr>
        <w:ind w:left="140" w:right="20"/>
        <w:spacing w:after="0" w:line="282" w:lineRule="auto"/>
        <w:rPr>
          <w:sz w:val="20"/>
          <w:szCs w:val="20"/>
          <w:color w:val="auto"/>
        </w:rPr>
      </w:pPr>
      <w:r>
        <w:rPr>
          <w:rFonts w:ascii="Arial" w:cs="Arial" w:eastAsia="Arial" w:hAnsi="Arial"/>
          <w:sz w:val="16"/>
          <w:szCs w:val="16"/>
          <w:color w:val="auto"/>
        </w:rPr>
        <w:t>Only stockholders of record at the close of business on April 1, 2025, which is the record date, are entitled to notice of, and to vote at, the Annual Meeting or any adjournment or postponement thereof.</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-211455</wp:posOffset>
            </wp:positionV>
            <wp:extent cx="2237105" cy="2400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37105" cy="240030"/>
                    </a:xfrm>
                    <a:prstGeom prst="rect">
                      <a:avLst/>
                    </a:prstGeom>
                    <a:noFill/>
                  </pic:spPr>
                </pic:pic>
              </a:graphicData>
            </a:graphic>
          </wp:anchor>
        </w:drawing>
      </w:r>
    </w:p>
    <w:p>
      <w:pPr>
        <w:spacing w:after="0" w:line="104" w:lineRule="exact"/>
        <w:rPr>
          <w:sz w:val="20"/>
          <w:szCs w:val="20"/>
          <w:color w:val="auto"/>
        </w:rPr>
      </w:pPr>
    </w:p>
    <w:p>
      <w:pPr>
        <w:ind w:left="540" w:right="60" w:hanging="535"/>
        <w:spacing w:after="0" w:line="183" w:lineRule="auto"/>
        <w:tabs>
          <w:tab w:leader="none" w:pos="540" w:val="left"/>
        </w:tabs>
        <w:numPr>
          <w:ilvl w:val="0"/>
          <w:numId w:val="4"/>
        </w:numPr>
        <w:rPr>
          <w:rFonts w:ascii="Arial" w:cs="Arial" w:eastAsia="Arial" w:hAnsi="Arial"/>
          <w:sz w:val="32"/>
          <w:szCs w:val="32"/>
          <w:b w:val="1"/>
          <w:bCs w:val="1"/>
          <w:color w:val="004A98"/>
          <w:vertAlign w:val="subscript"/>
        </w:rPr>
      </w:pPr>
      <w:r>
        <w:rPr>
          <w:rFonts w:ascii="Arial" w:cs="Arial" w:eastAsia="Arial" w:hAnsi="Arial"/>
          <w:sz w:val="14"/>
          <w:szCs w:val="14"/>
          <w:color w:val="auto"/>
        </w:rPr>
        <w:t>Election of Eight Directors Named in the Proxy Statement</w:t>
      </w:r>
    </w:p>
    <w:p>
      <w:pPr>
        <w:spacing w:after="0" w:line="164" w:lineRule="exact"/>
        <w:rPr>
          <w:sz w:val="20"/>
          <w:szCs w:val="20"/>
          <w:color w:val="auto"/>
        </w:rPr>
      </w:pPr>
    </w:p>
    <w:p>
      <w:pPr>
        <w:ind w:left="540" w:right="360" w:hanging="535"/>
        <w:spacing w:after="0" w:line="182" w:lineRule="auto"/>
        <w:tabs>
          <w:tab w:leader="none" w:pos="540" w:val="left"/>
        </w:tabs>
        <w:numPr>
          <w:ilvl w:val="0"/>
          <w:numId w:val="5"/>
        </w:numPr>
        <w:rPr>
          <w:rFonts w:ascii="Arial" w:cs="Arial" w:eastAsia="Arial" w:hAnsi="Arial"/>
          <w:sz w:val="30"/>
          <w:szCs w:val="30"/>
          <w:b w:val="1"/>
          <w:bCs w:val="1"/>
          <w:color w:val="004A98"/>
          <w:vertAlign w:val="subscript"/>
        </w:rPr>
      </w:pPr>
      <w:r>
        <w:rPr>
          <w:rFonts w:ascii="Arial" w:cs="Arial" w:eastAsia="Arial" w:hAnsi="Arial"/>
          <w:sz w:val="13"/>
          <w:szCs w:val="13"/>
          <w:color w:val="auto"/>
        </w:rPr>
        <w:t>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19685</wp:posOffset>
            </wp:positionV>
            <wp:extent cx="22371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23710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-262890</wp:posOffset>
            </wp:positionV>
            <wp:extent cx="223710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60" w:type="dxa"/>
            <w:vAlign w:val="bottom"/>
            <w:vMerge w:val="restart"/>
          </w:tcPr>
          <w:p>
            <w:pPr>
              <w:jc w:val="right"/>
              <w:ind w:right="18"/>
              <w:spacing w:after="0"/>
              <w:rPr>
                <w:sz w:val="20"/>
                <w:szCs w:val="20"/>
                <w:color w:val="auto"/>
              </w:rPr>
            </w:pPr>
            <w:r>
              <w:rPr>
                <w:rFonts w:ascii="Arial" w:cs="Arial" w:eastAsia="Arial" w:hAnsi="Arial"/>
                <w:sz w:val="32"/>
                <w:szCs w:val="32"/>
                <w:b w:val="1"/>
                <w:bCs w:val="1"/>
                <w:color w:val="004A98"/>
                <w:w w:val="89"/>
              </w:rPr>
              <w:t>3</w:t>
            </w:r>
          </w:p>
        </w:tc>
        <w:tc>
          <w:tcPr>
            <w:tcW w:w="3120" w:type="dxa"/>
            <w:vAlign w:val="bottom"/>
          </w:tcPr>
          <w:p>
            <w:pPr>
              <w:ind w:left="180"/>
              <w:spacing w:after="0"/>
              <w:rPr>
                <w:sz w:val="20"/>
                <w:szCs w:val="20"/>
                <w:color w:val="auto"/>
              </w:rPr>
            </w:pPr>
            <w:r>
              <w:rPr>
                <w:rFonts w:ascii="Arial" w:cs="Arial" w:eastAsia="Arial" w:hAnsi="Arial"/>
                <w:sz w:val="16"/>
                <w:szCs w:val="16"/>
                <w:color w:val="auto"/>
                <w:w w:val="97"/>
              </w:rPr>
              <w:t>Ratification of Selection of KPMG   LLP as</w:t>
            </w:r>
          </w:p>
        </w:tc>
        <w:tc>
          <w:tcPr>
            <w:tcW w:w="0" w:type="dxa"/>
            <w:vAlign w:val="bottom"/>
          </w:tcPr>
          <w:p>
            <w:pPr>
              <w:spacing w:after="0"/>
              <w:rPr>
                <w:sz w:val="1"/>
                <w:szCs w:val="1"/>
                <w:color w:val="auto"/>
              </w:rPr>
            </w:pPr>
          </w:p>
        </w:tc>
      </w:tr>
      <w:tr>
        <w:trPr>
          <w:trHeight w:val="162"/>
        </w:trPr>
        <w:tc>
          <w:tcPr>
            <w:tcW w:w="360" w:type="dxa"/>
            <w:vAlign w:val="bottom"/>
            <w:vMerge w:val="continue"/>
          </w:tcPr>
          <w:p>
            <w:pPr>
              <w:spacing w:after="0"/>
              <w:rPr>
                <w:sz w:val="14"/>
                <w:szCs w:val="14"/>
                <w:color w:val="auto"/>
              </w:rPr>
            </w:pPr>
          </w:p>
        </w:tc>
        <w:tc>
          <w:tcPr>
            <w:tcW w:w="3120" w:type="dxa"/>
            <w:vAlign w:val="bottom"/>
          </w:tcPr>
          <w:p>
            <w:pPr>
              <w:ind w:left="180"/>
              <w:spacing w:after="0" w:line="162" w:lineRule="exact"/>
              <w:rPr>
                <w:sz w:val="20"/>
                <w:szCs w:val="20"/>
                <w:color w:val="auto"/>
              </w:rPr>
            </w:pPr>
            <w:r>
              <w:rPr>
                <w:rFonts w:ascii="Arial" w:cs="Arial" w:eastAsia="Arial" w:hAnsi="Arial"/>
                <w:sz w:val="16"/>
                <w:szCs w:val="16"/>
                <w:color w:val="auto"/>
              </w:rPr>
              <w:t>Independent Registered Public</w:t>
            </w:r>
          </w:p>
        </w:tc>
        <w:tc>
          <w:tcPr>
            <w:tcW w:w="0" w:type="dxa"/>
            <w:vAlign w:val="bottom"/>
          </w:tcPr>
          <w:p>
            <w:pPr>
              <w:spacing w:after="0"/>
              <w:rPr>
                <w:sz w:val="1"/>
                <w:szCs w:val="1"/>
                <w:color w:val="auto"/>
              </w:rPr>
            </w:pPr>
          </w:p>
        </w:tc>
      </w:tr>
      <w:tr>
        <w:trPr>
          <w:trHeight w:val="215"/>
        </w:trPr>
        <w:tc>
          <w:tcPr>
            <w:tcW w:w="360" w:type="dxa"/>
            <w:vAlign w:val="bottom"/>
            <w:vMerge w:val="continue"/>
          </w:tcPr>
          <w:p>
            <w:pPr>
              <w:spacing w:after="0"/>
              <w:rPr>
                <w:sz w:val="18"/>
                <w:szCs w:val="18"/>
                <w:color w:val="auto"/>
              </w:rPr>
            </w:pPr>
          </w:p>
        </w:tc>
        <w:tc>
          <w:tcPr>
            <w:tcW w:w="3120" w:type="dxa"/>
            <w:vAlign w:val="bottom"/>
          </w:tcPr>
          <w:p>
            <w:pPr>
              <w:ind w:left="180"/>
              <w:spacing w:after="0"/>
              <w:rPr>
                <w:sz w:val="20"/>
                <w:szCs w:val="20"/>
                <w:color w:val="auto"/>
              </w:rPr>
            </w:pPr>
            <w:r>
              <w:rPr>
                <w:rFonts w:ascii="Arial" w:cs="Arial" w:eastAsia="Arial" w:hAnsi="Arial"/>
                <w:sz w:val="16"/>
                <w:szCs w:val="16"/>
                <w:color w:val="auto"/>
              </w:rPr>
              <w:t>Accounting Firm for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34925</wp:posOffset>
            </wp:positionV>
            <wp:extent cx="223710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116" w:lineRule="exact"/>
        <w:rPr>
          <w:sz w:val="20"/>
          <w:szCs w:val="20"/>
          <w:color w:val="auto"/>
        </w:rPr>
      </w:pPr>
    </w:p>
    <w:p>
      <w:pPr>
        <w:ind w:left="540"/>
        <w:spacing w:after="0"/>
        <w:rPr>
          <w:sz w:val="20"/>
          <w:szCs w:val="20"/>
          <w:color w:val="auto"/>
        </w:rPr>
      </w:pPr>
      <w:r>
        <w:rPr>
          <w:rFonts w:ascii="Arial" w:cs="Arial" w:eastAsia="Arial" w:hAnsi="Arial"/>
          <w:sz w:val="16"/>
          <w:szCs w:val="16"/>
          <w:color w:val="auto"/>
        </w:rPr>
        <w:t>Approval of an Amendment to the</w:t>
      </w:r>
    </w:p>
    <w:p>
      <w:pPr>
        <w:spacing w:after="0" w:line="140" w:lineRule="exact"/>
        <w:rPr>
          <w:sz w:val="20"/>
          <w:szCs w:val="20"/>
          <w:color w:val="auto"/>
        </w:rPr>
      </w:pPr>
    </w:p>
    <w:p>
      <w:pPr>
        <w:ind w:left="540" w:right="380" w:hanging="535"/>
        <w:spacing w:after="0" w:line="187" w:lineRule="auto"/>
        <w:tabs>
          <w:tab w:leader="none" w:pos="540" w:val="left"/>
        </w:tabs>
        <w:numPr>
          <w:ilvl w:val="0"/>
          <w:numId w:val="6"/>
        </w:numPr>
        <w:rPr>
          <w:rFonts w:ascii="Arial" w:cs="Arial" w:eastAsia="Arial" w:hAnsi="Arial"/>
          <w:sz w:val="20"/>
          <w:szCs w:val="20"/>
          <w:b w:val="1"/>
          <w:bCs w:val="1"/>
          <w:color w:val="004A98"/>
        </w:rPr>
      </w:pPr>
      <w:r>
        <w:rPr>
          <w:rFonts w:ascii="Arial" w:cs="Arial" w:eastAsia="Arial" w:hAnsi="Arial"/>
          <w:sz w:val="12"/>
          <w:szCs w:val="12"/>
          <w:color w:val="auto"/>
        </w:rPr>
        <w:t xml:space="preserve">Incorporation to Limit the Liability of Certain Officers as Permitted by </w:t>
      </w:r>
      <w:r>
        <w:rPr>
          <w:rFonts w:ascii="Arial" w:cs="Arial" w:eastAsia="Arial" w:hAnsi="Arial"/>
          <w:sz w:val="20"/>
          <w:szCs w:val="20"/>
          <w:color w:val="auto"/>
          <w:vertAlign w:val="subscript"/>
        </w:rPr>
        <w:t>Delaware Law.</w:t>
      </w:r>
      <w:r>
        <w:rPr>
          <w:rFonts w:ascii="Arial" w:cs="Arial" w:eastAsia="Arial" w:hAnsi="Arial"/>
          <w:sz w:val="12"/>
          <w:szCs w:val="12"/>
          <w:color w:val="auto"/>
        </w:rPr>
        <w:t>Company’sRestated Certificate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53340</wp:posOffset>
            </wp:positionV>
            <wp:extent cx="22371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237105" cy="8255"/>
                    </a:xfrm>
                    <a:prstGeom prst="rect">
                      <a:avLst/>
                    </a:prstGeom>
                    <a:noFill/>
                  </pic:spPr>
                </pic:pic>
              </a:graphicData>
            </a:graphic>
          </wp:anchor>
        </w:drawing>
      </w:r>
    </w:p>
    <w:p>
      <w:pPr>
        <w:spacing w:after="0" w:line="295" w:lineRule="exact"/>
        <w:rPr>
          <w:sz w:val="20"/>
          <w:szCs w:val="20"/>
          <w:color w:val="auto"/>
        </w:rPr>
      </w:pPr>
    </w:p>
    <w:p>
      <w:pPr>
        <w:ind w:left="540" w:hanging="535"/>
        <w:spacing w:after="0"/>
        <w:tabs>
          <w:tab w:leader="none" w:pos="540" w:val="left"/>
        </w:tabs>
        <w:numPr>
          <w:ilvl w:val="0"/>
          <w:numId w:val="7"/>
        </w:numPr>
        <w:rPr>
          <w:rFonts w:ascii="Arial" w:cs="Arial" w:eastAsia="Arial" w:hAnsi="Arial"/>
          <w:sz w:val="14"/>
          <w:szCs w:val="14"/>
          <w:b w:val="1"/>
          <w:bCs w:val="1"/>
          <w:color w:val="004A98"/>
        </w:rPr>
      </w:pPr>
      <w:r>
        <w:rPr>
          <w:rFonts w:ascii="Arial" w:cs="Arial" w:eastAsia="Arial" w:hAnsi="Arial"/>
          <w:sz w:val="10"/>
          <w:szCs w:val="10"/>
          <w:color w:val="auto"/>
        </w:rPr>
        <w:t>Stockholder</w:t>
      </w:r>
      <w:r>
        <w:rPr>
          <w:rFonts w:ascii="Arial" w:cs="Arial" w:eastAsia="Arial" w:hAnsi="Arial"/>
          <w:sz w:val="14"/>
          <w:szCs w:val="14"/>
          <w:color w:val="auto"/>
          <w:vertAlign w:val="subscript"/>
        </w:rPr>
        <w:t>Consent</w:t>
      </w:r>
      <w:r>
        <w:rPr>
          <w:rFonts w:ascii="Arial" w:cs="Arial" w:eastAsia="Arial" w:hAnsi="Arial"/>
          <w:sz w:val="10"/>
          <w:szCs w:val="10"/>
          <w:color w:val="auto"/>
        </w:rPr>
        <w:t xml:space="preserve"> Action by Written</w:t>
      </w:r>
      <w:r>
        <w:rPr>
          <w:rFonts w:ascii="Arial" w:cs="Arial" w:eastAsia="Arial" w:hAnsi="Arial"/>
          <w:sz w:val="14"/>
          <w:szCs w:val="14"/>
          <w:color w:val="auto"/>
          <w:vertAlign w:val="superscript"/>
        </w:rPr>
        <w:t>StockholderProposaltoPermit</w:t>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BOARD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-108585</wp:posOffset>
            </wp:positionV>
            <wp:extent cx="1500505" cy="2400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500505" cy="24003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b w:val="1"/>
          <w:bCs w:val="1"/>
          <w:color w:val="auto"/>
        </w:rPr>
        <w:t>RECOMMENDATION</w:t>
      </w:r>
    </w:p>
    <w:p>
      <w:pPr>
        <w:spacing w:after="0" w:line="72"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29"/>
          <w:szCs w:val="29"/>
          <w:b w:val="1"/>
          <w:bCs w:val="1"/>
          <w:color w:val="004A98"/>
        </w:rPr>
        <w:t xml:space="preserve"> FOR</w:t>
      </w: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color w:val="auto"/>
        </w:rPr>
        <w:t>each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13335</wp:posOffset>
            </wp:positionV>
            <wp:extent cx="150050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29"/>
          <w:szCs w:val="29"/>
          <w:b w:val="1"/>
          <w:bCs w:val="1"/>
          <w:color w:val="004A98"/>
        </w:rPr>
        <w:t xml:space="preserv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45720</wp:posOffset>
            </wp:positionV>
            <wp:extent cx="150050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29"/>
          <w:szCs w:val="29"/>
          <w:b w:val="1"/>
          <w:bCs w:val="1"/>
          <w:color w:val="004A98"/>
        </w:rPr>
        <w:t xml:space="preserv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114300</wp:posOffset>
            </wp:positionV>
            <wp:extent cx="150050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29"/>
          <w:szCs w:val="29"/>
          <w:b w:val="1"/>
          <w:bCs w:val="1"/>
          <w:color w:val="004A98"/>
        </w:rPr>
        <w:t xml:space="preserv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234315</wp:posOffset>
            </wp:positionV>
            <wp:extent cx="150050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500505" cy="8255"/>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sz w:val="1"/>
          <w:szCs w:val="1"/>
          <w:color w:val="auto"/>
        </w:rPr>
        <w:drawing>
          <wp:inline distT="0" distB="0" distL="0" distR="0">
            <wp:extent cx="171450" cy="171450"/>
            <wp:effectExtent l="0" t="0" r="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71450" cy="171450"/>
                    </a:xfrm>
                    <a:prstGeom prst="rect">
                      <a:avLst/>
                    </a:prstGeom>
                    <a:noFill/>
                    <a:ln>
                      <a:noFill/>
                    </a:ln>
                  </pic:spPr>
                </pic:pic>
              </a:graphicData>
            </a:graphic>
          </wp:inline>
        </w:drawing>
      </w:r>
      <w:r>
        <w:rPr>
          <w:rFonts w:ascii="Arial" w:cs="Arial" w:eastAsia="Arial" w:hAnsi="Arial"/>
          <w:sz w:val="29"/>
          <w:szCs w:val="29"/>
          <w:b w:val="1"/>
          <w:bCs w:val="1"/>
          <w:color w:val="auto"/>
        </w:rPr>
        <w:t xml:space="preserve"> AGAINST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-2319020</wp:posOffset>
            </wp:positionH>
            <wp:positionV relativeFrom="paragraph">
              <wp:posOffset>182880</wp:posOffset>
            </wp:positionV>
            <wp:extent cx="47574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75742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4" w:lineRule="exact"/>
        <w:rPr>
          <w:sz w:val="20"/>
          <w:szCs w:val="20"/>
          <w:color w:val="auto"/>
        </w:rPr>
      </w:pPr>
    </w:p>
    <w:p>
      <w:pPr>
        <w:ind w:left="20"/>
        <w:spacing w:after="0"/>
        <w:rPr>
          <w:sz w:val="20"/>
          <w:szCs w:val="20"/>
          <w:color w:val="auto"/>
        </w:rPr>
      </w:pPr>
      <w:r>
        <w:rPr>
          <w:rFonts w:ascii="Arial" w:cs="Arial" w:eastAsia="Arial" w:hAnsi="Arial"/>
          <w:sz w:val="12"/>
          <w:szCs w:val="12"/>
          <w:b w:val="1"/>
          <w:bCs w:val="1"/>
          <w:color w:val="auto"/>
        </w:rPr>
        <w:t>FOR FURTHER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-101600</wp:posOffset>
            </wp:positionV>
            <wp:extent cx="882650" cy="2400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2650" cy="24003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DETAILS</w:t>
      </w:r>
    </w:p>
    <w:p>
      <w:pPr>
        <w:spacing w:after="0" w:line="234" w:lineRule="exact"/>
        <w:rPr>
          <w:sz w:val="20"/>
          <w:szCs w:val="20"/>
          <w:color w:val="auto"/>
        </w:rPr>
      </w:pPr>
    </w:p>
    <w:p>
      <w:pPr>
        <w:jc w:val="center"/>
        <w:ind w:right="740"/>
        <w:spacing w:after="0"/>
        <w:rPr>
          <w:sz w:val="20"/>
          <w:szCs w:val="20"/>
          <w:color w:val="auto"/>
        </w:rPr>
      </w:pPr>
      <w:r>
        <w:rPr>
          <w:rFonts w:ascii="Arial" w:cs="Arial" w:eastAsia="Arial" w:hAnsi="Arial"/>
          <w:sz w:val="16"/>
          <w:szCs w:val="16"/>
          <w:color w:val="auto"/>
        </w:rPr>
        <w:t>Page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149225</wp:posOffset>
            </wp:positionV>
            <wp:extent cx="88265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336" w:lineRule="exact"/>
        <w:rPr>
          <w:sz w:val="20"/>
          <w:szCs w:val="20"/>
          <w:color w:val="auto"/>
        </w:rPr>
      </w:pPr>
    </w:p>
    <w:p>
      <w:pPr>
        <w:jc w:val="center"/>
        <w:ind w:right="740"/>
        <w:spacing w:after="0"/>
        <w:rPr>
          <w:sz w:val="20"/>
          <w:szCs w:val="20"/>
          <w:color w:val="auto"/>
        </w:rPr>
      </w:pPr>
      <w:r>
        <w:rPr>
          <w:rFonts w:ascii="Arial" w:cs="Arial" w:eastAsia="Arial" w:hAnsi="Arial"/>
          <w:sz w:val="16"/>
          <w:szCs w:val="16"/>
          <w:color w:val="auto"/>
        </w:rPr>
        <w:t>Page 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89535</wp:posOffset>
            </wp:positionV>
            <wp:extent cx="88265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336" w:lineRule="exact"/>
        <w:rPr>
          <w:sz w:val="20"/>
          <w:szCs w:val="20"/>
          <w:color w:val="auto"/>
        </w:rPr>
      </w:pPr>
    </w:p>
    <w:p>
      <w:pPr>
        <w:jc w:val="center"/>
        <w:ind w:right="740"/>
        <w:spacing w:after="0"/>
        <w:rPr>
          <w:sz w:val="20"/>
          <w:szCs w:val="20"/>
          <w:color w:val="auto"/>
        </w:rPr>
      </w:pPr>
      <w:r>
        <w:rPr>
          <w:rFonts w:ascii="Arial" w:cs="Arial" w:eastAsia="Arial" w:hAnsi="Arial"/>
          <w:sz w:val="16"/>
          <w:szCs w:val="16"/>
          <w:color w:val="auto"/>
        </w:rPr>
        <w:t>Page 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158115</wp:posOffset>
            </wp:positionV>
            <wp:extent cx="8826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740"/>
        <w:spacing w:after="0"/>
        <w:rPr>
          <w:sz w:val="20"/>
          <w:szCs w:val="20"/>
          <w:color w:val="auto"/>
        </w:rPr>
      </w:pPr>
      <w:r>
        <w:rPr>
          <w:rFonts w:ascii="Arial" w:cs="Arial" w:eastAsia="Arial" w:hAnsi="Arial"/>
          <w:sz w:val="16"/>
          <w:szCs w:val="16"/>
          <w:color w:val="auto"/>
        </w:rPr>
        <w:t>Page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278130</wp:posOffset>
            </wp:positionV>
            <wp:extent cx="8826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265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740"/>
        <w:spacing w:after="0"/>
        <w:rPr>
          <w:sz w:val="20"/>
          <w:szCs w:val="20"/>
          <w:color w:val="auto"/>
        </w:rPr>
      </w:pPr>
      <w:r>
        <w:rPr>
          <w:rFonts w:ascii="Arial" w:cs="Arial" w:eastAsia="Arial" w:hAnsi="Arial"/>
          <w:sz w:val="16"/>
          <w:szCs w:val="16"/>
          <w:color w:val="auto"/>
        </w:rPr>
        <w:t>Page 50</w:t>
      </w:r>
    </w:p>
    <w:p>
      <w:pPr>
        <w:spacing w:after="0" w:line="269" w:lineRule="exact"/>
        <w:rPr>
          <w:sz w:val="20"/>
          <w:szCs w:val="20"/>
          <w:color w:val="auto"/>
        </w:rPr>
      </w:pPr>
    </w:p>
    <w:p>
      <w:pPr>
        <w:sectPr>
          <w:pgSz w:w="11900" w:h="16838" w:orient="portrait"/>
          <w:cols w:equalWidth="0" w:num="4">
            <w:col w:w="3420" w:space="340"/>
            <w:col w:w="3480" w:space="160"/>
            <w:col w:w="1780" w:space="680"/>
            <w:col w:w="1360"/>
          </w:cols>
          <w:pgMar w:left="320" w:top="122" w:right="359" w:bottom="1440" w:gutter="0" w:footer="0" w:header="0"/>
          <w:type w:val="continuous"/>
        </w:sectPr>
      </w:pPr>
    </w:p>
    <w:p>
      <w:pPr>
        <w:spacing w:after="0" w:line="222" w:lineRule="exact"/>
        <w:rPr>
          <w:sz w:val="20"/>
          <w:szCs w:val="20"/>
          <w:color w:val="auto"/>
        </w:rPr>
      </w:pPr>
    </w:p>
    <w:p>
      <w:pPr>
        <w:ind w:left="3760" w:right="20"/>
        <w:spacing w:after="0" w:line="304" w:lineRule="auto"/>
        <w:rPr>
          <w:sz w:val="20"/>
          <w:szCs w:val="20"/>
          <w:color w:val="auto"/>
        </w:rPr>
      </w:pPr>
      <w:r>
        <w:rPr>
          <w:rFonts w:ascii="Arial" w:cs="Arial" w:eastAsia="Arial" w:hAnsi="Arial"/>
          <w:sz w:val="16"/>
          <w:szCs w:val="16"/>
          <w:color w:val="auto"/>
        </w:rPr>
        <w:t>Stockholders will also transact such other business as may properly come before the Annual Meeting or any adjournment or postponement thereof.</w:t>
      </w:r>
    </w:p>
    <w:p>
      <w:pPr>
        <w:spacing w:after="0" w:line="47" w:lineRule="exact"/>
        <w:rPr>
          <w:sz w:val="20"/>
          <w:szCs w:val="20"/>
          <w:color w:val="auto"/>
        </w:rPr>
      </w:pPr>
    </w:p>
    <w:p>
      <w:pPr>
        <w:ind w:left="3760" w:right="320"/>
        <w:spacing w:after="0" w:line="304" w:lineRule="auto"/>
        <w:rPr>
          <w:sz w:val="20"/>
          <w:szCs w:val="20"/>
          <w:color w:val="auto"/>
        </w:rPr>
      </w:pPr>
      <w:r>
        <w:rPr>
          <w:rFonts w:ascii="Arial" w:cs="Arial" w:eastAsia="Arial" w:hAnsi="Arial"/>
          <w:sz w:val="16"/>
          <w:szCs w:val="16"/>
          <w:color w:val="auto"/>
        </w:rPr>
        <w:t>The foregoing items of business are more fully described in the Proxy Statement accompanying this Notice.</w:t>
      </w:r>
    </w:p>
    <w:p>
      <w:pPr>
        <w:spacing w:after="0" w:line="47" w:lineRule="exact"/>
        <w:rPr>
          <w:sz w:val="20"/>
          <w:szCs w:val="20"/>
          <w:color w:val="auto"/>
        </w:rPr>
      </w:pPr>
    </w:p>
    <w:p>
      <w:pPr>
        <w:ind w:left="3760" w:right="60"/>
        <w:spacing w:after="0" w:line="274" w:lineRule="auto"/>
        <w:rPr>
          <w:sz w:val="20"/>
          <w:szCs w:val="20"/>
          <w:color w:val="auto"/>
        </w:rPr>
      </w:pPr>
      <w:r>
        <w:rPr>
          <w:rFonts w:ascii="Arial" w:cs="Arial" w:eastAsia="Arial" w:hAnsi="Arial"/>
          <w:sz w:val="16"/>
          <w:szCs w:val="16"/>
          <w:color w:val="auto"/>
        </w:rPr>
        <w:t>If you hold your shares as of the record date as a stockholder of record or as a beneficial owner, you or your proxyholder may participate, vote, or submit questions during the meeting. A list of stockholders of record entitled to vote shall be available to any stockholder for any purpose relevant to the 2025 Meeting during the 10 days prior to the Annual Meeting upon request to the Office of the Corporate Secretary. In addition, the list of stockholders of record will also be available during the Annual Meeting.</w:t>
      </w:r>
    </w:p>
    <w:p>
      <w:pPr>
        <w:spacing w:after="0" w:line="200" w:lineRule="exact"/>
        <w:rPr>
          <w:sz w:val="20"/>
          <w:szCs w:val="20"/>
          <w:color w:val="auto"/>
        </w:rPr>
      </w:pPr>
    </w:p>
    <w:p>
      <w:pPr>
        <w:spacing w:after="0" w:line="221"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004A98"/>
        </w:rPr>
        <w:t>Reston, Virginia</w:t>
      </w:r>
    </w:p>
    <w:p>
      <w:pPr>
        <w:spacing w:after="0" w:line="127"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April 11, 2025</w:t>
      </w:r>
    </w:p>
    <w:p>
      <w:pPr>
        <w:spacing w:after="0" w:line="31"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By Order of the Board of Directors,</w:t>
      </w:r>
    </w:p>
    <w:p>
      <w:pPr>
        <w:spacing w:after="0" w:line="249"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/s/ Thomas C. Indelicarto</w:t>
      </w:r>
    </w:p>
    <w:p>
      <w:pPr>
        <w:spacing w:after="0" w:line="31" w:lineRule="exact"/>
        <w:rPr>
          <w:sz w:val="20"/>
          <w:szCs w:val="20"/>
          <w:color w:val="auto"/>
        </w:rPr>
      </w:pPr>
    </w:p>
    <w:p>
      <w:pPr>
        <w:ind w:left="3760"/>
        <w:spacing w:after="0"/>
        <w:rPr>
          <w:sz w:val="20"/>
          <w:szCs w:val="20"/>
          <w:color w:val="auto"/>
        </w:rPr>
      </w:pPr>
      <w:r>
        <w:rPr>
          <w:rFonts w:ascii="Arial" w:cs="Arial" w:eastAsia="Arial" w:hAnsi="Arial"/>
          <w:sz w:val="16"/>
          <w:szCs w:val="16"/>
          <w:b w:val="1"/>
          <w:bCs w:val="1"/>
          <w:color w:val="004A98"/>
        </w:rPr>
        <w:t>Thomas C. Indelicarto</w:t>
      </w:r>
    </w:p>
    <w:p>
      <w:pPr>
        <w:spacing w:after="0" w:line="22" w:lineRule="exact"/>
        <w:rPr>
          <w:sz w:val="20"/>
          <w:szCs w:val="20"/>
          <w:color w:val="auto"/>
        </w:rPr>
      </w:pPr>
    </w:p>
    <w:p>
      <w:pPr>
        <w:ind w:left="3760"/>
        <w:spacing w:after="0"/>
        <w:rPr>
          <w:sz w:val="20"/>
          <w:szCs w:val="20"/>
          <w:color w:val="auto"/>
        </w:rPr>
      </w:pPr>
      <w:r>
        <w:rPr>
          <w:rFonts w:ascii="Arial" w:cs="Arial" w:eastAsia="Arial" w:hAnsi="Arial"/>
          <w:sz w:val="16"/>
          <w:szCs w:val="16"/>
          <w:color w:val="auto"/>
        </w:rPr>
        <w:t>Secretary</w:t>
      </w:r>
    </w:p>
    <w:p>
      <w:pPr>
        <w:spacing w:after="0" w:line="331"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4"/>
          <w:szCs w:val="14"/>
          <w:color w:val="auto"/>
        </w:rPr>
        <w:t>Proxy</w:t>
      </w:r>
    </w:p>
    <w:p>
      <w:pPr>
        <w:spacing w:after="0" w:line="2" w:lineRule="exact"/>
        <w:rPr>
          <w:sz w:val="20"/>
          <w:szCs w:val="20"/>
          <w:color w:val="auto"/>
        </w:rPr>
      </w:pPr>
    </w:p>
    <w:p>
      <w:pPr>
        <w:ind w:left="718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4" w:name="page5"/>
    <w:bookmarkEnd w:id="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Notice of 2025 Annual Meeting of Stockholders</w:t>
      </w:r>
    </w:p>
    <w:p>
      <w:pPr>
        <w:spacing w:after="0" w:line="296" w:lineRule="exact"/>
        <w:rPr>
          <w:sz w:val="20"/>
          <w:szCs w:val="20"/>
          <w:color w:val="auto"/>
        </w:rPr>
      </w:pPr>
    </w:p>
    <w:p>
      <w:pPr>
        <w:spacing w:after="0"/>
        <w:rPr>
          <w:sz w:val="20"/>
          <w:szCs w:val="20"/>
          <w:color w:val="auto"/>
        </w:rPr>
      </w:pPr>
      <w:r>
        <w:rPr>
          <w:rFonts w:ascii="Arial" w:cs="Arial" w:eastAsia="Arial" w:hAnsi="Arial"/>
          <w:sz w:val="29"/>
          <w:szCs w:val="29"/>
          <w:b w:val="1"/>
          <w:bCs w:val="1"/>
          <w:color w:val="004A98"/>
        </w:rPr>
        <w:t>How to Vote</w:t>
      </w:r>
    </w:p>
    <w:p>
      <w:pPr>
        <w:spacing w:after="0" w:line="146"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Whether or not you plan to attend the Annual Meeting, please vote electronically via the internet or by telephone as described on the Notice Regarding the Availability of Proxy Materials and under “Information About the Meeting—Internet and Telephone Voting” in the Proxy Statement, or alternatively, if you have received paper copies of proxy materials, complete, date, sign, and promptly return the accompanying proxy card or voting instruction form by mail using the enclosed envelope so that your shares may be represented at the Annual Meeting.</w:t>
      </w:r>
    </w:p>
    <w:p>
      <w:pPr>
        <w:spacing w:after="0" w:line="86" w:lineRule="exact"/>
        <w:rPr>
          <w:sz w:val="20"/>
          <w:szCs w:val="20"/>
          <w:color w:val="auto"/>
        </w:rPr>
      </w:pPr>
    </w:p>
    <w:tbl>
      <w:tblPr>
        <w:tblLayout w:type="fixed"/>
        <w:tblInd w:w="10" w:type="dxa"/>
        <w:tblCellMar>
          <w:top w:w="0" w:type="dxa"/>
          <w:left w:w="0" w:type="dxa"/>
          <w:bottom w:w="0" w:type="dxa"/>
          <w:right w:w="0" w:type="dxa"/>
        </w:tblCellMar>
      </w:tblPr>
      <w:tr>
        <w:trPr>
          <w:trHeight w:val="903"/>
        </w:trPr>
        <w:tc>
          <w:tcPr>
            <w:tcW w:w="284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Internet</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Telephone</w:t>
            </w:r>
          </w:p>
        </w:tc>
        <w:tc>
          <w:tcPr>
            <w:tcW w:w="28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Mail</w:t>
            </w:r>
          </w:p>
        </w:tc>
        <w:tc>
          <w:tcPr>
            <w:tcW w:w="28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Attending the Meeting</w:t>
            </w:r>
          </w:p>
        </w:tc>
      </w:tr>
      <w:tr>
        <w:trPr>
          <w:trHeight w:val="195"/>
        </w:trPr>
        <w:tc>
          <w:tcPr>
            <w:tcW w:w="2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Visit the website listed on</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Call the telephone number on</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Sign, date, and return your</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Attend and vote at the</w:t>
            </w:r>
          </w:p>
        </w:tc>
      </w:tr>
      <w:tr>
        <w:trPr>
          <w:trHeight w:val="175"/>
        </w:trPr>
        <w:tc>
          <w:tcPr>
            <w:tcW w:w="28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your proxy card</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your proxy card</w:t>
            </w:r>
          </w:p>
        </w:tc>
        <w:tc>
          <w:tcPr>
            <w:tcW w:w="28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proxy card in the enclosed</w:t>
            </w:r>
          </w:p>
        </w:tc>
        <w:tc>
          <w:tcPr>
            <w:tcW w:w="280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Annual Meeting</w:t>
            </w:r>
          </w:p>
        </w:tc>
      </w:tr>
      <w:tr>
        <w:trPr>
          <w:trHeight w:val="194"/>
        </w:trPr>
        <w:tc>
          <w:tcPr>
            <w:tcW w:w="2840" w:type="dxa"/>
            <w:vAlign w:val="bottom"/>
            <w:tcBorders>
              <w:left w:val="single" w:sz="8" w:color="auto"/>
              <w:bottom w:val="single" w:sz="8" w:color="auto"/>
              <w:right w:val="single" w:sz="8" w:color="auto"/>
            </w:tcBorders>
          </w:tcPr>
          <w:p>
            <w:pPr>
              <w:spacing w:after="0"/>
              <w:rPr>
                <w:sz w:val="16"/>
                <w:szCs w:val="16"/>
                <w:color w:val="auto"/>
              </w:rPr>
            </w:pPr>
          </w:p>
        </w:tc>
        <w:tc>
          <w:tcPr>
            <w:tcW w:w="2800" w:type="dxa"/>
            <w:vAlign w:val="bottom"/>
            <w:tcBorders>
              <w:bottom w:val="single" w:sz="8" w:color="auto"/>
              <w:right w:val="single" w:sz="8" w:color="auto"/>
            </w:tcBorders>
          </w:tcPr>
          <w:p>
            <w:pPr>
              <w:spacing w:after="0"/>
              <w:rPr>
                <w:sz w:val="16"/>
                <w:szCs w:val="16"/>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envelope</w:t>
            </w:r>
          </w:p>
        </w:tc>
        <w:tc>
          <w:tcPr>
            <w:tcW w:w="2800" w:type="dxa"/>
            <w:vAlign w:val="bottom"/>
            <w:tcBorders>
              <w:bottom w:val="single" w:sz="8" w:color="auto"/>
              <w:right w:val="single" w:sz="8" w:color="auto"/>
            </w:tcBorders>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-873760</wp:posOffset>
            </wp:positionV>
            <wp:extent cx="248285" cy="2489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48285" cy="248920"/>
                    </a:xfrm>
                    <a:prstGeom prst="rect">
                      <a:avLst/>
                    </a:prstGeom>
                    <a:noFill/>
                  </pic:spPr>
                </pic:pic>
              </a:graphicData>
            </a:graphic>
          </wp:anchor>
        </w:drawing>
        <w:drawing>
          <wp:anchor simplePos="0" relativeHeight="251657728" behindDoc="1" locked="0" layoutInCell="0" allowOverlap="1">
            <wp:simplePos x="0" y="0"/>
            <wp:positionH relativeFrom="column">
              <wp:posOffset>2576830</wp:posOffset>
            </wp:positionH>
            <wp:positionV relativeFrom="paragraph">
              <wp:posOffset>-856615</wp:posOffset>
            </wp:positionV>
            <wp:extent cx="222885" cy="22288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2885" cy="22288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-873760</wp:posOffset>
            </wp:positionV>
            <wp:extent cx="257175" cy="2571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6125845</wp:posOffset>
            </wp:positionH>
            <wp:positionV relativeFrom="paragraph">
              <wp:posOffset>-873760</wp:posOffset>
            </wp:positionV>
            <wp:extent cx="257175" cy="257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57175"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146050</wp:posOffset>
            </wp:positionV>
            <wp:extent cx="7132320" cy="5657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289" w:lineRule="exact"/>
        <w:rPr>
          <w:sz w:val="20"/>
          <w:szCs w:val="20"/>
          <w:color w:val="auto"/>
        </w:rPr>
      </w:pPr>
    </w:p>
    <w:p>
      <w:pPr>
        <w:jc w:val="both"/>
        <w:ind w:left="140" w:right="420"/>
        <w:spacing w:after="0" w:line="230" w:lineRule="auto"/>
        <w:rPr>
          <w:sz w:val="20"/>
          <w:szCs w:val="20"/>
          <w:color w:val="auto"/>
        </w:rPr>
      </w:pPr>
      <w:r>
        <w:rPr>
          <w:rFonts w:ascii="Arial" w:cs="Arial" w:eastAsia="Arial" w:hAnsi="Arial"/>
          <w:sz w:val="22"/>
          <w:szCs w:val="22"/>
          <w:b w:val="1"/>
          <w:bCs w:val="1"/>
          <w:color w:val="004A98"/>
        </w:rPr>
        <w:t>Important Notice Regarding the Availability of Proxy Materials for the Annual Meeting of Stockholders to be Held on May 22, 2025: The 2025 Proxy Statement, together with the 2024 Annual Report, are available at www.edocumentview.com/vrsn.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81915</wp:posOffset>
            </wp:positionH>
            <wp:positionV relativeFrom="paragraph">
              <wp:posOffset>-451485</wp:posOffset>
            </wp:positionV>
            <wp:extent cx="7054850" cy="5060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054850" cy="506095"/>
                    </a:xfrm>
                    <a:prstGeom prst="rect">
                      <a:avLst/>
                    </a:prstGeom>
                    <a:noFill/>
                  </pic:spPr>
                </pic:pic>
              </a:graphicData>
            </a:graphic>
          </wp:anchor>
        </w:drawing>
      </w:r>
    </w:p>
    <w:p>
      <w:pPr>
        <w:spacing w:after="0" w:line="239" w:lineRule="exact"/>
        <w:rPr>
          <w:sz w:val="20"/>
          <w:szCs w:val="20"/>
          <w:color w:val="auto"/>
        </w:rPr>
      </w:pPr>
    </w:p>
    <w:p>
      <w:pPr>
        <w:ind w:right="220"/>
        <w:spacing w:after="0" w:line="304" w:lineRule="auto"/>
        <w:rPr>
          <w:sz w:val="20"/>
          <w:szCs w:val="20"/>
          <w:color w:val="auto"/>
        </w:rPr>
      </w:pPr>
      <w:r>
        <w:rPr>
          <w:rFonts w:ascii="Arial" w:cs="Arial" w:eastAsia="Arial" w:hAnsi="Arial"/>
          <w:sz w:val="16"/>
          <w:szCs w:val="16"/>
          <w:color w:val="auto"/>
        </w:rPr>
        <w:t>A Notice Regarding the Availability of Proxy Materials or the Proxy Statement and related proxy materials were first sent or made available to stockholders on April 11, 2025.</w:t>
      </w:r>
    </w:p>
    <w:p>
      <w:pPr>
        <w:spacing w:after="0" w:line="200" w:lineRule="exact"/>
        <w:rPr>
          <w:sz w:val="20"/>
          <w:szCs w:val="20"/>
          <w:color w:val="auto"/>
        </w:rPr>
      </w:pPr>
    </w:p>
    <w:p>
      <w:pPr>
        <w:spacing w:after="0" w:line="216" w:lineRule="exact"/>
        <w:rPr>
          <w:sz w:val="20"/>
          <w:szCs w:val="20"/>
          <w:color w:val="auto"/>
        </w:rPr>
      </w:pPr>
    </w:p>
    <w:p>
      <w:pPr>
        <w:ind w:left="460" w:hanging="434"/>
        <w:spacing w:after="0"/>
        <w:tabs>
          <w:tab w:leader="none" w:pos="460" w:val="left"/>
        </w:tabs>
        <w:numPr>
          <w:ilvl w:val="0"/>
          <w:numId w:val="8"/>
        </w:numPr>
        <w:rPr>
          <w:rFonts w:ascii="Arial" w:cs="Arial" w:eastAsia="Arial" w:hAnsi="Arial"/>
          <w:sz w:val="14"/>
          <w:szCs w:val="14"/>
          <w:b w:val="1"/>
          <w:bCs w:val="1"/>
          <w:color w:val="004A98"/>
        </w:rPr>
      </w:pP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59"/>
          <w:szCs w:val="59"/>
          <w:color w:val="004A98"/>
        </w:rPr>
        <w:t>Table of Contents</w:t>
      </w:r>
    </w:p>
    <w:p>
      <w:pPr>
        <w:spacing w:after="0" w:line="380"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Notice of 2025 Annual Meeting of Stockholders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2024 Business Highlights</w:t>
      </w:r>
    </w:p>
    <w:p>
      <w:pPr>
        <w:spacing w:after="0" w:line="3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Verisign’s Mission, Values, and Strategic Framework</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Voting Roadmap</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420" w:type="dxa"/>
            <w:vAlign w:val="bottom"/>
            <w:shd w:val="clear" w:color="auto" w:fill="004A98"/>
          </w:tcPr>
          <w:p>
            <w:pPr>
              <w:ind w:left="60"/>
              <w:spacing w:after="0"/>
              <w:rPr>
                <w:sz w:val="20"/>
                <w:szCs w:val="20"/>
                <w:color w:val="auto"/>
              </w:rPr>
            </w:pPr>
            <w:r>
              <w:rPr>
                <w:rFonts w:ascii="Arial" w:cs="Arial" w:eastAsia="Arial" w:hAnsi="Arial"/>
                <w:sz w:val="14"/>
                <w:szCs w:val="14"/>
                <w:b w:val="1"/>
                <w:bCs w:val="1"/>
                <w:color w:val="FFFFFF"/>
              </w:rPr>
              <w:t>Proposal No. 1</w:t>
            </w:r>
          </w:p>
        </w:tc>
        <w:tc>
          <w:tcPr>
            <w:tcW w:w="1480" w:type="dxa"/>
            <w:vAlign w:val="bottom"/>
          </w:tcPr>
          <w:p>
            <w:pPr>
              <w:ind w:left="60"/>
              <w:spacing w:after="0"/>
              <w:rPr>
                <w:sz w:val="20"/>
                <w:szCs w:val="20"/>
                <w:color w:val="auto"/>
              </w:rPr>
            </w:pPr>
            <w:r>
              <w:rPr>
                <w:rFonts w:ascii="Arial" w:cs="Arial" w:eastAsia="Arial" w:hAnsi="Arial"/>
                <w:sz w:val="14"/>
                <w:szCs w:val="14"/>
                <w:b w:val="1"/>
                <w:bCs w:val="1"/>
                <w:color w:val="004A98"/>
              </w:rPr>
              <w:t>Election of Directors</w:t>
            </w:r>
          </w:p>
        </w:tc>
      </w:tr>
    </w:tbl>
    <w:p>
      <w:pPr>
        <w:spacing w:after="0" w:line="18"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Independence, Skills, and Experience</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Director Nominees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Corporate Governance</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Board Structure and Operations</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Board Responsibilities</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Other Governance and Ethics Policies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90043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900430" cy="145415"/>
                    </a:xfrm>
                    <a:prstGeom prst="rect">
                      <a:avLst/>
                    </a:prstGeom>
                    <a:noFill/>
                  </pic:spPr>
                </pic:pic>
              </a:graphicData>
            </a:graphic>
          </wp:anchor>
        </w:drawing>
      </w:r>
    </w:p>
    <w:p>
      <w:pPr>
        <w:spacing w:after="0" w:line="49" w:lineRule="exact"/>
        <w:rPr>
          <w:sz w:val="20"/>
          <w:szCs w:val="20"/>
          <w:color w:val="auto"/>
        </w:rPr>
      </w:pPr>
    </w:p>
    <w:p>
      <w:pPr>
        <w:ind w:left="60"/>
        <w:spacing w:after="0"/>
        <w:tabs>
          <w:tab w:leader="none" w:pos="1460" w:val="left"/>
        </w:tabs>
        <w:rPr>
          <w:sz w:val="20"/>
          <w:szCs w:val="20"/>
          <w:color w:val="auto"/>
        </w:rPr>
      </w:pPr>
      <w:r>
        <w:rPr>
          <w:rFonts w:ascii="Arial" w:cs="Arial" w:eastAsia="Arial" w:hAnsi="Arial"/>
          <w:sz w:val="14"/>
          <w:szCs w:val="14"/>
          <w:b w:val="1"/>
          <w:bCs w:val="1"/>
          <w:color w:val="FFFFFF"/>
        </w:rPr>
        <w:t>Proposal No. 2</w:t>
      </w:r>
      <w:r>
        <w:rPr>
          <w:sz w:val="20"/>
          <w:szCs w:val="20"/>
          <w:color w:val="auto"/>
        </w:rPr>
        <w:tab/>
      </w:r>
      <w:r>
        <w:rPr>
          <w:rFonts w:ascii="Arial" w:cs="Arial" w:eastAsia="Arial" w:hAnsi="Arial"/>
          <w:sz w:val="14"/>
          <w:szCs w:val="14"/>
          <w:b w:val="1"/>
          <w:bCs w:val="1"/>
          <w:color w:val="004A98"/>
        </w:rPr>
        <w:t>Advisory Vote to Approve Executive Compensation</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Executive Compensation</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Compensation Discussion and Analysis</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Compensation Committee Report</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Compensation Committee Interlocks and Insider Participation</w:t>
      </w:r>
    </w:p>
    <w:p>
      <w:pPr>
        <w:spacing w:after="0" w:line="55" w:lineRule="exact"/>
        <w:rPr>
          <w:sz w:val="20"/>
          <w:szCs w:val="20"/>
          <w:color w:val="auto"/>
        </w:rPr>
      </w:pPr>
    </w:p>
    <w:p>
      <w:pPr>
        <w:jc w:val="right"/>
        <w:ind w:right="7740"/>
        <w:spacing w:after="0"/>
        <w:rPr>
          <w:sz w:val="20"/>
          <w:szCs w:val="20"/>
          <w:color w:val="auto"/>
        </w:rPr>
      </w:pPr>
      <w:r>
        <w:rPr>
          <w:rFonts w:ascii="Arial" w:cs="Arial" w:eastAsia="Arial" w:hAnsi="Arial"/>
          <w:sz w:val="14"/>
          <w:szCs w:val="14"/>
          <w:b w:val="1"/>
          <w:bCs w:val="1"/>
          <w:color w:val="auto"/>
        </w:rPr>
        <w:t>Executive Compensation Tables</w:t>
      </w:r>
    </w:p>
    <w:p>
      <w:pPr>
        <w:spacing w:after="0" w:line="55" w:lineRule="exact"/>
        <w:rPr>
          <w:sz w:val="20"/>
          <w:szCs w:val="20"/>
          <w:color w:val="auto"/>
        </w:rPr>
      </w:pPr>
    </w:p>
    <w:p>
      <w:pPr>
        <w:jc w:val="right"/>
        <w:ind w:right="7780"/>
        <w:spacing w:after="0"/>
        <w:rPr>
          <w:sz w:val="20"/>
          <w:szCs w:val="20"/>
          <w:color w:val="auto"/>
        </w:rPr>
      </w:pPr>
      <w:r>
        <w:rPr>
          <w:rFonts w:ascii="Arial" w:cs="Arial" w:eastAsia="Arial" w:hAnsi="Arial"/>
          <w:sz w:val="14"/>
          <w:szCs w:val="14"/>
          <w:color w:val="auto"/>
        </w:rPr>
        <w:t>Summary Compensation Table</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Grants of Plan-Based Awards in 2024</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Outstanding Equity Awards at 2024 Year-End</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Stock Vested in 2024</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Potential Payments Upon Termination or Change in Control</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Equity Compensation Plan Information</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CEO Pay Ratio</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Pay Versus Performance</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Compensation of Directors</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Non-Employee Director Retainer Fees and Equity Compensation Information</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Non-Employee Director Compensation Table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32385</wp:posOffset>
            </wp:positionV>
            <wp:extent cx="90043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900430" cy="146050"/>
                    </a:xfrm>
                    <a:prstGeom prst="rect">
                      <a:avLst/>
                    </a:prstGeom>
                    <a:noFill/>
                  </pic:spPr>
                </pic:pic>
              </a:graphicData>
            </a:graphic>
          </wp:anchor>
        </w:drawing>
      </w:r>
    </w:p>
    <w:p>
      <w:pPr>
        <w:spacing w:after="0" w:line="49" w:lineRule="exact"/>
        <w:rPr>
          <w:sz w:val="20"/>
          <w:szCs w:val="20"/>
          <w:color w:val="auto"/>
        </w:rPr>
      </w:pPr>
    </w:p>
    <w:p>
      <w:pPr>
        <w:ind w:left="60"/>
        <w:spacing w:after="0"/>
        <w:tabs>
          <w:tab w:leader="none" w:pos="1460" w:val="left"/>
        </w:tabs>
        <w:rPr>
          <w:sz w:val="20"/>
          <w:szCs w:val="20"/>
          <w:color w:val="auto"/>
        </w:rPr>
      </w:pPr>
      <w:r>
        <w:rPr>
          <w:rFonts w:ascii="Arial" w:cs="Arial" w:eastAsia="Arial" w:hAnsi="Arial"/>
          <w:sz w:val="14"/>
          <w:szCs w:val="14"/>
          <w:b w:val="1"/>
          <w:bCs w:val="1"/>
          <w:color w:val="FFFFFF"/>
        </w:rPr>
        <w:t>Proposal No. 3</w:t>
      </w:r>
      <w:r>
        <w:rPr>
          <w:sz w:val="20"/>
          <w:szCs w:val="20"/>
          <w:color w:val="auto"/>
        </w:rPr>
        <w:tab/>
      </w:r>
      <w:r>
        <w:rPr>
          <w:rFonts w:ascii="Arial" w:cs="Arial" w:eastAsia="Arial" w:hAnsi="Arial"/>
          <w:sz w:val="14"/>
          <w:szCs w:val="14"/>
          <w:b w:val="1"/>
          <w:bCs w:val="1"/>
          <w:color w:val="004A98"/>
        </w:rPr>
        <w:t>Ratification of Selection of Independent Registered Public Accounting Firm</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Principal Accountant Fees and Services</w:t>
      </w:r>
    </w:p>
    <w:p>
      <w:pPr>
        <w:spacing w:after="0" w:line="69" w:lineRule="exact"/>
        <w:rPr>
          <w:sz w:val="20"/>
          <w:szCs w:val="20"/>
          <w:color w:val="auto"/>
        </w:rPr>
      </w:pPr>
    </w:p>
    <w:p>
      <w:pPr>
        <w:ind w:left="200" w:right="2760"/>
        <w:spacing w:after="0" w:line="328" w:lineRule="auto"/>
        <w:rPr>
          <w:sz w:val="20"/>
          <w:szCs w:val="20"/>
          <w:color w:val="auto"/>
        </w:rPr>
      </w:pPr>
      <w:r>
        <w:rPr>
          <w:rFonts w:ascii="Arial" w:cs="Arial" w:eastAsia="Arial" w:hAnsi="Arial"/>
          <w:sz w:val="14"/>
          <w:szCs w:val="14"/>
          <w:color w:val="auto"/>
        </w:rPr>
        <w:t>Policy on Audit Committee Pre-Approval of Audit and Permissible Non-Audit Services of Independent Auditors Report of the Audit Committee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420" w:type="dxa"/>
            <w:vAlign w:val="bottom"/>
            <w:vMerge w:val="restart"/>
            <w:shd w:val="clear" w:color="auto" w:fill="004A98"/>
          </w:tcPr>
          <w:p>
            <w:pPr>
              <w:ind w:left="60"/>
              <w:spacing w:after="0"/>
              <w:rPr>
                <w:sz w:val="20"/>
                <w:szCs w:val="20"/>
                <w:color w:val="auto"/>
              </w:rPr>
            </w:pPr>
            <w:r>
              <w:rPr>
                <w:rFonts w:ascii="Arial" w:cs="Arial" w:eastAsia="Arial" w:hAnsi="Arial"/>
                <w:sz w:val="14"/>
                <w:szCs w:val="14"/>
                <w:b w:val="1"/>
                <w:bCs w:val="1"/>
                <w:color w:val="FFFFFF"/>
              </w:rPr>
              <w:t>Proposal No. 4</w:t>
            </w:r>
          </w:p>
        </w:tc>
        <w:tc>
          <w:tcPr>
            <w:tcW w:w="7260" w:type="dxa"/>
            <w:vAlign w:val="bottom"/>
          </w:tcPr>
          <w:p>
            <w:pPr>
              <w:ind w:left="20"/>
              <w:spacing w:after="0"/>
              <w:rPr>
                <w:sz w:val="20"/>
                <w:szCs w:val="20"/>
                <w:color w:val="auto"/>
              </w:rPr>
            </w:pPr>
            <w:r>
              <w:rPr>
                <w:rFonts w:ascii="Arial" w:cs="Arial" w:eastAsia="Arial" w:hAnsi="Arial"/>
                <w:sz w:val="14"/>
                <w:szCs w:val="14"/>
                <w:b w:val="1"/>
                <w:bCs w:val="1"/>
                <w:color w:val="004A98"/>
              </w:rPr>
              <w:t>Approval of an Amendment to the Company’s Restated Certificate of Incorporation to Limit the Liability of</w:t>
            </w:r>
          </w:p>
        </w:tc>
        <w:tc>
          <w:tcPr>
            <w:tcW w:w="0" w:type="dxa"/>
            <w:vAlign w:val="bottom"/>
          </w:tcPr>
          <w:p>
            <w:pPr>
              <w:spacing w:after="0"/>
              <w:rPr>
                <w:sz w:val="1"/>
                <w:szCs w:val="1"/>
                <w:color w:val="auto"/>
              </w:rPr>
            </w:pPr>
          </w:p>
        </w:tc>
      </w:tr>
      <w:tr>
        <w:trPr>
          <w:trHeight w:val="102"/>
        </w:trPr>
        <w:tc>
          <w:tcPr>
            <w:tcW w:w="1420" w:type="dxa"/>
            <w:vAlign w:val="bottom"/>
            <w:vMerge w:val="continue"/>
            <w:shd w:val="clear" w:color="auto" w:fill="004A98"/>
          </w:tcPr>
          <w:p>
            <w:pPr>
              <w:spacing w:after="0"/>
              <w:rPr>
                <w:sz w:val="8"/>
                <w:szCs w:val="8"/>
                <w:color w:val="auto"/>
              </w:rPr>
            </w:pPr>
          </w:p>
        </w:tc>
        <w:tc>
          <w:tcPr>
            <w:tcW w:w="7260" w:type="dxa"/>
            <w:vAlign w:val="bottom"/>
            <w:vMerge w:val="restart"/>
          </w:tcPr>
          <w:p>
            <w:pPr>
              <w:ind w:left="20"/>
              <w:spacing w:after="0"/>
              <w:rPr>
                <w:sz w:val="20"/>
                <w:szCs w:val="20"/>
                <w:color w:val="auto"/>
              </w:rPr>
            </w:pPr>
            <w:r>
              <w:rPr>
                <w:rFonts w:ascii="Arial" w:cs="Arial" w:eastAsia="Arial" w:hAnsi="Arial"/>
                <w:sz w:val="14"/>
                <w:szCs w:val="14"/>
                <w:b w:val="1"/>
                <w:bCs w:val="1"/>
                <w:color w:val="004A98"/>
              </w:rPr>
              <w:t>Certain Officers as Permitted by Delaware Law.</w:t>
            </w:r>
          </w:p>
        </w:tc>
        <w:tc>
          <w:tcPr>
            <w:tcW w:w="0" w:type="dxa"/>
            <w:vAlign w:val="bottom"/>
          </w:tcPr>
          <w:p>
            <w:pPr>
              <w:spacing w:after="0"/>
              <w:rPr>
                <w:sz w:val="1"/>
                <w:szCs w:val="1"/>
                <w:color w:val="auto"/>
              </w:rPr>
            </w:pPr>
          </w:p>
        </w:tc>
      </w:tr>
      <w:tr>
        <w:trPr>
          <w:trHeight w:val="110"/>
        </w:trPr>
        <w:tc>
          <w:tcPr>
            <w:tcW w:w="1420" w:type="dxa"/>
            <w:vAlign w:val="bottom"/>
            <w:shd w:val="clear" w:color="auto" w:fill="004A98"/>
          </w:tcPr>
          <w:p>
            <w:pPr>
              <w:spacing w:after="0"/>
              <w:rPr>
                <w:sz w:val="9"/>
                <w:szCs w:val="9"/>
                <w:color w:val="auto"/>
              </w:rPr>
            </w:pPr>
          </w:p>
        </w:tc>
        <w:tc>
          <w:tcPr>
            <w:tcW w:w="72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900430" cy="14605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900430" cy="146050"/>
                    </a:xfrm>
                    <a:prstGeom prst="rect">
                      <a:avLst/>
                    </a:prstGeom>
                    <a:noFill/>
                  </pic:spPr>
                </pic:pic>
              </a:graphicData>
            </a:graphic>
          </wp:anchor>
        </w:drawing>
      </w:r>
    </w:p>
    <w:p>
      <w:pPr>
        <w:ind w:left="60"/>
        <w:spacing w:after="0"/>
        <w:tabs>
          <w:tab w:leader="none" w:pos="1420" w:val="left"/>
        </w:tabs>
        <w:rPr>
          <w:sz w:val="20"/>
          <w:szCs w:val="20"/>
          <w:color w:val="auto"/>
        </w:rPr>
      </w:pPr>
      <w:r>
        <w:rPr>
          <w:rFonts w:ascii="Arial" w:cs="Arial" w:eastAsia="Arial" w:hAnsi="Arial"/>
          <w:sz w:val="14"/>
          <w:szCs w:val="14"/>
          <w:b w:val="1"/>
          <w:bCs w:val="1"/>
          <w:color w:val="FFFFFF"/>
        </w:rPr>
        <w:t>Proposal No. 5</w:t>
      </w:r>
      <w:r>
        <w:rPr>
          <w:sz w:val="20"/>
          <w:szCs w:val="20"/>
          <w:color w:val="auto"/>
        </w:rPr>
        <w:tab/>
      </w:r>
      <w:r>
        <w:rPr>
          <w:rFonts w:ascii="Arial" w:cs="Arial" w:eastAsia="Arial" w:hAnsi="Arial"/>
          <w:sz w:val="14"/>
          <w:szCs w:val="14"/>
          <w:b w:val="1"/>
          <w:bCs w:val="1"/>
          <w:color w:val="6D6D6D"/>
        </w:rPr>
        <w:t>Stockholder Proposal to Permit Stockholder Action by Written Consent</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Stock Ownership Information</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Security Ownership of Certain Beneficial Owners and Management</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Delinquent Section 16(a) Reports</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Stock Ownership Policies</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Information About the Meeting</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Voting Rights</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Quorum, Effect of Abstentions and Broker Non-Votes, Vote Required to Approve the Proposals</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Adjournment of Annual Meeting</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Expenses of Soliciting Proxies</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Internet and Telephone Voting</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Revocability of Proxies</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Householding</w:t>
      </w:r>
    </w:p>
    <w:p>
      <w:pPr>
        <w:spacing w:after="0" w:line="5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Other Information</w:t>
      </w:r>
    </w:p>
    <w:p>
      <w:pPr>
        <w:spacing w:after="0" w:line="55" w:lineRule="exact"/>
        <w:rPr>
          <w:sz w:val="20"/>
          <w:szCs w:val="20"/>
          <w:color w:val="auto"/>
        </w:rPr>
      </w:pPr>
    </w:p>
    <w:p>
      <w:pPr>
        <w:ind w:left="200"/>
        <w:spacing w:after="0"/>
        <w:rPr>
          <w:sz w:val="20"/>
          <w:szCs w:val="20"/>
          <w:color w:val="auto"/>
        </w:rPr>
      </w:pPr>
      <w:r>
        <w:rPr>
          <w:rFonts w:ascii="Arial" w:cs="Arial" w:eastAsia="Arial" w:hAnsi="Arial"/>
          <w:sz w:val="14"/>
          <w:szCs w:val="14"/>
          <w:color w:val="auto"/>
        </w:rPr>
        <w:t>Stockholder Proposals and Nominations for the 2026 Annual Meeting of Stockholders</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Other Business</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Communicating with Verisign</w:t>
      </w:r>
    </w:p>
    <w:p>
      <w:pPr>
        <w:spacing w:after="0" w:line="69" w:lineRule="exact"/>
        <w:rPr>
          <w:sz w:val="20"/>
          <w:szCs w:val="20"/>
          <w:color w:val="auto"/>
        </w:rPr>
      </w:pPr>
    </w:p>
    <w:p>
      <w:pPr>
        <w:ind w:left="200"/>
        <w:spacing w:after="0"/>
        <w:rPr>
          <w:sz w:val="20"/>
          <w:szCs w:val="20"/>
          <w:color w:val="auto"/>
        </w:rPr>
      </w:pPr>
      <w:r>
        <w:rPr>
          <w:rFonts w:ascii="Arial" w:cs="Arial" w:eastAsia="Arial" w:hAnsi="Arial"/>
          <w:sz w:val="14"/>
          <w:szCs w:val="14"/>
          <w:color w:val="auto"/>
        </w:rPr>
        <w:t>Appendix A</w:t>
      </w:r>
    </w:p>
    <w:p>
      <w:pPr>
        <w:spacing w:after="0" w:line="352"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4"/>
          <w:szCs w:val="14"/>
          <w:color w:val="auto"/>
        </w:rPr>
        <w:t>Proxy</w:t>
      </w:r>
    </w:p>
    <w:p>
      <w:pPr>
        <w:spacing w:after="0" w:line="2" w:lineRule="exact"/>
        <w:rPr>
          <w:sz w:val="20"/>
          <w:szCs w:val="20"/>
          <w:color w:val="auto"/>
        </w:rPr>
      </w:pPr>
    </w:p>
    <w:p>
      <w:pPr>
        <w:jc w:val="right"/>
        <w:ind w:right="198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w:t>
      </w:r>
    </w:p>
    <w:p>
      <w:pPr>
        <w:spacing w:after="0" w:line="33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4A98"/>
        </w:rPr>
        <w:t>10</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11</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12</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16</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16</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20</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22</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4A98"/>
        </w:rPr>
        <w:t>24</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25</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25</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34</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34</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35</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35</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36</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37</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38</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38</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41</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42</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44</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44</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45</w:t>
      </w:r>
    </w:p>
    <w:p>
      <w:pPr>
        <w:spacing w:after="0" w:line="55"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4A98"/>
        </w:rPr>
        <w:t>46</w:t>
      </w:r>
    </w:p>
    <w:p>
      <w:pPr>
        <w:spacing w:after="0" w:line="82"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46</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46</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47</w:t>
      </w:r>
    </w:p>
    <w:p>
      <w:pPr>
        <w:spacing w:after="0" w:line="136"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4A98"/>
        </w:rPr>
        <w:t>48</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6D6D6D"/>
        </w:rPr>
        <w:t>50</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53</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53</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54</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54</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56</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56</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56</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57</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57</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57</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57</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57</w:t>
      </w:r>
    </w:p>
    <w:p>
      <w:pPr>
        <w:spacing w:after="0" w:line="42"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auto"/>
        </w:rPr>
        <w:t>58</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58</w:t>
      </w:r>
    </w:p>
    <w:p>
      <w:pPr>
        <w:spacing w:after="0" w:line="69"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59</w:t>
      </w:r>
    </w:p>
    <w:p>
      <w:pPr>
        <w:spacing w:after="0" w:line="69" w:lineRule="exact"/>
        <w:rPr>
          <w:sz w:val="20"/>
          <w:szCs w:val="20"/>
          <w:color w:val="auto"/>
        </w:rPr>
      </w:pPr>
    </w:p>
    <w:p>
      <w:pPr>
        <w:ind w:left="60"/>
        <w:spacing w:after="0"/>
        <w:rPr>
          <w:sz w:val="20"/>
          <w:szCs w:val="20"/>
          <w:color w:val="auto"/>
        </w:rPr>
      </w:pPr>
      <w:r>
        <w:rPr>
          <w:rFonts w:ascii="Arial" w:cs="Arial" w:eastAsia="Arial" w:hAnsi="Arial"/>
          <w:sz w:val="14"/>
          <w:szCs w:val="14"/>
          <w:color w:val="auto"/>
        </w:rPr>
        <w:t>59</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A-1</w:t>
      </w:r>
    </w:p>
    <w:p>
      <w:pPr>
        <w:sectPr>
          <w:pgSz w:w="11900" w:h="16838" w:orient="portrait"/>
          <w:cols w:equalWidth="0" w:num="2">
            <w:col w:w="9960" w:space="720"/>
            <w:col w:w="220"/>
          </w:cols>
          <w:pgMar w:left="320" w:top="121" w:right="67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59"/>
          <w:szCs w:val="59"/>
          <w:color w:val="004A98"/>
        </w:rPr>
        <w:t>2024 Business Highlights</w:t>
      </w:r>
    </w:p>
    <w:p>
      <w:pPr>
        <w:spacing w:after="0" w:line="356" w:lineRule="exact"/>
        <w:rPr>
          <w:sz w:val="20"/>
          <w:szCs w:val="20"/>
          <w:color w:val="auto"/>
        </w:rPr>
      </w:pPr>
    </w:p>
    <w:tbl>
      <w:tblPr>
        <w:tblLayout w:type="fixed"/>
        <w:tblInd w:w="10" w:type="dxa"/>
        <w:tblCellMar>
          <w:top w:w="0" w:type="dxa"/>
          <w:left w:w="0" w:type="dxa"/>
          <w:bottom w:w="0" w:type="dxa"/>
          <w:right w:w="0" w:type="dxa"/>
        </w:tblCellMar>
      </w:tblPr>
      <w:tr>
        <w:trPr>
          <w:trHeight w:val="423"/>
        </w:trPr>
        <w:tc>
          <w:tcPr>
            <w:tcW w:w="2740" w:type="dxa"/>
            <w:vAlign w:val="bottom"/>
            <w:tcBorders>
              <w:top w:val="single" w:sz="8" w:color="auto"/>
              <w:left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rPr>
              <w:t>$1.56 billion</w:t>
            </w:r>
          </w:p>
        </w:tc>
        <w:tc>
          <w:tcPr>
            <w:tcW w:w="296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25"/>
                <w:szCs w:val="25"/>
                <w:b w:val="1"/>
                <w:bCs w:val="1"/>
                <w:color w:val="auto"/>
              </w:rPr>
              <w:t>$1.06 billion</w:t>
            </w:r>
          </w:p>
        </w:tc>
        <w:tc>
          <w:tcPr>
            <w:tcW w:w="27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5"/>
                <w:szCs w:val="25"/>
                <w:b w:val="1"/>
                <w:bCs w:val="1"/>
                <w:color w:val="auto"/>
                <w:w w:val="99"/>
              </w:rPr>
              <w:t>169.0 million</w:t>
            </w:r>
          </w:p>
        </w:tc>
        <w:tc>
          <w:tcPr>
            <w:tcW w:w="28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25"/>
                <w:szCs w:val="25"/>
                <w:b w:val="1"/>
                <w:bCs w:val="1"/>
                <w:color w:val="auto"/>
              </w:rPr>
              <w:t>37.4 million</w:t>
            </w:r>
          </w:p>
        </w:tc>
        <w:tc>
          <w:tcPr>
            <w:tcW w:w="0" w:type="dxa"/>
            <w:vAlign w:val="bottom"/>
          </w:tcPr>
          <w:p>
            <w:pPr>
              <w:spacing w:after="0"/>
              <w:rPr>
                <w:sz w:val="1"/>
                <w:szCs w:val="1"/>
                <w:color w:val="auto"/>
              </w:rPr>
            </w:pPr>
          </w:p>
        </w:tc>
      </w:tr>
      <w:tr>
        <w:trPr>
          <w:trHeight w:val="189"/>
        </w:trPr>
        <w:tc>
          <w:tcPr>
            <w:tcW w:w="2740" w:type="dxa"/>
            <w:vAlign w:val="bottom"/>
            <w:tcBorders>
              <w:left w:val="single" w:sz="8" w:color="auto"/>
              <w:right w:val="single" w:sz="8" w:color="auto"/>
            </w:tcBorders>
            <w:vMerge w:val="continue"/>
          </w:tcPr>
          <w:p>
            <w:pPr>
              <w:spacing w:after="0"/>
              <w:rPr>
                <w:sz w:val="16"/>
                <w:szCs w:val="16"/>
                <w:color w:val="auto"/>
              </w:rPr>
            </w:pPr>
          </w:p>
        </w:tc>
        <w:tc>
          <w:tcPr>
            <w:tcW w:w="2960" w:type="dxa"/>
            <w:vAlign w:val="bottom"/>
            <w:tcBorders>
              <w:right w:val="single" w:sz="8" w:color="auto"/>
            </w:tcBorders>
            <w:vMerge w:val="continue"/>
          </w:tcPr>
          <w:p>
            <w:pPr>
              <w:spacing w:after="0"/>
              <w:rPr>
                <w:sz w:val="16"/>
                <w:szCs w:val="16"/>
                <w:color w:val="auto"/>
              </w:rPr>
            </w:pP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.com and .net Domain Name</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New Domain Name Registrations</w:t>
            </w:r>
          </w:p>
        </w:tc>
        <w:tc>
          <w:tcPr>
            <w:tcW w:w="0" w:type="dxa"/>
            <w:vAlign w:val="bottom"/>
          </w:tcPr>
          <w:p>
            <w:pPr>
              <w:spacing w:after="0"/>
              <w:rPr>
                <w:sz w:val="1"/>
                <w:szCs w:val="1"/>
                <w:color w:val="auto"/>
              </w:rPr>
            </w:pPr>
          </w:p>
        </w:tc>
      </w:tr>
      <w:tr>
        <w:trPr>
          <w:trHeight w:val="162"/>
        </w:trPr>
        <w:tc>
          <w:tcPr>
            <w:tcW w:w="2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Revenue</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Operating Income</w:t>
            </w: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Registrations in Domain Name Base at</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Processed for .com and .net</w:t>
            </w:r>
          </w:p>
        </w:tc>
        <w:tc>
          <w:tcPr>
            <w:tcW w:w="0" w:type="dxa"/>
            <w:vAlign w:val="bottom"/>
          </w:tcPr>
          <w:p>
            <w:pPr>
              <w:spacing w:after="0"/>
              <w:rPr>
                <w:sz w:val="1"/>
                <w:szCs w:val="1"/>
                <w:color w:val="auto"/>
              </w:rPr>
            </w:pPr>
          </w:p>
        </w:tc>
      </w:tr>
      <w:tr>
        <w:trPr>
          <w:trHeight w:val="196"/>
        </w:trPr>
        <w:tc>
          <w:tcPr>
            <w:tcW w:w="2740" w:type="dxa"/>
            <w:vAlign w:val="bottom"/>
            <w:tcBorders>
              <w:left w:val="single" w:sz="8" w:color="auto"/>
              <w:right w:val="single" w:sz="8" w:color="auto"/>
            </w:tcBorders>
            <w:vMerge w:val="restart"/>
          </w:tcPr>
          <w:p>
            <w:pPr>
              <w:ind w:left="660"/>
              <w:spacing w:after="0"/>
              <w:rPr>
                <w:sz w:val="20"/>
                <w:szCs w:val="20"/>
                <w:color w:val="auto"/>
              </w:rPr>
            </w:pPr>
            <w:r>
              <w:rPr>
                <w:rFonts w:ascii="Arial" w:cs="Arial" w:eastAsia="Arial" w:hAnsi="Arial"/>
                <w:sz w:val="14"/>
                <w:szCs w:val="14"/>
                <w:color w:val="auto"/>
              </w:rPr>
              <w:t>4.3% increase compared</w:t>
            </w:r>
          </w:p>
        </w:tc>
        <w:tc>
          <w:tcPr>
            <w:tcW w:w="2960" w:type="dxa"/>
            <w:vAlign w:val="bottom"/>
            <w:tcBorders>
              <w:right w:val="single" w:sz="8" w:color="auto"/>
            </w:tcBorders>
            <w:vMerge w:val="restart"/>
          </w:tcPr>
          <w:p>
            <w:pPr>
              <w:ind w:left="760"/>
              <w:spacing w:after="0"/>
              <w:rPr>
                <w:sz w:val="20"/>
                <w:szCs w:val="20"/>
                <w:color w:val="auto"/>
              </w:rPr>
            </w:pPr>
            <w:r>
              <w:rPr>
                <w:rFonts w:ascii="Arial" w:cs="Arial" w:eastAsia="Arial" w:hAnsi="Arial"/>
                <w:sz w:val="14"/>
                <w:szCs w:val="14"/>
                <w:color w:val="auto"/>
              </w:rPr>
              <w:t>5.7% increase compared</w:t>
            </w:r>
          </w:p>
        </w:tc>
        <w:tc>
          <w:tcPr>
            <w:tcW w:w="2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rPr>
              <w:t>End of 2024</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b w:val="1"/>
                <w:bCs w:val="1"/>
                <w:color w:val="auto"/>
              </w:rPr>
              <w:t>in 2024</w:t>
            </w:r>
          </w:p>
        </w:tc>
        <w:tc>
          <w:tcPr>
            <w:tcW w:w="0" w:type="dxa"/>
            <w:vAlign w:val="bottom"/>
          </w:tcPr>
          <w:p>
            <w:pPr>
              <w:spacing w:after="0"/>
              <w:rPr>
                <w:sz w:val="1"/>
                <w:szCs w:val="1"/>
                <w:color w:val="auto"/>
              </w:rPr>
            </w:pPr>
          </w:p>
        </w:tc>
      </w:tr>
      <w:tr>
        <w:trPr>
          <w:trHeight w:val="47"/>
        </w:trPr>
        <w:tc>
          <w:tcPr>
            <w:tcW w:w="2740" w:type="dxa"/>
            <w:vAlign w:val="bottom"/>
            <w:tcBorders>
              <w:left w:val="single" w:sz="8" w:color="auto"/>
              <w:right w:val="single" w:sz="8" w:color="auto"/>
            </w:tcBorders>
            <w:vMerge w:val="continue"/>
          </w:tcPr>
          <w:p>
            <w:pPr>
              <w:spacing w:after="0"/>
              <w:rPr>
                <w:sz w:val="4"/>
                <w:szCs w:val="4"/>
                <w:color w:val="auto"/>
              </w:rPr>
            </w:pPr>
          </w:p>
        </w:tc>
        <w:tc>
          <w:tcPr>
            <w:tcW w:w="2960" w:type="dxa"/>
            <w:vAlign w:val="bottom"/>
            <w:tcBorders>
              <w:right w:val="single" w:sz="8" w:color="auto"/>
            </w:tcBorders>
            <w:vMerge w:val="continue"/>
          </w:tcPr>
          <w:p>
            <w:pPr>
              <w:spacing w:after="0"/>
              <w:rPr>
                <w:sz w:val="4"/>
                <w:szCs w:val="4"/>
                <w:color w:val="auto"/>
              </w:rPr>
            </w:pPr>
          </w:p>
        </w:tc>
        <w:tc>
          <w:tcPr>
            <w:tcW w:w="2720" w:type="dxa"/>
            <w:vAlign w:val="bottom"/>
            <w:tcBorders>
              <w:right w:val="single" w:sz="8" w:color="auto"/>
            </w:tcBorders>
            <w:vMerge w:val="continue"/>
          </w:tcPr>
          <w:p>
            <w:pPr>
              <w:spacing w:after="0"/>
              <w:rPr>
                <w:sz w:val="4"/>
                <w:szCs w:val="4"/>
                <w:color w:val="auto"/>
              </w:rPr>
            </w:pPr>
          </w:p>
        </w:tc>
        <w:tc>
          <w:tcPr>
            <w:tcW w:w="2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compared to</w:t>
            </w:r>
          </w:p>
        </w:tc>
        <w:tc>
          <w:tcPr>
            <w:tcW w:w="0" w:type="dxa"/>
            <w:vAlign w:val="bottom"/>
          </w:tcPr>
          <w:p>
            <w:pPr>
              <w:spacing w:after="0"/>
              <w:rPr>
                <w:sz w:val="1"/>
                <w:szCs w:val="1"/>
                <w:color w:val="auto"/>
              </w:rPr>
            </w:pPr>
          </w:p>
        </w:tc>
      </w:tr>
      <w:tr>
        <w:trPr>
          <w:trHeight w:val="162"/>
        </w:trPr>
        <w:tc>
          <w:tcPr>
            <w:tcW w:w="274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to 2023</w:t>
            </w:r>
          </w:p>
        </w:tc>
        <w:tc>
          <w:tcPr>
            <w:tcW w:w="29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to 2023</w:t>
            </w:r>
          </w:p>
        </w:tc>
        <w:tc>
          <w:tcPr>
            <w:tcW w:w="2720" w:type="dxa"/>
            <w:vAlign w:val="bottom"/>
            <w:tcBorders>
              <w:right w:val="single" w:sz="8" w:color="auto"/>
            </w:tcBorders>
          </w:tcPr>
          <w:p>
            <w:pPr>
              <w:ind w:left="760"/>
              <w:spacing w:after="0"/>
              <w:rPr>
                <w:sz w:val="20"/>
                <w:szCs w:val="20"/>
                <w:color w:val="auto"/>
              </w:rPr>
            </w:pPr>
            <w:r>
              <w:rPr>
                <w:rFonts w:ascii="Arial" w:cs="Arial" w:eastAsia="Arial" w:hAnsi="Arial"/>
                <w:sz w:val="14"/>
                <w:szCs w:val="14"/>
                <w:color w:val="auto"/>
              </w:rPr>
              <w:t>2.1% decrease from</w:t>
            </w:r>
          </w:p>
        </w:tc>
        <w:tc>
          <w:tcPr>
            <w:tcW w:w="2840" w:type="dxa"/>
            <w:vAlign w:val="bottom"/>
            <w:tcBorders>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740" w:type="dxa"/>
            <w:vAlign w:val="bottom"/>
            <w:tcBorders>
              <w:left w:val="single" w:sz="8" w:color="auto"/>
              <w:right w:val="single" w:sz="8" w:color="auto"/>
            </w:tcBorders>
          </w:tcPr>
          <w:p>
            <w:pPr>
              <w:spacing w:after="0"/>
              <w:rPr>
                <w:sz w:val="20"/>
                <w:szCs w:val="20"/>
                <w:color w:val="auto"/>
              </w:rPr>
            </w:pPr>
          </w:p>
        </w:tc>
        <w:tc>
          <w:tcPr>
            <w:tcW w:w="2960" w:type="dxa"/>
            <w:vAlign w:val="bottom"/>
            <w:tcBorders>
              <w:right w:val="single" w:sz="8" w:color="auto"/>
            </w:tcBorders>
          </w:tcPr>
          <w:p>
            <w:pPr>
              <w:spacing w:after="0"/>
              <w:rPr>
                <w:sz w:val="20"/>
                <w:szCs w:val="20"/>
                <w:color w:val="auto"/>
              </w:rPr>
            </w:pPr>
          </w:p>
        </w:tc>
        <w:tc>
          <w:tcPr>
            <w:tcW w:w="272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December 31, 2023</w:t>
            </w:r>
          </w:p>
        </w:tc>
        <w:tc>
          <w:tcPr>
            <w:tcW w:w="284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39.4 million in 2023</w:t>
            </w:r>
          </w:p>
        </w:tc>
        <w:tc>
          <w:tcPr>
            <w:tcW w:w="0" w:type="dxa"/>
            <w:vAlign w:val="bottom"/>
          </w:tcPr>
          <w:p>
            <w:pPr>
              <w:spacing w:after="0"/>
              <w:rPr>
                <w:sz w:val="1"/>
                <w:szCs w:val="1"/>
                <w:color w:val="auto"/>
              </w:rPr>
            </w:pPr>
          </w:p>
        </w:tc>
      </w:tr>
      <w:tr>
        <w:trPr>
          <w:trHeight w:val="130"/>
        </w:trPr>
        <w:tc>
          <w:tcPr>
            <w:tcW w:w="2740" w:type="dxa"/>
            <w:vAlign w:val="bottom"/>
            <w:tcBorders>
              <w:left w:val="single" w:sz="8" w:color="auto"/>
              <w:bottom w:val="single" w:sz="8" w:color="auto"/>
              <w:right w:val="single" w:sz="8" w:color="auto"/>
            </w:tcBorders>
          </w:tcPr>
          <w:p>
            <w:pPr>
              <w:spacing w:after="0"/>
              <w:rPr>
                <w:sz w:val="11"/>
                <w:szCs w:val="11"/>
                <w:color w:val="auto"/>
              </w:rPr>
            </w:pPr>
          </w:p>
        </w:tc>
        <w:tc>
          <w:tcPr>
            <w:tcW w:w="2960" w:type="dxa"/>
            <w:vAlign w:val="bottom"/>
            <w:tcBorders>
              <w:bottom w:val="single" w:sz="8" w:color="auto"/>
              <w:right w:val="single" w:sz="8" w:color="auto"/>
            </w:tcBorders>
          </w:tcPr>
          <w:p>
            <w:pPr>
              <w:spacing w:after="0"/>
              <w:rPr>
                <w:sz w:val="11"/>
                <w:szCs w:val="11"/>
                <w:color w:val="auto"/>
              </w:rPr>
            </w:pPr>
          </w:p>
        </w:tc>
        <w:tc>
          <w:tcPr>
            <w:tcW w:w="2720" w:type="dxa"/>
            <w:vAlign w:val="bottom"/>
            <w:tcBorders>
              <w:bottom w:val="single" w:sz="8" w:color="auto"/>
              <w:right w:val="single" w:sz="8" w:color="auto"/>
            </w:tcBorders>
          </w:tcPr>
          <w:p>
            <w:pPr>
              <w:spacing w:after="0"/>
              <w:rPr>
                <w:sz w:val="11"/>
                <w:szCs w:val="11"/>
                <w:color w:val="auto"/>
              </w:rPr>
            </w:pPr>
          </w:p>
        </w:tc>
        <w:tc>
          <w:tcPr>
            <w:tcW w:w="284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-471170</wp:posOffset>
            </wp:positionV>
            <wp:extent cx="85725" cy="774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5725" cy="77470"/>
                    </a:xfrm>
                    <a:prstGeom prst="rect">
                      <a:avLst/>
                    </a:prstGeom>
                    <a:noFill/>
                  </pic:spPr>
                </pic:pic>
              </a:graphicData>
            </a:graphic>
          </wp:anchor>
        </w:drawing>
        <w:drawing>
          <wp:anchor simplePos="0" relativeHeight="251657728" behindDoc="1" locked="0" layoutInCell="0" allowOverlap="1">
            <wp:simplePos x="0" y="0"/>
            <wp:positionH relativeFrom="column">
              <wp:posOffset>2113915</wp:posOffset>
            </wp:positionH>
            <wp:positionV relativeFrom="paragraph">
              <wp:posOffset>-471170</wp:posOffset>
            </wp:positionV>
            <wp:extent cx="85725" cy="7747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5725" cy="77470"/>
                    </a:xfrm>
                    <a:prstGeom prst="rect">
                      <a:avLst/>
                    </a:prstGeom>
                    <a:noFill/>
                  </pic:spPr>
                </pic:pic>
              </a:graphicData>
            </a:graphic>
          </wp:anchor>
        </w:drawing>
        <w:drawing>
          <wp:anchor simplePos="0" relativeHeight="251657728" behindDoc="1" locked="0" layoutInCell="0" allowOverlap="1">
            <wp:simplePos x="0" y="0"/>
            <wp:positionH relativeFrom="column">
              <wp:posOffset>4025265</wp:posOffset>
            </wp:positionH>
            <wp:positionV relativeFrom="paragraph">
              <wp:posOffset>-334010</wp:posOffset>
            </wp:positionV>
            <wp:extent cx="76835" cy="685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68580"/>
                    </a:xfrm>
                    <a:prstGeom prst="rect">
                      <a:avLst/>
                    </a:prstGeom>
                    <a:noFill/>
                  </pic:spPr>
                </pic:pic>
              </a:graphicData>
            </a:graphic>
          </wp:anchor>
        </w:drawing>
      </w:r>
    </w:p>
    <w:p>
      <w:pPr>
        <w:spacing w:after="0" w:line="127" w:lineRule="exact"/>
        <w:rPr>
          <w:sz w:val="20"/>
          <w:szCs w:val="20"/>
          <w:color w:val="auto"/>
        </w:rPr>
      </w:pPr>
    </w:p>
    <w:p>
      <w:pPr>
        <w:ind w:right="620"/>
        <w:spacing w:after="0" w:line="291" w:lineRule="auto"/>
        <w:rPr>
          <w:sz w:val="20"/>
          <w:szCs w:val="20"/>
          <w:color w:val="auto"/>
        </w:rPr>
      </w:pPr>
      <w:r>
        <w:rPr>
          <w:rFonts w:ascii="Arial" w:cs="Arial" w:eastAsia="Arial" w:hAnsi="Arial"/>
          <w:sz w:val="59"/>
          <w:szCs w:val="59"/>
          <w:color w:val="004A98"/>
        </w:rPr>
        <w:t>Verisign’s Mission, Values, and Strategic Framework</w:t>
      </w:r>
    </w:p>
    <w:p>
      <w:pPr>
        <w:spacing w:after="0" w:line="84"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Our mission and values are at the center of everything we do. They are the principles under which we perform our primary responsibility: helping to enable the security, stability, and resiliency of key internet infrastructure and services. Every year, we develop our corporate goals to support this strategy, which are organized around three strategic framework principles: Protect Unconditionally, Grow Responsibly, and Manage Continuously.</w:t>
      </w:r>
    </w:p>
    <w:p>
      <w:pPr>
        <w:spacing w:after="0" w:line="256"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Verisign’s Mission</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Verisign enables the world to connect online with reliability and confidence, anytime, anywhere.</w:t>
      </w:r>
    </w:p>
    <w:p>
      <w:pPr>
        <w:sectPr>
          <w:pgSz w:w="11900" w:h="16838" w:orient="portrait"/>
          <w:cols w:equalWidth="0" w:num="1">
            <w:col w:w="11260"/>
          </w:cols>
          <w:pgMar w:left="320" w:top="121" w:right="319" w:bottom="1440" w:gutter="0" w:footer="0" w:header="0"/>
        </w:sectPr>
      </w:pPr>
    </w:p>
    <w:p>
      <w:pPr>
        <w:spacing w:after="0" w:line="313"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Verisign’s Values</w:t>
      </w:r>
    </w:p>
    <w:p>
      <w:pPr>
        <w:spacing w:after="0" w:line="31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We are stewards of the internet and our Company</w:t>
      </w:r>
    </w:p>
    <w:p>
      <w:pPr>
        <w:spacing w:after="0" w:line="113" w:lineRule="exact"/>
        <w:rPr>
          <w:sz w:val="20"/>
          <w:szCs w:val="20"/>
          <w:color w:val="auto"/>
        </w:rPr>
      </w:pPr>
    </w:p>
    <w:p>
      <w:pPr>
        <w:ind w:left="20"/>
        <w:spacing w:after="0" w:line="252" w:lineRule="auto"/>
        <w:rPr>
          <w:sz w:val="20"/>
          <w:szCs w:val="20"/>
          <w:color w:val="auto"/>
        </w:rPr>
      </w:pPr>
      <w:r>
        <w:rPr>
          <w:rFonts w:ascii="Arial" w:cs="Arial" w:eastAsia="Arial" w:hAnsi="Arial"/>
          <w:sz w:val="16"/>
          <w:szCs w:val="16"/>
          <w:color w:val="auto"/>
        </w:rPr>
        <w:t>Billions of people and a significant portion of the world’s economy rely on the internet infrastructure we help to manage and operate. As stewards of the internet and our Company, we work to ensure every decision and action preserves the trust people place in us and creates value for our stockholders.</w:t>
      </w:r>
    </w:p>
    <w:p>
      <w:pPr>
        <w:spacing w:after="0" w:line="28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We are passionate about technology and continuous improvement</w:t>
      </w:r>
    </w:p>
    <w:p>
      <w:pPr>
        <w:spacing w:after="0" w:line="100" w:lineRule="exact"/>
        <w:rPr>
          <w:sz w:val="20"/>
          <w:szCs w:val="20"/>
          <w:color w:val="auto"/>
        </w:rPr>
      </w:pPr>
    </w:p>
    <w:p>
      <w:pPr>
        <w:ind w:left="20" w:right="180"/>
        <w:spacing w:after="0" w:line="253" w:lineRule="auto"/>
        <w:rPr>
          <w:sz w:val="20"/>
          <w:szCs w:val="20"/>
          <w:color w:val="auto"/>
        </w:rPr>
      </w:pPr>
      <w:r>
        <w:rPr>
          <w:rFonts w:ascii="Arial" w:cs="Arial" w:eastAsia="Arial" w:hAnsi="Arial"/>
          <w:sz w:val="16"/>
          <w:szCs w:val="16"/>
          <w:color w:val="auto"/>
        </w:rPr>
        <w:t>We embrace new technologies, ideas, and the potential they promise. We also challenge past assumptions and do not accept that what works today will work tomorrow. This enables us to continue building, sustaining, and improving on the internet’s infrastructure.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We respect others and exhibit integrity in our actions</w:t>
      </w:r>
    </w:p>
    <w:p>
      <w:pPr>
        <w:spacing w:after="0" w:line="113"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The internet has made the world a smaller place, so the way we do business is more important now than ever. That’s why we demonstrate respect and integrity in all of our interactions with our stakeholders — customers, stockholders, business partners, internet users, and each other.</w:t>
      </w:r>
    </w:p>
    <w:p>
      <w:pPr>
        <w:spacing w:after="0" w:line="88" w:lineRule="exact"/>
        <w:rPr>
          <w:sz w:val="20"/>
          <w:szCs w:val="20"/>
          <w:color w:val="auto"/>
        </w:rPr>
      </w:pPr>
    </w:p>
    <w:p>
      <w:pPr>
        <w:ind w:right="180"/>
        <w:spacing w:after="0" w:line="296" w:lineRule="auto"/>
        <w:rPr>
          <w:sz w:val="20"/>
          <w:szCs w:val="20"/>
          <w:color w:val="auto"/>
        </w:rPr>
      </w:pPr>
      <w:r>
        <w:rPr>
          <w:rFonts w:ascii="Arial" w:cs="Arial" w:eastAsia="Arial" w:hAnsi="Arial"/>
          <w:sz w:val="16"/>
          <w:szCs w:val="16"/>
          <w:b w:val="1"/>
          <w:bCs w:val="1"/>
          <w:color w:val="004A98"/>
        </w:rPr>
        <w:t>We take responsibility for our actions and hold ourselves to a higher standard</w:t>
      </w:r>
    </w:p>
    <w:p>
      <w:pPr>
        <w:spacing w:after="0" w:line="32"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We understand that the role we play in supporting the global internet is a privilege and with that privilege comes great responsibility. We appreciate that our decisions and actions have consequences far beyond our own Company. Therefore, we hold ourselves to a higher standard in all we do.</w:t>
      </w:r>
    </w:p>
    <w:p>
      <w:pPr>
        <w:spacing w:after="0" w:line="200" w:lineRule="exact"/>
        <w:rPr>
          <w:sz w:val="20"/>
          <w:szCs w:val="20"/>
          <w:color w:val="auto"/>
        </w:rPr>
      </w:pPr>
    </w:p>
    <w:p>
      <w:pPr>
        <w:sectPr>
          <w:pgSz w:w="11900" w:h="16838" w:orient="portrait"/>
          <w:cols w:equalWidth="0" w:num="2">
            <w:col w:w="5500" w:space="300"/>
            <w:col w:w="5460"/>
          </w:cols>
          <w:pgMar w:left="320" w:top="121" w:right="319"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Verisign’s Strategic Framework</w:t>
      </w:r>
    </w:p>
    <w:p>
      <w:pPr>
        <w:spacing w:after="0" w:line="169" w:lineRule="exact"/>
        <w:rPr>
          <w:sz w:val="20"/>
          <w:szCs w:val="20"/>
          <w:color w:val="auto"/>
        </w:rPr>
      </w:pPr>
    </w:p>
    <w:tbl>
      <w:tblPr>
        <w:tblLayout w:type="fixed"/>
        <w:tblInd w:w="10" w:type="dxa"/>
        <w:tblCellMar>
          <w:top w:w="0" w:type="dxa"/>
          <w:left w:w="0" w:type="dxa"/>
          <w:bottom w:w="0" w:type="dxa"/>
          <w:right w:w="0" w:type="dxa"/>
        </w:tblCellMar>
      </w:tblPr>
      <w:tr>
        <w:trPr>
          <w:trHeight w:val="376"/>
        </w:trPr>
        <w:tc>
          <w:tcPr>
            <w:tcW w:w="3620" w:type="dxa"/>
            <w:vAlign w:val="bottom"/>
            <w:tcBorders>
              <w:top w:val="single" w:sz="8" w:color="auto"/>
              <w:left w:val="single" w:sz="8" w:color="auto"/>
              <w:right w:val="single" w:sz="8" w:color="auto"/>
            </w:tcBorders>
          </w:tcPr>
          <w:p>
            <w:pPr>
              <w:ind w:left="640"/>
              <w:spacing w:after="0"/>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b w:val="1"/>
                <w:bCs w:val="1"/>
                <w:color w:val="auto"/>
              </w:rPr>
              <w:t>protect unconditionally</w:t>
            </w:r>
            <w:r>
              <w:rPr>
                <w:rFonts w:ascii="Arial" w:cs="Arial" w:eastAsia="Arial" w:hAnsi="Arial"/>
                <w:sz w:val="18"/>
                <w:szCs w:val="18"/>
                <w:color w:val="auto"/>
              </w:rPr>
              <w:t>.</w:t>
            </w:r>
          </w:p>
        </w:tc>
        <w:tc>
          <w:tcPr>
            <w:tcW w:w="3540" w:type="dxa"/>
            <w:vAlign w:val="bottom"/>
            <w:tcBorders>
              <w:top w:val="single" w:sz="8" w:color="auto"/>
              <w:right w:val="single" w:sz="8" w:color="auto"/>
            </w:tcBorders>
          </w:tcPr>
          <w:p>
            <w:pPr>
              <w:ind w:left="1160"/>
              <w:spacing w:after="0"/>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b w:val="1"/>
                <w:bCs w:val="1"/>
                <w:color w:val="auto"/>
              </w:rPr>
              <w:t>grow responsibly</w:t>
            </w:r>
            <w:r>
              <w:rPr>
                <w:rFonts w:ascii="Arial" w:cs="Arial" w:eastAsia="Arial" w:hAnsi="Arial"/>
                <w:sz w:val="18"/>
                <w:szCs w:val="18"/>
                <w:color w:val="auto"/>
              </w:rPr>
              <w:t>.</w:t>
            </w:r>
          </w:p>
        </w:tc>
        <w:tc>
          <w:tcPr>
            <w:tcW w:w="4100" w:type="dxa"/>
            <w:vAlign w:val="bottom"/>
            <w:tcBorders>
              <w:top w:val="single" w:sz="8" w:color="auto"/>
              <w:right w:val="single" w:sz="8" w:color="auto"/>
            </w:tcBorders>
          </w:tcPr>
          <w:p>
            <w:pPr>
              <w:ind w:left="940"/>
              <w:spacing w:after="0"/>
              <w:rPr>
                <w:sz w:val="20"/>
                <w:szCs w:val="20"/>
                <w:color w:val="auto"/>
              </w:rPr>
            </w:pPr>
            <w:r>
              <w:rPr>
                <w:rFonts w:ascii="Arial" w:cs="Arial" w:eastAsia="Arial" w:hAnsi="Arial"/>
                <w:sz w:val="18"/>
                <w:szCs w:val="18"/>
                <w:color w:val="auto"/>
              </w:rPr>
              <w:t xml:space="preserve">We </w:t>
            </w:r>
            <w:r>
              <w:rPr>
                <w:rFonts w:ascii="Arial" w:cs="Arial" w:eastAsia="Arial" w:hAnsi="Arial"/>
                <w:sz w:val="18"/>
                <w:szCs w:val="18"/>
                <w:b w:val="1"/>
                <w:bCs w:val="1"/>
                <w:color w:val="auto"/>
              </w:rPr>
              <w:t>manage continuously</w:t>
            </w:r>
            <w:r>
              <w:rPr>
                <w:rFonts w:ascii="Arial" w:cs="Arial" w:eastAsia="Arial" w:hAnsi="Arial"/>
                <w:sz w:val="18"/>
                <w:szCs w:val="18"/>
                <w:color w:val="auto"/>
              </w:rPr>
              <w:t>.</w:t>
            </w:r>
          </w:p>
        </w:tc>
      </w:tr>
      <w:tr>
        <w:trPr>
          <w:trHeight w:val="123"/>
        </w:trPr>
        <w:tc>
          <w:tcPr>
            <w:tcW w:w="3620" w:type="dxa"/>
            <w:vAlign w:val="bottom"/>
            <w:tcBorders>
              <w:left w:val="single" w:sz="8" w:color="auto"/>
              <w:bottom w:val="single" w:sz="8" w:color="auto"/>
              <w:right w:val="single" w:sz="8" w:color="auto"/>
            </w:tcBorders>
          </w:tcPr>
          <w:p>
            <w:pPr>
              <w:spacing w:after="0"/>
              <w:rPr>
                <w:sz w:val="10"/>
                <w:szCs w:val="10"/>
                <w:color w:val="auto"/>
              </w:rPr>
            </w:pPr>
          </w:p>
        </w:tc>
        <w:tc>
          <w:tcPr>
            <w:tcW w:w="3540" w:type="dxa"/>
            <w:vAlign w:val="bottom"/>
            <w:tcBorders>
              <w:bottom w:val="single" w:sz="8" w:color="auto"/>
              <w:right w:val="single" w:sz="8" w:color="auto"/>
            </w:tcBorders>
          </w:tcPr>
          <w:p>
            <w:pPr>
              <w:spacing w:after="0"/>
              <w:rPr>
                <w:sz w:val="10"/>
                <w:szCs w:val="10"/>
                <w:color w:val="auto"/>
              </w:rPr>
            </w:pPr>
          </w:p>
        </w:tc>
        <w:tc>
          <w:tcPr>
            <w:tcW w:w="4100" w:type="dxa"/>
            <w:vAlign w:val="bottom"/>
            <w:tcBorders>
              <w:bottom w:val="single" w:sz="8" w:color="auto"/>
              <w:right w:val="single" w:sz="8" w:color="auto"/>
            </w:tcBorders>
          </w:tcPr>
          <w:p>
            <w:pPr>
              <w:spacing w:after="0"/>
              <w:rPr>
                <w:sz w:val="10"/>
                <w:szCs w:val="10"/>
                <w:color w:val="auto"/>
              </w:rPr>
            </w:pPr>
          </w:p>
        </w:tc>
      </w:tr>
    </w:tbl>
    <w:p>
      <w:pPr>
        <w:spacing w:after="0" w:line="177" w:lineRule="exact"/>
        <w:rPr>
          <w:sz w:val="20"/>
          <w:szCs w:val="20"/>
          <w:color w:val="auto"/>
        </w:rPr>
      </w:pPr>
    </w:p>
    <w:p>
      <w:pPr>
        <w:jc w:val="center"/>
        <w:ind w:right="20"/>
        <w:spacing w:after="0"/>
        <w:rPr>
          <w:sz w:val="20"/>
          <w:szCs w:val="20"/>
          <w:color w:val="auto"/>
        </w:rPr>
      </w:pPr>
      <w:r>
        <w:rPr>
          <w:rFonts w:ascii="Arial" w:cs="Arial" w:eastAsia="Arial" w:hAnsi="Arial"/>
          <w:sz w:val="16"/>
          <w:szCs w:val="16"/>
          <w:i w:val="1"/>
          <w:iCs w:val="1"/>
          <w:color w:val="auto"/>
        </w:rPr>
        <w:t>In this Proxy Statement, the terms “we,” “our,” “us,” “Verisign” or the “Company” refer to VeriSign, Inc.</w:t>
      </w:r>
    </w:p>
    <w:p>
      <w:pPr>
        <w:spacing w:after="0" w:line="386" w:lineRule="exact"/>
        <w:rPr>
          <w:sz w:val="20"/>
          <w:szCs w:val="20"/>
          <w:color w:val="auto"/>
        </w:rPr>
      </w:pPr>
    </w:p>
    <w:p>
      <w:pPr>
        <w:ind w:left="460" w:hanging="434"/>
        <w:spacing w:after="0"/>
        <w:tabs>
          <w:tab w:leader="none" w:pos="460" w:val="left"/>
        </w:tabs>
        <w:numPr>
          <w:ilvl w:val="0"/>
          <w:numId w:val="9"/>
        </w:numPr>
        <w:rPr>
          <w:rFonts w:ascii="Arial" w:cs="Arial" w:eastAsia="Arial" w:hAnsi="Arial"/>
          <w:sz w:val="14"/>
          <w:szCs w:val="14"/>
          <w:b w:val="1"/>
          <w:bCs w:val="1"/>
          <w:color w:val="004A98"/>
        </w:rPr>
      </w:pP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59"/>
          <w:szCs w:val="59"/>
          <w:color w:val="004A98"/>
        </w:rPr>
        <w:t>Voting Roadmap</w:t>
      </w:r>
    </w:p>
    <w:p>
      <w:pPr>
        <w:spacing w:after="0" w:line="335" w:lineRule="exact"/>
        <w:rPr>
          <w:sz w:val="20"/>
          <w:szCs w:val="20"/>
          <w:color w:val="auto"/>
        </w:rPr>
      </w:pPr>
    </w:p>
    <w:p>
      <w:pPr>
        <w:ind w:right="200"/>
        <w:spacing w:after="0" w:line="286" w:lineRule="auto"/>
        <w:rPr>
          <w:sz w:val="20"/>
          <w:szCs w:val="20"/>
          <w:color w:val="auto"/>
        </w:rPr>
      </w:pPr>
      <w:r>
        <w:rPr>
          <w:rFonts w:ascii="Arial" w:cs="Arial" w:eastAsia="Arial" w:hAnsi="Arial"/>
          <w:sz w:val="16"/>
          <w:szCs w:val="16"/>
          <w:color w:val="auto"/>
        </w:rPr>
        <w:t>The accompanying proxy is solicited on behalf of our Board of Directors (the “Board”) of VeriSign, Inc. for use at the 2025 Annual Meeting to be held at our corporate offices located at 12061 Bluemont Way, Reston, Virginia 20190 on Thursday, May 22, 2025 at 10:00 a.m., Eastern Time.</w:t>
      </w:r>
    </w:p>
    <w:p>
      <w:pPr>
        <w:spacing w:after="0" w:line="61" w:lineRule="exact"/>
        <w:rPr>
          <w:sz w:val="20"/>
          <w:szCs w:val="20"/>
          <w:color w:val="auto"/>
        </w:rPr>
      </w:pPr>
    </w:p>
    <w:p>
      <w:pPr>
        <w:ind w:right="420"/>
        <w:spacing w:after="0" w:line="286" w:lineRule="auto"/>
        <w:rPr>
          <w:sz w:val="20"/>
          <w:szCs w:val="20"/>
          <w:color w:val="auto"/>
        </w:rPr>
      </w:pPr>
      <w:r>
        <w:rPr>
          <w:rFonts w:ascii="Arial" w:cs="Arial" w:eastAsia="Arial" w:hAnsi="Arial"/>
          <w:sz w:val="16"/>
          <w:szCs w:val="16"/>
          <w:color w:val="auto"/>
        </w:rPr>
        <w:t>This summary highlights certain information contained elsewhere in this Proxy Statement. This summary does not contain all of the information that you should consider, and we encourage you to read the entire Proxy Statement before voting.</w:t>
      </w:r>
    </w:p>
    <w:p>
      <w:pPr>
        <w:spacing w:after="0" w:line="8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354455" cy="1460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354455" cy="14605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25"/>
          <w:szCs w:val="25"/>
          <w:b w:val="1"/>
          <w:bCs w:val="1"/>
          <w:color w:val="004A98"/>
        </w:rPr>
        <w:t>Election of Directors</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1760" w:type="dxa"/>
            <w:vAlign w:val="bottom"/>
            <w:tcBorders>
              <w:top w:val="single" w:sz="8" w:color="004A98"/>
              <w:left w:val="single" w:sz="8" w:color="004A98"/>
            </w:tcBorders>
          </w:tcPr>
          <w:p>
            <w:pPr>
              <w:ind w:left="720"/>
              <w:spacing w:after="0" w:line="324" w:lineRule="exact"/>
              <w:rPr>
                <w:sz w:val="20"/>
                <w:szCs w:val="20"/>
                <w:color w:val="auto"/>
              </w:rPr>
            </w:pPr>
            <w:r>
              <w:rPr>
                <w:rFonts w:ascii="Arial" w:cs="Arial" w:eastAsia="Arial" w:hAnsi="Arial"/>
                <w:sz w:val="32"/>
                <w:szCs w:val="32"/>
                <w:b w:val="1"/>
                <w:bCs w:val="1"/>
                <w:color w:val="004A98"/>
              </w:rPr>
              <w:t>FOR</w:t>
            </w:r>
          </w:p>
        </w:tc>
        <w:tc>
          <w:tcPr>
            <w:tcW w:w="5160" w:type="dxa"/>
            <w:vAlign w:val="bottom"/>
            <w:tcBorders>
              <w:top w:val="single" w:sz="8" w:color="004A98"/>
            </w:tcBorders>
            <w:gridSpan w:val="8"/>
            <w:vMerge w:val="restart"/>
          </w:tcPr>
          <w:p>
            <w:pPr>
              <w:ind w:left="160"/>
              <w:spacing w:after="0"/>
              <w:rPr>
                <w:sz w:val="20"/>
                <w:szCs w:val="20"/>
                <w:color w:val="auto"/>
              </w:rPr>
            </w:pPr>
            <w:r>
              <w:rPr>
                <w:rFonts w:ascii="Arial" w:cs="Arial" w:eastAsia="Arial" w:hAnsi="Arial"/>
                <w:sz w:val="16"/>
                <w:szCs w:val="16"/>
                <w:b w:val="1"/>
                <w:bCs w:val="1"/>
                <w:color w:val="004A98"/>
              </w:rPr>
              <w:t>The Board recommends a vote FOR each director nominee.</w:t>
            </w:r>
          </w:p>
        </w:tc>
        <w:tc>
          <w:tcPr>
            <w:tcW w:w="1380" w:type="dxa"/>
            <w:vAlign w:val="bottom"/>
            <w:tcBorders>
              <w:top w:val="single" w:sz="8" w:color="004A98"/>
            </w:tcBorders>
          </w:tcPr>
          <w:p>
            <w:pPr>
              <w:spacing w:after="0"/>
              <w:rPr>
                <w:sz w:val="24"/>
                <w:szCs w:val="24"/>
                <w:color w:val="auto"/>
              </w:rPr>
            </w:pPr>
          </w:p>
        </w:tc>
        <w:tc>
          <w:tcPr>
            <w:tcW w:w="120" w:type="dxa"/>
            <w:vAlign w:val="bottom"/>
            <w:tcBorders>
              <w:top w:val="single" w:sz="8" w:color="004A98"/>
            </w:tcBorders>
          </w:tcPr>
          <w:p>
            <w:pPr>
              <w:spacing w:after="0"/>
              <w:rPr>
                <w:sz w:val="24"/>
                <w:szCs w:val="24"/>
                <w:color w:val="auto"/>
              </w:rPr>
            </w:pPr>
          </w:p>
        </w:tc>
        <w:tc>
          <w:tcPr>
            <w:tcW w:w="1180" w:type="dxa"/>
            <w:vAlign w:val="bottom"/>
            <w:tcBorders>
              <w:top w:val="single" w:sz="8" w:color="004A98"/>
            </w:tcBorders>
          </w:tcPr>
          <w:p>
            <w:pPr>
              <w:spacing w:after="0"/>
              <w:rPr>
                <w:sz w:val="24"/>
                <w:szCs w:val="24"/>
                <w:color w:val="auto"/>
              </w:rPr>
            </w:pPr>
          </w:p>
        </w:tc>
        <w:tc>
          <w:tcPr>
            <w:tcW w:w="100" w:type="dxa"/>
            <w:vAlign w:val="bottom"/>
            <w:tcBorders>
              <w:top w:val="single" w:sz="8" w:color="004A98"/>
            </w:tcBorders>
          </w:tcPr>
          <w:p>
            <w:pPr>
              <w:spacing w:after="0"/>
              <w:rPr>
                <w:sz w:val="24"/>
                <w:szCs w:val="24"/>
                <w:color w:val="auto"/>
              </w:rPr>
            </w:pPr>
          </w:p>
        </w:tc>
        <w:tc>
          <w:tcPr>
            <w:tcW w:w="1560" w:type="dxa"/>
            <w:vAlign w:val="bottom"/>
            <w:tcBorders>
              <w:top w:val="single" w:sz="8" w:color="004A98"/>
              <w:right w:val="single" w:sz="8" w:color="004A98"/>
            </w:tcBorders>
            <w:vMerge w:val="restart"/>
          </w:tcPr>
          <w:p>
            <w:pPr>
              <w:spacing w:after="0"/>
              <w:rPr>
                <w:sz w:val="20"/>
                <w:szCs w:val="20"/>
                <w:color w:val="auto"/>
              </w:rPr>
            </w:pPr>
            <w:r>
              <w:rPr>
                <w:rFonts w:ascii="Arial" w:cs="Arial" w:eastAsia="Arial" w:hAnsi="Arial"/>
                <w:sz w:val="16"/>
                <w:szCs w:val="16"/>
                <w:b w:val="1"/>
                <w:bCs w:val="1"/>
                <w:color w:val="004A98"/>
              </w:rPr>
              <w:t>See page 10</w:t>
            </w:r>
          </w:p>
        </w:tc>
        <w:tc>
          <w:tcPr>
            <w:tcW w:w="0" w:type="dxa"/>
            <w:vAlign w:val="bottom"/>
          </w:tcPr>
          <w:p>
            <w:pPr>
              <w:spacing w:after="0"/>
              <w:rPr>
                <w:sz w:val="1"/>
                <w:szCs w:val="1"/>
                <w:color w:val="auto"/>
              </w:rPr>
            </w:pPr>
          </w:p>
        </w:tc>
      </w:tr>
      <w:tr>
        <w:trPr>
          <w:trHeight w:val="60"/>
        </w:trPr>
        <w:tc>
          <w:tcPr>
            <w:tcW w:w="1760" w:type="dxa"/>
            <w:vAlign w:val="bottom"/>
            <w:tcBorders>
              <w:left w:val="single" w:sz="8" w:color="004A98"/>
            </w:tcBorders>
          </w:tcPr>
          <w:p>
            <w:pPr>
              <w:spacing w:after="0"/>
              <w:rPr>
                <w:sz w:val="5"/>
                <w:szCs w:val="5"/>
                <w:color w:val="auto"/>
              </w:rPr>
            </w:pPr>
          </w:p>
        </w:tc>
        <w:tc>
          <w:tcPr>
            <w:tcW w:w="5160" w:type="dxa"/>
            <w:vAlign w:val="bottom"/>
            <w:gridSpan w:val="8"/>
            <w:vMerge w:val="continue"/>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60" w:type="dxa"/>
            <w:vAlign w:val="bottom"/>
            <w:tcBorders>
              <w:right w:val="single" w:sz="8" w:color="004A98"/>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4480" w:type="dxa"/>
            <w:vAlign w:val="bottom"/>
            <w:tcBorders>
              <w:left w:val="single" w:sz="8" w:color="004A98"/>
              <w:bottom w:val="single" w:sz="8" w:color="004A98"/>
            </w:tcBorders>
            <w:gridSpan w:val="2"/>
          </w:tcPr>
          <w:p>
            <w:pPr>
              <w:spacing w:after="0"/>
              <w:rPr>
                <w:sz w:val="13"/>
                <w:szCs w:val="13"/>
                <w:color w:val="auto"/>
              </w:rPr>
            </w:pPr>
          </w:p>
        </w:tc>
        <w:tc>
          <w:tcPr>
            <w:tcW w:w="120" w:type="dxa"/>
            <w:vAlign w:val="bottom"/>
            <w:tcBorders>
              <w:bottom w:val="single" w:sz="8" w:color="004A98"/>
            </w:tcBorders>
          </w:tcPr>
          <w:p>
            <w:pPr>
              <w:spacing w:after="0"/>
              <w:rPr>
                <w:sz w:val="13"/>
                <w:szCs w:val="13"/>
                <w:color w:val="auto"/>
              </w:rPr>
            </w:pPr>
          </w:p>
        </w:tc>
        <w:tc>
          <w:tcPr>
            <w:tcW w:w="460" w:type="dxa"/>
            <w:vAlign w:val="bottom"/>
            <w:tcBorders>
              <w:bottom w:val="single" w:sz="8" w:color="004A98"/>
            </w:tcBorders>
          </w:tcPr>
          <w:p>
            <w:pPr>
              <w:spacing w:after="0"/>
              <w:rPr>
                <w:sz w:val="13"/>
                <w:szCs w:val="13"/>
                <w:color w:val="auto"/>
              </w:rPr>
            </w:pPr>
          </w:p>
        </w:tc>
        <w:tc>
          <w:tcPr>
            <w:tcW w:w="120" w:type="dxa"/>
            <w:vAlign w:val="bottom"/>
            <w:tcBorders>
              <w:bottom w:val="single" w:sz="8" w:color="004A98"/>
            </w:tcBorders>
          </w:tcPr>
          <w:p>
            <w:pPr>
              <w:spacing w:after="0"/>
              <w:rPr>
                <w:sz w:val="13"/>
                <w:szCs w:val="13"/>
                <w:color w:val="auto"/>
              </w:rPr>
            </w:pPr>
          </w:p>
        </w:tc>
        <w:tc>
          <w:tcPr>
            <w:tcW w:w="920" w:type="dxa"/>
            <w:vAlign w:val="bottom"/>
            <w:tcBorders>
              <w:bottom w:val="single" w:sz="8" w:color="004A98"/>
            </w:tcBorders>
          </w:tcPr>
          <w:p>
            <w:pPr>
              <w:spacing w:after="0"/>
              <w:rPr>
                <w:sz w:val="13"/>
                <w:szCs w:val="13"/>
                <w:color w:val="auto"/>
              </w:rPr>
            </w:pPr>
          </w:p>
        </w:tc>
        <w:tc>
          <w:tcPr>
            <w:tcW w:w="120" w:type="dxa"/>
            <w:vAlign w:val="bottom"/>
            <w:tcBorders>
              <w:bottom w:val="single" w:sz="8" w:color="004A98"/>
            </w:tcBorders>
          </w:tcPr>
          <w:p>
            <w:pPr>
              <w:spacing w:after="0"/>
              <w:rPr>
                <w:sz w:val="13"/>
                <w:szCs w:val="13"/>
                <w:color w:val="auto"/>
              </w:rPr>
            </w:pPr>
          </w:p>
        </w:tc>
        <w:tc>
          <w:tcPr>
            <w:tcW w:w="580" w:type="dxa"/>
            <w:vAlign w:val="bottom"/>
            <w:tcBorders>
              <w:bottom w:val="single" w:sz="8" w:color="004A98"/>
            </w:tcBorders>
          </w:tcPr>
          <w:p>
            <w:pPr>
              <w:spacing w:after="0"/>
              <w:rPr>
                <w:sz w:val="13"/>
                <w:szCs w:val="13"/>
                <w:color w:val="auto"/>
              </w:rPr>
            </w:pPr>
          </w:p>
        </w:tc>
        <w:tc>
          <w:tcPr>
            <w:tcW w:w="120" w:type="dxa"/>
            <w:vAlign w:val="bottom"/>
            <w:tcBorders>
              <w:bottom w:val="single" w:sz="8" w:color="004A98"/>
            </w:tcBorders>
          </w:tcPr>
          <w:p>
            <w:pPr>
              <w:spacing w:after="0"/>
              <w:rPr>
                <w:sz w:val="13"/>
                <w:szCs w:val="13"/>
                <w:color w:val="auto"/>
              </w:rPr>
            </w:pPr>
          </w:p>
        </w:tc>
        <w:tc>
          <w:tcPr>
            <w:tcW w:w="1380" w:type="dxa"/>
            <w:vAlign w:val="bottom"/>
            <w:tcBorders>
              <w:bottom w:val="single" w:sz="8" w:color="004A98"/>
            </w:tcBorders>
          </w:tcPr>
          <w:p>
            <w:pPr>
              <w:spacing w:after="0"/>
              <w:rPr>
                <w:sz w:val="13"/>
                <w:szCs w:val="13"/>
                <w:color w:val="auto"/>
              </w:rPr>
            </w:pPr>
          </w:p>
        </w:tc>
        <w:tc>
          <w:tcPr>
            <w:tcW w:w="120" w:type="dxa"/>
            <w:vAlign w:val="bottom"/>
            <w:tcBorders>
              <w:bottom w:val="single" w:sz="8" w:color="004A98"/>
            </w:tcBorders>
          </w:tcPr>
          <w:p>
            <w:pPr>
              <w:spacing w:after="0"/>
              <w:rPr>
                <w:sz w:val="13"/>
                <w:szCs w:val="13"/>
                <w:color w:val="auto"/>
              </w:rPr>
            </w:pPr>
          </w:p>
        </w:tc>
        <w:tc>
          <w:tcPr>
            <w:tcW w:w="1180" w:type="dxa"/>
            <w:vAlign w:val="bottom"/>
            <w:tcBorders>
              <w:bottom w:val="single" w:sz="8" w:color="004A98"/>
            </w:tcBorders>
          </w:tcPr>
          <w:p>
            <w:pPr>
              <w:spacing w:after="0"/>
              <w:rPr>
                <w:sz w:val="13"/>
                <w:szCs w:val="13"/>
                <w:color w:val="auto"/>
              </w:rPr>
            </w:pPr>
          </w:p>
        </w:tc>
        <w:tc>
          <w:tcPr>
            <w:tcW w:w="100" w:type="dxa"/>
            <w:vAlign w:val="bottom"/>
            <w:tcBorders>
              <w:bottom w:val="single" w:sz="8" w:color="004A98"/>
            </w:tcBorders>
          </w:tcPr>
          <w:p>
            <w:pPr>
              <w:spacing w:after="0"/>
              <w:rPr>
                <w:sz w:val="13"/>
                <w:szCs w:val="13"/>
                <w:color w:val="auto"/>
              </w:rPr>
            </w:pPr>
          </w:p>
        </w:tc>
        <w:tc>
          <w:tcPr>
            <w:tcW w:w="1560" w:type="dxa"/>
            <w:vAlign w:val="bottom"/>
            <w:tcBorders>
              <w:bottom w:val="single" w:sz="8" w:color="004A98"/>
              <w:right w:val="single" w:sz="8" w:color="004A98"/>
            </w:tcBorders>
          </w:tcPr>
          <w:p>
            <w:pPr>
              <w:spacing w:after="0"/>
              <w:rPr>
                <w:sz w:val="13"/>
                <w:szCs w:val="13"/>
                <w:color w:val="auto"/>
              </w:rPr>
            </w:pPr>
          </w:p>
        </w:tc>
        <w:tc>
          <w:tcPr>
            <w:tcW w:w="0" w:type="dxa"/>
            <w:vAlign w:val="bottom"/>
          </w:tcPr>
          <w:p>
            <w:pPr>
              <w:spacing w:after="0"/>
              <w:rPr>
                <w:sz w:val="1"/>
                <w:szCs w:val="1"/>
                <w:color w:val="auto"/>
              </w:rPr>
            </w:pPr>
          </w:p>
        </w:tc>
      </w:tr>
      <w:tr>
        <w:trPr>
          <w:trHeight w:val="836"/>
        </w:trPr>
        <w:tc>
          <w:tcPr>
            <w:tcW w:w="4600" w:type="dxa"/>
            <w:vAlign w:val="bottom"/>
            <w:gridSpan w:val="3"/>
          </w:tcPr>
          <w:p>
            <w:pPr>
              <w:spacing w:after="0"/>
              <w:rPr>
                <w:sz w:val="20"/>
                <w:szCs w:val="20"/>
                <w:color w:val="auto"/>
              </w:rPr>
            </w:pPr>
            <w:r>
              <w:rPr>
                <w:rFonts w:ascii="Arial" w:cs="Arial" w:eastAsia="Arial" w:hAnsi="Arial"/>
                <w:sz w:val="32"/>
                <w:szCs w:val="32"/>
                <w:b w:val="1"/>
                <w:bCs w:val="1"/>
                <w:color w:val="004A98"/>
              </w:rPr>
              <w:t>Director Nominees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220" w:type="dxa"/>
            <w:vAlign w:val="bottom"/>
            <w:gridSpan w:val="7"/>
          </w:tcPr>
          <w:p>
            <w:pPr>
              <w:spacing w:after="0"/>
              <w:rPr>
                <w:sz w:val="20"/>
                <w:szCs w:val="20"/>
                <w:color w:val="auto"/>
              </w:rPr>
            </w:pPr>
            <w:r>
              <w:rPr>
                <w:rFonts w:ascii="Arial" w:cs="Arial" w:eastAsia="Arial" w:hAnsi="Arial"/>
                <w:sz w:val="16"/>
                <w:szCs w:val="16"/>
                <w:color w:val="auto"/>
              </w:rPr>
              <w:t>The following provides summary information about each director nominee.</w:t>
            </w:r>
          </w:p>
        </w:tc>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4"/>
        </w:trPr>
        <w:tc>
          <w:tcPr>
            <w:tcW w:w="17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780" w:type="dxa"/>
            <w:vAlign w:val="bottom"/>
            <w:gridSpan w:val="4"/>
            <w:vMerge w:val="restart"/>
          </w:tcPr>
          <w:p>
            <w:pPr>
              <w:ind w:left="980"/>
              <w:spacing w:after="0"/>
              <w:rPr>
                <w:sz w:val="20"/>
                <w:szCs w:val="20"/>
                <w:color w:val="auto"/>
              </w:rPr>
            </w:pPr>
            <w:r>
              <w:rPr>
                <w:rFonts w:ascii="Arial" w:cs="Arial" w:eastAsia="Arial" w:hAnsi="Arial"/>
                <w:sz w:val="13"/>
                <w:szCs w:val="13"/>
                <w:b w:val="1"/>
                <w:bCs w:val="1"/>
                <w:color w:val="auto"/>
              </w:rPr>
              <w:t>COMMITTEE MEMBERSHIP</w:t>
            </w: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7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vMerge w:val="continue"/>
          </w:tcPr>
          <w:p>
            <w:pPr>
              <w:spacing w:after="0"/>
              <w:rPr>
                <w:sz w:val="14"/>
                <w:szCs w:val="14"/>
                <w:color w:val="auto"/>
              </w:rPr>
            </w:pPr>
          </w:p>
        </w:tc>
        <w:tc>
          <w:tcPr>
            <w:tcW w:w="15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760" w:type="dxa"/>
            <w:vAlign w:val="bottom"/>
          </w:tcPr>
          <w:p>
            <w:pPr>
              <w:spacing w:after="0"/>
              <w:rPr>
                <w:sz w:val="11"/>
                <w:szCs w:val="11"/>
                <w:color w:val="auto"/>
              </w:rPr>
            </w:pPr>
          </w:p>
        </w:tc>
        <w:tc>
          <w:tcPr>
            <w:tcW w:w="27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38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280" w:type="dxa"/>
            <w:vAlign w:val="bottom"/>
            <w:tcBorders>
              <w:right w:val="single" w:sz="8" w:color="auto"/>
            </w:tcBorders>
            <w:gridSpan w:val="2"/>
          </w:tcPr>
          <w:p>
            <w:pPr>
              <w:jc w:val="center"/>
              <w:ind w:right="120"/>
              <w:spacing w:after="0" w:line="128" w:lineRule="exact"/>
              <w:rPr>
                <w:sz w:val="20"/>
                <w:szCs w:val="20"/>
                <w:color w:val="auto"/>
              </w:rPr>
            </w:pPr>
            <w:r>
              <w:rPr>
                <w:rFonts w:ascii="Arial" w:cs="Arial" w:eastAsia="Arial" w:hAnsi="Arial"/>
                <w:sz w:val="13"/>
                <w:szCs w:val="13"/>
                <w:b w:val="1"/>
                <w:bCs w:val="1"/>
                <w:color w:val="auto"/>
                <w:w w:val="96"/>
              </w:rPr>
              <w:t>CORPORATE</w:t>
            </w:r>
          </w:p>
        </w:tc>
        <w:tc>
          <w:tcPr>
            <w:tcW w:w="1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1760" w:type="dxa"/>
            <w:vAlign w:val="bottom"/>
          </w:tcPr>
          <w:p>
            <w:pPr>
              <w:spacing w:after="0"/>
              <w:rPr>
                <w:sz w:val="10"/>
                <w:szCs w:val="10"/>
                <w:color w:val="auto"/>
              </w:rPr>
            </w:pPr>
          </w:p>
        </w:tc>
        <w:tc>
          <w:tcPr>
            <w:tcW w:w="27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40" w:type="dxa"/>
            <w:vAlign w:val="bottom"/>
            <w:tcBorders>
              <w:right w:val="single" w:sz="8" w:color="auto"/>
            </w:tcBorders>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7"/>
              </w:rPr>
              <w:t>DIRECTOR</w:t>
            </w:r>
          </w:p>
        </w:tc>
        <w:tc>
          <w:tcPr>
            <w:tcW w:w="5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80" w:type="dxa"/>
            <w:vAlign w:val="bottom"/>
            <w:tcBorders>
              <w:right w:val="single" w:sz="8" w:color="auto"/>
            </w:tcBorders>
            <w:gridSpan w:val="2"/>
          </w:tcPr>
          <w:p>
            <w:pPr>
              <w:jc w:val="center"/>
              <w:ind w:right="120"/>
              <w:spacing w:after="0" w:line="126" w:lineRule="exact"/>
              <w:rPr>
                <w:sz w:val="20"/>
                <w:szCs w:val="20"/>
                <w:color w:val="auto"/>
              </w:rPr>
            </w:pPr>
            <w:r>
              <w:rPr>
                <w:rFonts w:ascii="Arial" w:cs="Arial" w:eastAsia="Arial" w:hAnsi="Arial"/>
                <w:sz w:val="13"/>
                <w:szCs w:val="13"/>
                <w:b w:val="1"/>
                <w:bCs w:val="1"/>
                <w:color w:val="auto"/>
                <w:w w:val="98"/>
              </w:rPr>
              <w:t>GOVERNANCE</w:t>
            </w:r>
          </w:p>
        </w:tc>
        <w:tc>
          <w:tcPr>
            <w:tcW w:w="1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17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27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4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2"/>
              </w:rPr>
              <w:t>AGE</w:t>
            </w:r>
          </w:p>
        </w:tc>
        <w:tc>
          <w:tcPr>
            <w:tcW w:w="120" w:type="dxa"/>
            <w:vAlign w:val="bottom"/>
            <w:tcBorders>
              <w:right w:val="single" w:sz="8" w:color="auto"/>
            </w:tcBorders>
            <w:vMerge w:val="restart"/>
          </w:tcPr>
          <w:p>
            <w:pPr>
              <w:spacing w:after="0"/>
              <w:rPr>
                <w:sz w:val="10"/>
                <w:szCs w:val="10"/>
                <w:color w:val="auto"/>
              </w:rPr>
            </w:pPr>
          </w:p>
        </w:tc>
        <w:tc>
          <w:tcPr>
            <w:tcW w:w="1040" w:type="dxa"/>
            <w:vAlign w:val="bottom"/>
            <w:tcBorders>
              <w:right w:val="single" w:sz="8" w:color="auto"/>
            </w:tcBorders>
            <w:gridSpan w:val="2"/>
            <w:vMerge w:val="continue"/>
          </w:tcPr>
          <w:p>
            <w:pPr>
              <w:spacing w:after="0"/>
              <w:rPr>
                <w:sz w:val="10"/>
                <w:szCs w:val="10"/>
                <w:color w:val="auto"/>
              </w:rPr>
            </w:pPr>
          </w:p>
        </w:tc>
        <w:tc>
          <w:tcPr>
            <w:tcW w:w="5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AUDIT</w:t>
            </w:r>
          </w:p>
        </w:tc>
        <w:tc>
          <w:tcPr>
            <w:tcW w:w="120" w:type="dxa"/>
            <w:vAlign w:val="bottom"/>
            <w:tcBorders>
              <w:right w:val="single" w:sz="8" w:color="auto"/>
            </w:tcBorders>
            <w:vMerge w:val="restart"/>
          </w:tcPr>
          <w:p>
            <w:pPr>
              <w:spacing w:after="0"/>
              <w:rPr>
                <w:sz w:val="10"/>
                <w:szCs w:val="10"/>
                <w:color w:val="auto"/>
              </w:rPr>
            </w:pPr>
          </w:p>
        </w:tc>
        <w:tc>
          <w:tcPr>
            <w:tcW w:w="138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6"/>
              </w:rPr>
              <w:t>COMPENSATION</w:t>
            </w:r>
          </w:p>
        </w:tc>
        <w:tc>
          <w:tcPr>
            <w:tcW w:w="120" w:type="dxa"/>
            <w:vAlign w:val="bottom"/>
            <w:tcBorders>
              <w:right w:val="single" w:sz="8" w:color="auto"/>
            </w:tcBorders>
            <w:vMerge w:val="restart"/>
          </w:tcPr>
          <w:p>
            <w:pPr>
              <w:spacing w:after="0"/>
              <w:rPr>
                <w:sz w:val="10"/>
                <w:szCs w:val="10"/>
                <w:color w:val="auto"/>
              </w:rPr>
            </w:pPr>
          </w:p>
        </w:tc>
        <w:tc>
          <w:tcPr>
            <w:tcW w:w="1280" w:type="dxa"/>
            <w:vAlign w:val="bottom"/>
            <w:tcBorders>
              <w:right w:val="single" w:sz="8" w:color="auto"/>
            </w:tcBorders>
            <w:gridSpan w:val="2"/>
          </w:tcPr>
          <w:p>
            <w:pPr>
              <w:jc w:val="center"/>
              <w:ind w:right="120"/>
              <w:spacing w:after="0" w:line="117" w:lineRule="exact"/>
              <w:rPr>
                <w:sz w:val="20"/>
                <w:szCs w:val="20"/>
                <w:color w:val="auto"/>
              </w:rPr>
            </w:pPr>
            <w:r>
              <w:rPr>
                <w:rFonts w:ascii="Arial" w:cs="Arial" w:eastAsia="Arial" w:hAnsi="Arial"/>
                <w:sz w:val="13"/>
                <w:szCs w:val="13"/>
                <w:b w:val="1"/>
                <w:bCs w:val="1"/>
                <w:color w:val="auto"/>
                <w:w w:val="99"/>
              </w:rPr>
              <w:t>AND</w:t>
            </w:r>
          </w:p>
        </w:tc>
        <w:tc>
          <w:tcPr>
            <w:tcW w:w="156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CYBERSECURITY</w:t>
            </w:r>
          </w:p>
        </w:tc>
        <w:tc>
          <w:tcPr>
            <w:tcW w:w="0" w:type="dxa"/>
            <w:vAlign w:val="bottom"/>
          </w:tcPr>
          <w:p>
            <w:pPr>
              <w:spacing w:after="0"/>
              <w:rPr>
                <w:sz w:val="1"/>
                <w:szCs w:val="1"/>
                <w:color w:val="auto"/>
              </w:rPr>
            </w:pPr>
          </w:p>
        </w:tc>
      </w:tr>
      <w:tr>
        <w:trPr>
          <w:trHeight w:val="176"/>
        </w:trPr>
        <w:tc>
          <w:tcPr>
            <w:tcW w:w="1760" w:type="dxa"/>
            <w:vAlign w:val="bottom"/>
            <w:tcBorders>
              <w:bottom w:val="single" w:sz="8" w:color="auto"/>
            </w:tcBorders>
            <w:vMerge w:val="continue"/>
          </w:tcPr>
          <w:p>
            <w:pPr>
              <w:spacing w:after="0"/>
              <w:rPr>
                <w:sz w:val="15"/>
                <w:szCs w:val="15"/>
                <w:color w:val="auto"/>
              </w:rPr>
            </w:pPr>
          </w:p>
        </w:tc>
        <w:tc>
          <w:tcPr>
            <w:tcW w:w="2720" w:type="dxa"/>
            <w:vAlign w:val="bottom"/>
            <w:tcBorders>
              <w:bottom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46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vMerge w:val="continue"/>
          </w:tcPr>
          <w:p>
            <w:pPr>
              <w:spacing w:after="0"/>
              <w:rPr>
                <w:sz w:val="15"/>
                <w:szCs w:val="15"/>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SINCE</w:t>
            </w:r>
          </w:p>
        </w:tc>
        <w:tc>
          <w:tcPr>
            <w:tcW w:w="120" w:type="dxa"/>
            <w:vAlign w:val="bottom"/>
            <w:tcBorders>
              <w:right w:val="single" w:sz="8" w:color="auto"/>
            </w:tcBorders>
          </w:tcPr>
          <w:p>
            <w:pPr>
              <w:spacing w:after="0"/>
              <w:rPr>
                <w:sz w:val="15"/>
                <w:szCs w:val="15"/>
                <w:color w:val="auto"/>
              </w:rPr>
            </w:pPr>
          </w:p>
        </w:tc>
        <w:tc>
          <w:tcPr>
            <w:tcW w:w="58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vMerge w:val="continue"/>
          </w:tcPr>
          <w:p>
            <w:pPr>
              <w:spacing w:after="0"/>
              <w:rPr>
                <w:sz w:val="15"/>
                <w:szCs w:val="15"/>
                <w:color w:val="auto"/>
              </w:rPr>
            </w:pPr>
          </w:p>
        </w:tc>
        <w:tc>
          <w:tcPr>
            <w:tcW w:w="138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vMerge w:val="continue"/>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5"/>
              </w:rPr>
              <w:t>NOMINATING</w:t>
            </w:r>
          </w:p>
        </w:tc>
        <w:tc>
          <w:tcPr>
            <w:tcW w:w="100" w:type="dxa"/>
            <w:vAlign w:val="bottom"/>
            <w:tcBorders>
              <w:right w:val="single" w:sz="8" w:color="auto"/>
            </w:tcBorders>
          </w:tcPr>
          <w:p>
            <w:pPr>
              <w:spacing w:after="0"/>
              <w:rPr>
                <w:sz w:val="15"/>
                <w:szCs w:val="15"/>
                <w:color w:val="auto"/>
              </w:rPr>
            </w:pPr>
          </w:p>
        </w:tc>
        <w:tc>
          <w:tcPr>
            <w:tcW w:w="15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17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4A98"/>
              </w:rPr>
              <w:t>D. James Bidzos</w:t>
            </w:r>
          </w:p>
        </w:tc>
        <w:tc>
          <w:tcPr>
            <w:tcW w:w="2720" w:type="dxa"/>
            <w:vAlign w:val="bottom"/>
            <w:tcBorders>
              <w:bottom w:val="single" w:sz="8" w:color="939598"/>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9"/>
                <w:szCs w:val="19"/>
                <w:color w:val="auto"/>
              </w:rPr>
            </w:pPr>
          </w:p>
        </w:tc>
        <w:tc>
          <w:tcPr>
            <w:tcW w:w="92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1995</w:t>
            </w:r>
          </w:p>
        </w:tc>
        <w:tc>
          <w:tcPr>
            <w:tcW w:w="120" w:type="dxa"/>
            <w:vAlign w:val="bottom"/>
          </w:tcPr>
          <w:p>
            <w:pPr>
              <w:spacing w:after="0"/>
              <w:rPr>
                <w:sz w:val="19"/>
                <w:szCs w:val="19"/>
                <w:color w:val="auto"/>
              </w:rPr>
            </w:pPr>
          </w:p>
        </w:tc>
        <w:tc>
          <w:tcPr>
            <w:tcW w:w="580" w:type="dxa"/>
            <w:vAlign w:val="bottom"/>
            <w:tcBorders>
              <w:bottom w:val="single" w:sz="8" w:color="939598"/>
            </w:tcBorders>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bottom w:val="single" w:sz="8" w:color="939598"/>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bottom w:val="single" w:sz="8" w:color="939598"/>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M</w:t>
            </w:r>
          </w:p>
        </w:tc>
        <w:tc>
          <w:tcPr>
            <w:tcW w:w="0" w:type="dxa"/>
            <w:vAlign w:val="bottom"/>
          </w:tcPr>
          <w:p>
            <w:pPr>
              <w:spacing w:after="0"/>
              <w:rPr>
                <w:sz w:val="1"/>
                <w:szCs w:val="1"/>
                <w:color w:val="auto"/>
              </w:rPr>
            </w:pPr>
          </w:p>
        </w:tc>
      </w:tr>
      <w:tr>
        <w:trPr>
          <w:trHeight w:val="223"/>
        </w:trPr>
        <w:tc>
          <w:tcPr>
            <w:tcW w:w="17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4A98"/>
              </w:rPr>
              <w:t>Courtney D. Armstrong</w:t>
            </w:r>
          </w:p>
        </w:tc>
        <w:tc>
          <w:tcPr>
            <w:tcW w:w="2720" w:type="dxa"/>
            <w:vAlign w:val="bottom"/>
            <w:tcBorders>
              <w:bottom w:val="single" w:sz="8" w:color="939598"/>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9"/>
                <w:szCs w:val="19"/>
                <w:color w:val="auto"/>
              </w:rPr>
            </w:pPr>
          </w:p>
        </w:tc>
        <w:tc>
          <w:tcPr>
            <w:tcW w:w="92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2021</w:t>
            </w:r>
          </w:p>
        </w:tc>
        <w:tc>
          <w:tcPr>
            <w:tcW w:w="120" w:type="dxa"/>
            <w:vAlign w:val="bottom"/>
          </w:tcPr>
          <w:p>
            <w:pPr>
              <w:spacing w:after="0"/>
              <w:rPr>
                <w:sz w:val="19"/>
                <w:szCs w:val="19"/>
                <w:color w:val="auto"/>
              </w:rPr>
            </w:pPr>
          </w:p>
        </w:tc>
        <w:tc>
          <w:tcPr>
            <w:tcW w:w="58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M</w:t>
            </w:r>
          </w:p>
        </w:tc>
        <w:tc>
          <w:tcPr>
            <w:tcW w:w="120" w:type="dxa"/>
            <w:vAlign w:val="bottom"/>
          </w:tcPr>
          <w:p>
            <w:pPr>
              <w:spacing w:after="0"/>
              <w:rPr>
                <w:sz w:val="19"/>
                <w:szCs w:val="19"/>
                <w:color w:val="auto"/>
              </w:rPr>
            </w:pPr>
          </w:p>
        </w:tc>
        <w:tc>
          <w:tcPr>
            <w:tcW w:w="138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M</w:t>
            </w:r>
          </w:p>
        </w:tc>
        <w:tc>
          <w:tcPr>
            <w:tcW w:w="120" w:type="dxa"/>
            <w:vAlign w:val="bottom"/>
          </w:tcPr>
          <w:p>
            <w:pPr>
              <w:spacing w:after="0"/>
              <w:rPr>
                <w:sz w:val="19"/>
                <w:szCs w:val="19"/>
                <w:color w:val="auto"/>
              </w:rPr>
            </w:pPr>
          </w:p>
        </w:tc>
        <w:tc>
          <w:tcPr>
            <w:tcW w:w="1180" w:type="dxa"/>
            <w:vAlign w:val="bottom"/>
            <w:tcBorders>
              <w:bottom w:val="single" w:sz="8" w:color="939598"/>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bottom w:val="single" w:sz="8" w:color="939598"/>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4A98"/>
              </w:rPr>
              <w:t>Yehuda Ari Buchalter</w:t>
            </w:r>
          </w:p>
        </w:tc>
        <w:tc>
          <w:tcPr>
            <w:tcW w:w="2720" w:type="dxa"/>
            <w:vAlign w:val="bottom"/>
            <w:tcBorders>
              <w:bottom w:val="single" w:sz="8" w:color="939598"/>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19"/>
                <w:szCs w:val="19"/>
                <w:color w:val="auto"/>
              </w:rPr>
            </w:pPr>
          </w:p>
        </w:tc>
        <w:tc>
          <w:tcPr>
            <w:tcW w:w="92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2019</w:t>
            </w:r>
          </w:p>
        </w:tc>
        <w:tc>
          <w:tcPr>
            <w:tcW w:w="120" w:type="dxa"/>
            <w:vAlign w:val="bottom"/>
          </w:tcPr>
          <w:p>
            <w:pPr>
              <w:spacing w:after="0"/>
              <w:rPr>
                <w:sz w:val="19"/>
                <w:szCs w:val="19"/>
                <w:color w:val="auto"/>
              </w:rPr>
            </w:pPr>
          </w:p>
        </w:tc>
        <w:tc>
          <w:tcPr>
            <w:tcW w:w="580" w:type="dxa"/>
            <w:vAlign w:val="bottom"/>
            <w:tcBorders>
              <w:bottom w:val="single" w:sz="8" w:color="939598"/>
            </w:tcBorders>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bottom w:val="single" w:sz="8" w:color="939598"/>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M</w:t>
            </w:r>
          </w:p>
        </w:tc>
        <w:tc>
          <w:tcPr>
            <w:tcW w:w="100" w:type="dxa"/>
            <w:vAlign w:val="bottom"/>
          </w:tcPr>
          <w:p>
            <w:pPr>
              <w:spacing w:after="0"/>
              <w:rPr>
                <w:sz w:val="19"/>
                <w:szCs w:val="19"/>
                <w:color w:val="auto"/>
              </w:rPr>
            </w:pPr>
          </w:p>
        </w:tc>
        <w:tc>
          <w:tcPr>
            <w:tcW w:w="156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w w:val="98"/>
              </w:rPr>
              <w:t>C</w:t>
            </w:r>
          </w:p>
        </w:tc>
        <w:tc>
          <w:tcPr>
            <w:tcW w:w="0" w:type="dxa"/>
            <w:vAlign w:val="bottom"/>
          </w:tcPr>
          <w:p>
            <w:pPr>
              <w:spacing w:after="0"/>
              <w:rPr>
                <w:sz w:val="1"/>
                <w:szCs w:val="1"/>
                <w:color w:val="auto"/>
              </w:rPr>
            </w:pPr>
          </w:p>
        </w:tc>
      </w:tr>
      <w:tr>
        <w:trPr>
          <w:trHeight w:val="223"/>
        </w:trPr>
        <w:tc>
          <w:tcPr>
            <w:tcW w:w="17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4A98"/>
              </w:rPr>
              <w:t>Kathleen A. Cote</w:t>
            </w:r>
          </w:p>
        </w:tc>
        <w:tc>
          <w:tcPr>
            <w:tcW w:w="2720" w:type="dxa"/>
            <w:vAlign w:val="bottom"/>
            <w:tcBorders>
              <w:bottom w:val="single" w:sz="8" w:color="939598"/>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76</w:t>
            </w:r>
          </w:p>
        </w:tc>
        <w:tc>
          <w:tcPr>
            <w:tcW w:w="120" w:type="dxa"/>
            <w:vAlign w:val="bottom"/>
          </w:tcPr>
          <w:p>
            <w:pPr>
              <w:spacing w:after="0"/>
              <w:rPr>
                <w:sz w:val="19"/>
                <w:szCs w:val="19"/>
                <w:color w:val="auto"/>
              </w:rPr>
            </w:pPr>
          </w:p>
        </w:tc>
        <w:tc>
          <w:tcPr>
            <w:tcW w:w="92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2008</w:t>
            </w:r>
          </w:p>
        </w:tc>
        <w:tc>
          <w:tcPr>
            <w:tcW w:w="120" w:type="dxa"/>
            <w:vAlign w:val="bottom"/>
          </w:tcPr>
          <w:p>
            <w:pPr>
              <w:spacing w:after="0"/>
              <w:rPr>
                <w:sz w:val="19"/>
                <w:szCs w:val="19"/>
                <w:color w:val="auto"/>
              </w:rPr>
            </w:pPr>
          </w:p>
        </w:tc>
        <w:tc>
          <w:tcPr>
            <w:tcW w:w="58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M</w:t>
            </w:r>
          </w:p>
        </w:tc>
        <w:tc>
          <w:tcPr>
            <w:tcW w:w="120" w:type="dxa"/>
            <w:vAlign w:val="bottom"/>
          </w:tcPr>
          <w:p>
            <w:pPr>
              <w:spacing w:after="0"/>
              <w:rPr>
                <w:sz w:val="19"/>
                <w:szCs w:val="19"/>
                <w:color w:val="auto"/>
              </w:rPr>
            </w:pPr>
          </w:p>
        </w:tc>
        <w:tc>
          <w:tcPr>
            <w:tcW w:w="1380" w:type="dxa"/>
            <w:vAlign w:val="bottom"/>
            <w:tcBorders>
              <w:bottom w:val="single" w:sz="8" w:color="939598"/>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bottom w:val="single" w:sz="8" w:color="939598"/>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bottom w:val="single" w:sz="8" w:color="939598"/>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4A98"/>
              </w:rPr>
              <w:t>Thomas F. Frist III</w:t>
            </w:r>
          </w:p>
        </w:tc>
        <w:tc>
          <w:tcPr>
            <w:tcW w:w="2720" w:type="dxa"/>
            <w:vAlign w:val="bottom"/>
            <w:tcBorders>
              <w:bottom w:val="single" w:sz="8" w:color="939598"/>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19"/>
                <w:szCs w:val="19"/>
                <w:color w:val="auto"/>
              </w:rPr>
            </w:pPr>
          </w:p>
        </w:tc>
        <w:tc>
          <w:tcPr>
            <w:tcW w:w="92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9"/>
                <w:szCs w:val="19"/>
                <w:color w:val="auto"/>
              </w:rPr>
            </w:pPr>
          </w:p>
        </w:tc>
        <w:tc>
          <w:tcPr>
            <w:tcW w:w="580" w:type="dxa"/>
            <w:vAlign w:val="bottom"/>
            <w:tcBorders>
              <w:bottom w:val="single" w:sz="8" w:color="939598"/>
            </w:tcBorders>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w w:val="98"/>
              </w:rPr>
              <w:t>C</w:t>
            </w:r>
          </w:p>
        </w:tc>
        <w:tc>
          <w:tcPr>
            <w:tcW w:w="120" w:type="dxa"/>
            <w:vAlign w:val="bottom"/>
          </w:tcPr>
          <w:p>
            <w:pPr>
              <w:spacing w:after="0"/>
              <w:rPr>
                <w:sz w:val="19"/>
                <w:szCs w:val="19"/>
                <w:color w:val="auto"/>
              </w:rPr>
            </w:pPr>
          </w:p>
        </w:tc>
        <w:tc>
          <w:tcPr>
            <w:tcW w:w="118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M</w:t>
            </w:r>
          </w:p>
        </w:tc>
        <w:tc>
          <w:tcPr>
            <w:tcW w:w="100" w:type="dxa"/>
            <w:vAlign w:val="bottom"/>
          </w:tcPr>
          <w:p>
            <w:pPr>
              <w:spacing w:after="0"/>
              <w:rPr>
                <w:sz w:val="19"/>
                <w:szCs w:val="19"/>
                <w:color w:val="auto"/>
              </w:rPr>
            </w:pPr>
          </w:p>
        </w:tc>
        <w:tc>
          <w:tcPr>
            <w:tcW w:w="1560" w:type="dxa"/>
            <w:vAlign w:val="bottom"/>
            <w:tcBorders>
              <w:bottom w:val="single" w:sz="8" w:color="939598"/>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4A98"/>
              </w:rPr>
              <w:t>Jamie S. Gorelick</w:t>
            </w:r>
          </w:p>
        </w:tc>
        <w:tc>
          <w:tcPr>
            <w:tcW w:w="2720" w:type="dxa"/>
            <w:vAlign w:val="bottom"/>
            <w:tcBorders>
              <w:bottom w:val="single" w:sz="8" w:color="939598"/>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74</w:t>
            </w:r>
          </w:p>
        </w:tc>
        <w:tc>
          <w:tcPr>
            <w:tcW w:w="120" w:type="dxa"/>
            <w:vAlign w:val="bottom"/>
          </w:tcPr>
          <w:p>
            <w:pPr>
              <w:spacing w:after="0"/>
              <w:rPr>
                <w:sz w:val="19"/>
                <w:szCs w:val="19"/>
                <w:color w:val="auto"/>
              </w:rPr>
            </w:pPr>
          </w:p>
        </w:tc>
        <w:tc>
          <w:tcPr>
            <w:tcW w:w="92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2015</w:t>
            </w:r>
          </w:p>
        </w:tc>
        <w:tc>
          <w:tcPr>
            <w:tcW w:w="120" w:type="dxa"/>
            <w:vAlign w:val="bottom"/>
          </w:tcPr>
          <w:p>
            <w:pPr>
              <w:spacing w:after="0"/>
              <w:rPr>
                <w:sz w:val="19"/>
                <w:szCs w:val="19"/>
                <w:color w:val="auto"/>
              </w:rPr>
            </w:pPr>
          </w:p>
        </w:tc>
        <w:tc>
          <w:tcPr>
            <w:tcW w:w="580" w:type="dxa"/>
            <w:vAlign w:val="bottom"/>
            <w:tcBorders>
              <w:bottom w:val="single" w:sz="8" w:color="939598"/>
            </w:tcBorders>
          </w:tcPr>
          <w:p>
            <w:pPr>
              <w:spacing w:after="0"/>
              <w:rPr>
                <w:sz w:val="19"/>
                <w:szCs w:val="19"/>
                <w:color w:val="auto"/>
              </w:rPr>
            </w:pPr>
          </w:p>
        </w:tc>
        <w:tc>
          <w:tcPr>
            <w:tcW w:w="120" w:type="dxa"/>
            <w:vAlign w:val="bottom"/>
          </w:tcPr>
          <w:p>
            <w:pPr>
              <w:spacing w:after="0"/>
              <w:rPr>
                <w:sz w:val="19"/>
                <w:szCs w:val="19"/>
                <w:color w:val="auto"/>
              </w:rPr>
            </w:pPr>
          </w:p>
        </w:tc>
        <w:tc>
          <w:tcPr>
            <w:tcW w:w="138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M</w:t>
            </w:r>
          </w:p>
        </w:tc>
        <w:tc>
          <w:tcPr>
            <w:tcW w:w="120" w:type="dxa"/>
            <w:vAlign w:val="bottom"/>
          </w:tcPr>
          <w:p>
            <w:pPr>
              <w:spacing w:after="0"/>
              <w:rPr>
                <w:sz w:val="19"/>
                <w:szCs w:val="19"/>
                <w:color w:val="auto"/>
              </w:rPr>
            </w:pPr>
          </w:p>
        </w:tc>
        <w:tc>
          <w:tcPr>
            <w:tcW w:w="118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w w:val="98"/>
              </w:rPr>
              <w:t>C</w:t>
            </w:r>
          </w:p>
        </w:tc>
        <w:tc>
          <w:tcPr>
            <w:tcW w:w="100" w:type="dxa"/>
            <w:vAlign w:val="bottom"/>
          </w:tcPr>
          <w:p>
            <w:pPr>
              <w:spacing w:after="0"/>
              <w:rPr>
                <w:sz w:val="19"/>
                <w:szCs w:val="19"/>
                <w:color w:val="auto"/>
              </w:rPr>
            </w:pPr>
          </w:p>
        </w:tc>
        <w:tc>
          <w:tcPr>
            <w:tcW w:w="1560" w:type="dxa"/>
            <w:vAlign w:val="bottom"/>
            <w:tcBorders>
              <w:bottom w:val="single" w:sz="8" w:color="939598"/>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760" w:type="dxa"/>
            <w:vAlign w:val="bottom"/>
            <w:tcBorders>
              <w:bottom w:val="single" w:sz="8" w:color="939598"/>
            </w:tcBorders>
          </w:tcPr>
          <w:p>
            <w:pPr>
              <w:ind w:left="20"/>
              <w:spacing w:after="0"/>
              <w:rPr>
                <w:sz w:val="20"/>
                <w:szCs w:val="20"/>
                <w:color w:val="auto"/>
              </w:rPr>
            </w:pPr>
            <w:r>
              <w:rPr>
                <w:rFonts w:ascii="Arial" w:cs="Arial" w:eastAsia="Arial" w:hAnsi="Arial"/>
                <w:sz w:val="14"/>
                <w:szCs w:val="14"/>
                <w:b w:val="1"/>
                <w:bCs w:val="1"/>
                <w:color w:val="004A98"/>
              </w:rPr>
              <w:t>Debra W. McCann</w:t>
            </w:r>
          </w:p>
        </w:tc>
        <w:tc>
          <w:tcPr>
            <w:tcW w:w="2720" w:type="dxa"/>
            <w:vAlign w:val="bottom"/>
            <w:tcBorders>
              <w:bottom w:val="single" w:sz="8" w:color="939598"/>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52</w:t>
            </w:r>
          </w:p>
        </w:tc>
        <w:tc>
          <w:tcPr>
            <w:tcW w:w="120" w:type="dxa"/>
            <w:vAlign w:val="bottom"/>
          </w:tcPr>
          <w:p>
            <w:pPr>
              <w:spacing w:after="0"/>
              <w:rPr>
                <w:sz w:val="19"/>
                <w:szCs w:val="19"/>
                <w:color w:val="auto"/>
              </w:rPr>
            </w:pPr>
          </w:p>
        </w:tc>
        <w:tc>
          <w:tcPr>
            <w:tcW w:w="92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19"/>
                <w:szCs w:val="19"/>
                <w:color w:val="auto"/>
              </w:rPr>
            </w:pPr>
          </w:p>
        </w:tc>
        <w:tc>
          <w:tcPr>
            <w:tcW w:w="58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M</w:t>
            </w:r>
          </w:p>
        </w:tc>
        <w:tc>
          <w:tcPr>
            <w:tcW w:w="120" w:type="dxa"/>
            <w:vAlign w:val="bottom"/>
          </w:tcPr>
          <w:p>
            <w:pPr>
              <w:spacing w:after="0"/>
              <w:rPr>
                <w:sz w:val="19"/>
                <w:szCs w:val="19"/>
                <w:color w:val="auto"/>
              </w:rPr>
            </w:pPr>
          </w:p>
        </w:tc>
        <w:tc>
          <w:tcPr>
            <w:tcW w:w="1380" w:type="dxa"/>
            <w:vAlign w:val="bottom"/>
            <w:tcBorders>
              <w:bottom w:val="single" w:sz="8" w:color="939598"/>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bottom w:val="single" w:sz="8" w:color="939598"/>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bottom w:val="single" w:sz="8" w:color="939598"/>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480" w:type="dxa"/>
            <w:vAlign w:val="bottom"/>
            <w:tcBorders>
              <w:bottom w:val="single" w:sz="8" w:color="939598"/>
            </w:tcBorders>
            <w:gridSpan w:val="2"/>
          </w:tcPr>
          <w:p>
            <w:pPr>
              <w:ind w:left="20"/>
              <w:spacing w:after="0"/>
              <w:rPr>
                <w:sz w:val="20"/>
                <w:szCs w:val="20"/>
                <w:color w:val="auto"/>
              </w:rPr>
            </w:pPr>
            <w:r>
              <w:rPr>
                <w:rFonts w:ascii="Arial" w:cs="Arial" w:eastAsia="Arial" w:hAnsi="Arial"/>
                <w:sz w:val="14"/>
                <w:szCs w:val="14"/>
                <w:b w:val="1"/>
                <w:bCs w:val="1"/>
                <w:color w:val="004A98"/>
              </w:rPr>
              <w:t xml:space="preserve">Timothy Tomlinson </w:t>
            </w:r>
            <w:r>
              <w:rPr>
                <w:rFonts w:ascii="Arial" w:cs="Arial" w:eastAsia="Arial" w:hAnsi="Arial"/>
                <w:sz w:val="14"/>
                <w:szCs w:val="14"/>
                <w:b w:val="1"/>
                <w:bCs w:val="1"/>
                <w:color w:val="000000"/>
              </w:rPr>
              <w:t>Lead Independent Director</w:t>
            </w:r>
          </w:p>
        </w:tc>
        <w:tc>
          <w:tcPr>
            <w:tcW w:w="120" w:type="dxa"/>
            <w:vAlign w:val="bottom"/>
          </w:tcPr>
          <w:p>
            <w:pPr>
              <w:spacing w:after="0"/>
              <w:rPr>
                <w:sz w:val="19"/>
                <w:szCs w:val="19"/>
                <w:color w:val="auto"/>
              </w:rPr>
            </w:pPr>
          </w:p>
        </w:tc>
        <w:tc>
          <w:tcPr>
            <w:tcW w:w="46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75</w:t>
            </w:r>
          </w:p>
        </w:tc>
        <w:tc>
          <w:tcPr>
            <w:tcW w:w="120" w:type="dxa"/>
            <w:vAlign w:val="bottom"/>
          </w:tcPr>
          <w:p>
            <w:pPr>
              <w:spacing w:after="0"/>
              <w:rPr>
                <w:sz w:val="19"/>
                <w:szCs w:val="19"/>
                <w:color w:val="auto"/>
              </w:rPr>
            </w:pPr>
          </w:p>
        </w:tc>
        <w:tc>
          <w:tcPr>
            <w:tcW w:w="92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2007</w:t>
            </w:r>
          </w:p>
        </w:tc>
        <w:tc>
          <w:tcPr>
            <w:tcW w:w="120" w:type="dxa"/>
            <w:vAlign w:val="bottom"/>
          </w:tcPr>
          <w:p>
            <w:pPr>
              <w:spacing w:after="0"/>
              <w:rPr>
                <w:sz w:val="19"/>
                <w:szCs w:val="19"/>
                <w:color w:val="auto"/>
              </w:rPr>
            </w:pPr>
          </w:p>
        </w:tc>
        <w:tc>
          <w:tcPr>
            <w:tcW w:w="58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w w:val="98"/>
              </w:rPr>
              <w:t>C</w:t>
            </w:r>
          </w:p>
        </w:tc>
        <w:tc>
          <w:tcPr>
            <w:tcW w:w="120" w:type="dxa"/>
            <w:vAlign w:val="bottom"/>
          </w:tcPr>
          <w:p>
            <w:pPr>
              <w:spacing w:after="0"/>
              <w:rPr>
                <w:sz w:val="19"/>
                <w:szCs w:val="19"/>
                <w:color w:val="auto"/>
              </w:rPr>
            </w:pPr>
          </w:p>
        </w:tc>
        <w:tc>
          <w:tcPr>
            <w:tcW w:w="1380" w:type="dxa"/>
            <w:vAlign w:val="bottom"/>
            <w:tcBorders>
              <w:bottom w:val="single" w:sz="8" w:color="939598"/>
            </w:tcBorders>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tcBorders>
              <w:bottom w:val="single" w:sz="8" w:color="939598"/>
            </w:tcBorders>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Borders>
              <w:bottom w:val="single" w:sz="8" w:color="939598"/>
            </w:tcBorders>
          </w:tcPr>
          <w:p>
            <w:pPr>
              <w:jc w:val="center"/>
              <w:spacing w:after="0"/>
              <w:rPr>
                <w:sz w:val="20"/>
                <w:szCs w:val="20"/>
                <w:color w:val="auto"/>
              </w:rPr>
            </w:pPr>
            <w:r>
              <w:rPr>
                <w:rFonts w:ascii="Arial" w:cs="Arial" w:eastAsia="Arial" w:hAnsi="Arial"/>
                <w:sz w:val="14"/>
                <w:szCs w:val="14"/>
                <w:color w:val="auto"/>
              </w:rPr>
              <w:t>M</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wp:posOffset>
            </wp:positionH>
            <wp:positionV relativeFrom="paragraph">
              <wp:posOffset>-2837180</wp:posOffset>
            </wp:positionV>
            <wp:extent cx="257175" cy="25717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pacing w:after="0" w:line="168" w:lineRule="exact"/>
        <w:rPr>
          <w:sz w:val="20"/>
          <w:szCs w:val="20"/>
          <w:color w:val="auto"/>
        </w:rPr>
      </w:pPr>
    </w:p>
    <w:p>
      <w:pPr>
        <w:spacing w:after="0"/>
        <w:tabs>
          <w:tab w:leader="none" w:pos="1400" w:val="left"/>
        </w:tabs>
        <w:rPr>
          <w:sz w:val="20"/>
          <w:szCs w:val="20"/>
          <w:color w:val="auto"/>
        </w:rPr>
      </w:pPr>
      <w:r>
        <w:rPr>
          <w:rFonts w:ascii="Arial" w:cs="Arial" w:eastAsia="Arial" w:hAnsi="Arial"/>
          <w:sz w:val="16"/>
          <w:szCs w:val="16"/>
          <w:color w:val="auto"/>
        </w:rPr>
        <w:t>C – Chairperson</w:t>
        <w:tab/>
        <w:t>M – Member</w:t>
      </w:r>
    </w:p>
    <w:p>
      <w:pPr>
        <w:spacing w:after="0" w:line="347"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4"/>
          <w:szCs w:val="14"/>
          <w:color w:val="auto"/>
        </w:rPr>
        <w:t>Proxy</w:t>
      </w:r>
    </w:p>
    <w:p>
      <w:pPr>
        <w:spacing w:after="0" w:line="2" w:lineRule="exact"/>
        <w:rPr>
          <w:sz w:val="20"/>
          <w:szCs w:val="20"/>
          <w:color w:val="auto"/>
        </w:rPr>
      </w:pPr>
    </w:p>
    <w:p>
      <w:pPr>
        <w:ind w:left="718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60"/>
          </w:cols>
          <w:pgMar w:left="320" w:top="121" w:right="31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Voting Roadmap</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sectPr>
      </w:pPr>
    </w:p>
    <w:p>
      <w:pPr>
        <w:spacing w:after="0" w:line="202"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Board Composition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552450</wp:posOffset>
            </wp:positionV>
            <wp:extent cx="252031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0" w:right="1169"/>
        <w:spacing w:after="0" w:line="384" w:lineRule="auto"/>
        <w:rPr>
          <w:sz w:val="20"/>
          <w:szCs w:val="20"/>
          <w:color w:val="auto"/>
        </w:rPr>
      </w:pPr>
      <w:r>
        <w:rPr>
          <w:rFonts w:ascii="Arial" w:cs="Arial" w:eastAsia="Arial" w:hAnsi="Arial"/>
          <w:sz w:val="16"/>
          <w:szCs w:val="16"/>
          <w:b w:val="1"/>
          <w:bCs w:val="1"/>
          <w:color w:val="004A98"/>
        </w:rPr>
        <w:t>Annual Election of Directors Majority Voting Standard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72390</wp:posOffset>
            </wp:positionV>
            <wp:extent cx="252031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5203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252031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07" w:lineRule="exact"/>
        <w:rPr>
          <w:sz w:val="20"/>
          <w:szCs w:val="20"/>
          <w:color w:val="auto"/>
        </w:rPr>
      </w:pPr>
    </w:p>
    <w:p>
      <w:pPr>
        <w:ind w:left="20" w:right="1289"/>
        <w:spacing w:after="0" w:line="384" w:lineRule="auto"/>
        <w:rPr>
          <w:sz w:val="20"/>
          <w:szCs w:val="20"/>
          <w:color w:val="auto"/>
        </w:rPr>
      </w:pPr>
      <w:r>
        <w:rPr>
          <w:rFonts w:ascii="Arial" w:cs="Arial" w:eastAsia="Arial" w:hAnsi="Arial"/>
          <w:sz w:val="16"/>
          <w:szCs w:val="16"/>
          <w:b w:val="1"/>
          <w:bCs w:val="1"/>
          <w:color w:val="004A98"/>
        </w:rPr>
        <w:t>Lead Independent Director 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457835</wp:posOffset>
            </wp:positionV>
            <wp:extent cx="252031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2031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252031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Stockholder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423545</wp:posOffset>
            </wp:positionV>
            <wp:extent cx="252031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Single Voting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252031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One Share, One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89535</wp:posOffset>
            </wp:positionV>
            <wp:extent cx="252031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34" w:lineRule="exact"/>
        <w:rPr>
          <w:sz w:val="20"/>
          <w:szCs w:val="20"/>
          <w:color w:val="auto"/>
        </w:rPr>
      </w:pPr>
    </w:p>
    <w:p>
      <w:pPr>
        <w:ind w:left="20" w:right="509"/>
        <w:spacing w:after="0" w:line="437" w:lineRule="auto"/>
        <w:rPr>
          <w:sz w:val="20"/>
          <w:szCs w:val="20"/>
          <w:color w:val="auto"/>
        </w:rPr>
      </w:pPr>
      <w:r>
        <w:rPr>
          <w:rFonts w:ascii="Arial" w:cs="Arial" w:eastAsia="Arial" w:hAnsi="Arial"/>
          <w:sz w:val="16"/>
          <w:szCs w:val="16"/>
          <w:b w:val="1"/>
          <w:bCs w:val="1"/>
          <w:color w:val="004A98"/>
        </w:rPr>
        <w:t>Annual Board Leadership Evaluation Annual Self-Evaluations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252031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5203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-269875</wp:posOffset>
            </wp:positionV>
            <wp:extent cx="252031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No “Poison Pill”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252031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9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Annual Auditor Ratification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140970</wp:posOffset>
            </wp:positionV>
            <wp:extent cx="25203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Stock Retention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252031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Political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278130</wp:posOffset>
            </wp:positionV>
            <wp:extent cx="252031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3" w:lineRule="exact"/>
        <w:rPr>
          <w:sz w:val="20"/>
          <w:szCs w:val="20"/>
          <w:color w:val="auto"/>
        </w:rPr>
      </w:pPr>
    </w:p>
    <w:p>
      <w:pPr>
        <w:ind w:left="171" w:hanging="171"/>
        <w:spacing w:after="0"/>
        <w:tabs>
          <w:tab w:leader="none" w:pos="171" w:val="left"/>
        </w:tabs>
        <w:numPr>
          <w:ilvl w:val="0"/>
          <w:numId w:val="10"/>
        </w:numPr>
        <w:rPr>
          <w:rFonts w:ascii="Arial" w:cs="Arial" w:eastAsia="Arial" w:hAnsi="Arial"/>
          <w:sz w:val="16"/>
          <w:szCs w:val="16"/>
          <w:color w:val="004A98"/>
        </w:rPr>
      </w:pPr>
      <w:r>
        <w:rPr>
          <w:rFonts w:ascii="Arial" w:cs="Arial" w:eastAsia="Arial" w:hAnsi="Arial"/>
          <w:sz w:val="16"/>
          <w:szCs w:val="16"/>
          <w:color w:val="auto"/>
        </w:rPr>
        <w:t>7 out of 8 of our continuing directors are independent.</w:t>
      </w:r>
    </w:p>
    <w:p>
      <w:pPr>
        <w:spacing w:after="0" w:line="86" w:lineRule="exact"/>
        <w:rPr>
          <w:rFonts w:ascii="Arial" w:cs="Arial" w:eastAsia="Arial" w:hAnsi="Arial"/>
          <w:sz w:val="16"/>
          <w:szCs w:val="16"/>
          <w:color w:val="004A98"/>
        </w:rPr>
      </w:pPr>
    </w:p>
    <w:p>
      <w:pPr>
        <w:ind w:left="171" w:hanging="171"/>
        <w:spacing w:after="0"/>
        <w:tabs>
          <w:tab w:leader="none" w:pos="171" w:val="left"/>
        </w:tabs>
        <w:numPr>
          <w:ilvl w:val="0"/>
          <w:numId w:val="10"/>
        </w:numPr>
        <w:rPr>
          <w:rFonts w:ascii="Arial" w:cs="Arial" w:eastAsia="Arial" w:hAnsi="Arial"/>
          <w:sz w:val="16"/>
          <w:szCs w:val="16"/>
          <w:color w:val="004A98"/>
        </w:rPr>
      </w:pPr>
      <w:r>
        <w:rPr>
          <w:rFonts w:ascii="Arial" w:cs="Arial" w:eastAsia="Arial" w:hAnsi="Arial"/>
          <w:sz w:val="16"/>
          <w:szCs w:val="16"/>
          <w:color w:val="auto"/>
        </w:rPr>
        <w:t>3 out of 8 of our continuing directors are women.</w:t>
      </w:r>
    </w:p>
    <w:p>
      <w:pPr>
        <w:spacing w:after="0" w:line="207" w:lineRule="exact"/>
        <w:rPr>
          <w:rFonts w:ascii="Arial" w:cs="Arial" w:eastAsia="Arial" w:hAnsi="Arial"/>
          <w:sz w:val="16"/>
          <w:szCs w:val="16"/>
          <w:color w:val="004A98"/>
        </w:rPr>
      </w:pPr>
    </w:p>
    <w:p>
      <w:pPr>
        <w:ind w:left="171" w:hanging="171"/>
        <w:spacing w:after="0"/>
        <w:tabs>
          <w:tab w:leader="none" w:pos="171" w:val="left"/>
        </w:tabs>
        <w:numPr>
          <w:ilvl w:val="0"/>
          <w:numId w:val="10"/>
        </w:numPr>
        <w:rPr>
          <w:rFonts w:ascii="Arial" w:cs="Arial" w:eastAsia="Arial" w:hAnsi="Arial"/>
          <w:sz w:val="16"/>
          <w:szCs w:val="16"/>
          <w:color w:val="004A98"/>
        </w:rPr>
      </w:pPr>
      <w:r>
        <w:rPr>
          <w:rFonts w:ascii="Arial" w:cs="Arial" w:eastAsia="Arial" w:hAnsi="Arial"/>
          <w:sz w:val="16"/>
          <w:szCs w:val="16"/>
          <w:color w:val="auto"/>
        </w:rPr>
        <w:t>2 directors self-identify as being from underrepresented communities.</w:t>
      </w:r>
    </w:p>
    <w:p>
      <w:pPr>
        <w:spacing w:after="0" w:line="153" w:lineRule="exact"/>
        <w:rPr>
          <w:rFonts w:ascii="Arial" w:cs="Arial" w:eastAsia="Arial" w:hAnsi="Arial"/>
          <w:sz w:val="16"/>
          <w:szCs w:val="16"/>
          <w:color w:val="004A98"/>
        </w:rPr>
      </w:pPr>
    </w:p>
    <w:p>
      <w:pPr>
        <w:ind w:left="171" w:hanging="171"/>
        <w:spacing w:after="0"/>
        <w:tabs>
          <w:tab w:leader="none" w:pos="171" w:val="left"/>
        </w:tabs>
        <w:numPr>
          <w:ilvl w:val="0"/>
          <w:numId w:val="10"/>
        </w:numPr>
        <w:rPr>
          <w:rFonts w:ascii="Arial" w:cs="Arial" w:eastAsia="Arial" w:hAnsi="Arial"/>
          <w:sz w:val="16"/>
          <w:szCs w:val="16"/>
          <w:color w:val="004A98"/>
        </w:rPr>
      </w:pPr>
      <w:r>
        <w:rPr>
          <w:rFonts w:ascii="Arial" w:cs="Arial" w:eastAsia="Arial" w:hAnsi="Arial"/>
          <w:sz w:val="16"/>
          <w:szCs w:val="16"/>
          <w:color w:val="auto"/>
        </w:rPr>
        <w:t>All directors are elected annually.</w:t>
      </w:r>
    </w:p>
    <w:p>
      <w:pPr>
        <w:spacing w:after="0" w:line="72" w:lineRule="exact"/>
        <w:rPr>
          <w:rFonts w:ascii="Arial" w:cs="Arial" w:eastAsia="Arial" w:hAnsi="Arial"/>
          <w:sz w:val="16"/>
          <w:szCs w:val="16"/>
          <w:color w:val="004A98"/>
        </w:rPr>
      </w:pPr>
    </w:p>
    <w:p>
      <w:pPr>
        <w:ind w:left="191" w:right="80" w:hanging="191"/>
        <w:spacing w:after="0" w:line="286" w:lineRule="auto"/>
        <w:tabs>
          <w:tab w:leader="none" w:pos="161" w:val="left"/>
        </w:tabs>
        <w:numPr>
          <w:ilvl w:val="0"/>
          <w:numId w:val="10"/>
        </w:numPr>
        <w:rPr>
          <w:rFonts w:ascii="Arial" w:cs="Arial" w:eastAsia="Arial" w:hAnsi="Arial"/>
          <w:sz w:val="16"/>
          <w:szCs w:val="16"/>
          <w:color w:val="004A98"/>
        </w:rPr>
      </w:pPr>
      <w:r>
        <w:rPr>
          <w:rFonts w:ascii="Arial" w:cs="Arial" w:eastAsia="Arial" w:hAnsi="Arial"/>
          <w:sz w:val="16"/>
          <w:szCs w:val="16"/>
          <w:color w:val="auto"/>
        </w:rPr>
        <w:t>To be elected in uncontested elections, each nominee for director must receive a majority of the votes cast.</w:t>
      </w:r>
    </w:p>
    <w:p>
      <w:pPr>
        <w:spacing w:after="0" w:line="20" w:lineRule="exact"/>
        <w:rPr>
          <w:rFonts w:ascii="Arial" w:cs="Arial" w:eastAsia="Arial" w:hAnsi="Arial"/>
          <w:sz w:val="16"/>
          <w:szCs w:val="16"/>
          <w:color w:val="004A98"/>
        </w:rPr>
      </w:pPr>
    </w:p>
    <w:p>
      <w:pPr>
        <w:ind w:left="171" w:hanging="171"/>
        <w:spacing w:after="0"/>
        <w:tabs>
          <w:tab w:leader="none" w:pos="171" w:val="left"/>
        </w:tabs>
        <w:numPr>
          <w:ilvl w:val="0"/>
          <w:numId w:val="10"/>
        </w:numPr>
        <w:rPr>
          <w:rFonts w:ascii="Arial" w:cs="Arial" w:eastAsia="Arial" w:hAnsi="Arial"/>
          <w:sz w:val="16"/>
          <w:szCs w:val="16"/>
          <w:color w:val="004A98"/>
        </w:rPr>
      </w:pPr>
      <w:r>
        <w:rPr>
          <w:rFonts w:ascii="Arial" w:cs="Arial" w:eastAsia="Arial" w:hAnsi="Arial"/>
          <w:sz w:val="16"/>
          <w:szCs w:val="16"/>
          <w:color w:val="auto"/>
        </w:rPr>
        <w:t>We have a lead independent director with robust responsibilities.</w:t>
      </w:r>
    </w:p>
    <w:p>
      <w:pPr>
        <w:spacing w:after="0" w:line="140" w:lineRule="exact"/>
        <w:rPr>
          <w:rFonts w:ascii="Arial" w:cs="Arial" w:eastAsia="Arial" w:hAnsi="Arial"/>
          <w:sz w:val="16"/>
          <w:szCs w:val="16"/>
          <w:color w:val="004A98"/>
        </w:rPr>
      </w:pPr>
    </w:p>
    <w:p>
      <w:pPr>
        <w:ind w:left="191" w:right="580" w:hanging="191"/>
        <w:spacing w:after="0" w:line="299" w:lineRule="auto"/>
        <w:tabs>
          <w:tab w:leader="none" w:pos="161" w:val="left"/>
        </w:tabs>
        <w:numPr>
          <w:ilvl w:val="0"/>
          <w:numId w:val="10"/>
        </w:numPr>
        <w:rPr>
          <w:rFonts w:ascii="Arial" w:cs="Arial" w:eastAsia="Arial" w:hAnsi="Arial"/>
          <w:sz w:val="16"/>
          <w:szCs w:val="16"/>
          <w:color w:val="004A98"/>
        </w:rPr>
      </w:pPr>
      <w:r>
        <w:rPr>
          <w:rFonts w:ascii="Arial" w:cs="Arial" w:eastAsia="Arial" w:hAnsi="Arial"/>
          <w:sz w:val="16"/>
          <w:szCs w:val="16"/>
          <w:color w:val="auto"/>
        </w:rPr>
        <w:t>We have an Audit Committee, Corporate Governance and Nominating Committee and Compensation Committee, each of which is composed entirely of independent directors.</w:t>
      </w:r>
    </w:p>
    <w:p>
      <w:pPr>
        <w:ind w:left="191" w:right="340" w:hanging="191"/>
        <w:spacing w:after="0" w:line="304" w:lineRule="auto"/>
        <w:tabs>
          <w:tab w:leader="none" w:pos="161" w:val="left"/>
        </w:tabs>
        <w:numPr>
          <w:ilvl w:val="0"/>
          <w:numId w:val="10"/>
        </w:numPr>
        <w:rPr>
          <w:rFonts w:ascii="Arial" w:cs="Arial" w:eastAsia="Arial" w:hAnsi="Arial"/>
          <w:sz w:val="16"/>
          <w:szCs w:val="16"/>
          <w:color w:val="004A98"/>
        </w:rPr>
      </w:pPr>
      <w:r>
        <w:rPr>
          <w:rFonts w:ascii="Arial" w:cs="Arial" w:eastAsia="Arial" w:hAnsi="Arial"/>
          <w:sz w:val="16"/>
          <w:szCs w:val="16"/>
          <w:color w:val="auto"/>
        </w:rPr>
        <w:t>We have a Cybersecurity Committee to assist the Board with its oversight of the Company’s cybersecurity program and risks.</w:t>
      </w:r>
    </w:p>
    <w:p>
      <w:pPr>
        <w:spacing w:after="0" w:line="141" w:lineRule="exact"/>
        <w:rPr>
          <w:rFonts w:ascii="Arial" w:cs="Arial" w:eastAsia="Arial" w:hAnsi="Arial"/>
          <w:sz w:val="16"/>
          <w:szCs w:val="16"/>
          <w:color w:val="004A98"/>
        </w:rPr>
      </w:pPr>
    </w:p>
    <w:p>
      <w:pPr>
        <w:ind w:left="171" w:hanging="171"/>
        <w:spacing w:after="0"/>
        <w:tabs>
          <w:tab w:leader="none" w:pos="171" w:val="left"/>
        </w:tabs>
        <w:numPr>
          <w:ilvl w:val="0"/>
          <w:numId w:val="10"/>
        </w:numPr>
        <w:rPr>
          <w:rFonts w:ascii="Arial" w:cs="Arial" w:eastAsia="Arial" w:hAnsi="Arial"/>
          <w:sz w:val="16"/>
          <w:szCs w:val="16"/>
          <w:color w:val="004A98"/>
        </w:rPr>
      </w:pPr>
      <w:r>
        <w:rPr>
          <w:rFonts w:ascii="Arial" w:cs="Arial" w:eastAsia="Arial" w:hAnsi="Arial"/>
          <w:sz w:val="16"/>
          <w:szCs w:val="16"/>
          <w:color w:val="auto"/>
        </w:rPr>
        <w:t>Stockholders have proxy access rights.</w:t>
      </w:r>
    </w:p>
    <w:p>
      <w:pPr>
        <w:spacing w:after="0" w:line="86" w:lineRule="exact"/>
        <w:rPr>
          <w:rFonts w:ascii="Arial" w:cs="Arial" w:eastAsia="Arial" w:hAnsi="Arial"/>
          <w:sz w:val="16"/>
          <w:szCs w:val="16"/>
          <w:color w:val="004A98"/>
        </w:rPr>
      </w:pPr>
    </w:p>
    <w:p>
      <w:pPr>
        <w:ind w:left="191" w:right="200" w:hanging="191"/>
        <w:spacing w:after="0" w:line="286" w:lineRule="auto"/>
        <w:tabs>
          <w:tab w:leader="none" w:pos="161" w:val="left"/>
        </w:tabs>
        <w:numPr>
          <w:ilvl w:val="0"/>
          <w:numId w:val="10"/>
        </w:numPr>
        <w:rPr>
          <w:rFonts w:ascii="Arial" w:cs="Arial" w:eastAsia="Arial" w:hAnsi="Arial"/>
          <w:sz w:val="16"/>
          <w:szCs w:val="16"/>
          <w:color w:val="004A98"/>
        </w:rPr>
      </w:pPr>
      <w:r>
        <w:rPr>
          <w:rFonts w:ascii="Arial" w:cs="Arial" w:eastAsia="Arial" w:hAnsi="Arial"/>
          <w:sz w:val="16"/>
          <w:szCs w:val="16"/>
          <w:color w:val="auto"/>
        </w:rPr>
        <w:t>Stockholders owning together as few as 10% of outstanding common stock may call a special meeting of stockholders.</w:t>
      </w:r>
    </w:p>
    <w:p>
      <w:pPr>
        <w:spacing w:after="0" w:line="88" w:lineRule="exact"/>
        <w:rPr>
          <w:rFonts w:ascii="Arial" w:cs="Arial" w:eastAsia="Arial" w:hAnsi="Arial"/>
          <w:sz w:val="16"/>
          <w:szCs w:val="16"/>
          <w:color w:val="004A98"/>
        </w:rPr>
      </w:pPr>
    </w:p>
    <w:p>
      <w:pPr>
        <w:ind w:left="171" w:hanging="171"/>
        <w:spacing w:after="0"/>
        <w:tabs>
          <w:tab w:leader="none" w:pos="171" w:val="left"/>
        </w:tabs>
        <w:numPr>
          <w:ilvl w:val="0"/>
          <w:numId w:val="10"/>
        </w:numPr>
        <w:rPr>
          <w:rFonts w:ascii="Arial" w:cs="Arial" w:eastAsia="Arial" w:hAnsi="Arial"/>
          <w:sz w:val="16"/>
          <w:szCs w:val="16"/>
          <w:color w:val="004A98"/>
        </w:rPr>
      </w:pPr>
      <w:r>
        <w:rPr>
          <w:rFonts w:ascii="Arial" w:cs="Arial" w:eastAsia="Arial" w:hAnsi="Arial"/>
          <w:sz w:val="16"/>
          <w:szCs w:val="16"/>
          <w:color w:val="auto"/>
        </w:rPr>
        <w:t>Our common stock is the only class of voting shares outstanding.</w:t>
      </w:r>
    </w:p>
    <w:p>
      <w:pPr>
        <w:spacing w:after="0" w:line="99" w:lineRule="exact"/>
        <w:rPr>
          <w:rFonts w:ascii="Arial" w:cs="Arial" w:eastAsia="Arial" w:hAnsi="Arial"/>
          <w:sz w:val="16"/>
          <w:szCs w:val="16"/>
          <w:color w:val="004A98"/>
        </w:rPr>
      </w:pPr>
    </w:p>
    <w:p>
      <w:pPr>
        <w:ind w:left="171" w:hanging="171"/>
        <w:spacing w:after="0"/>
        <w:tabs>
          <w:tab w:leader="none" w:pos="171" w:val="left"/>
        </w:tabs>
        <w:numPr>
          <w:ilvl w:val="0"/>
          <w:numId w:val="10"/>
        </w:numPr>
        <w:rPr>
          <w:rFonts w:ascii="Arial" w:cs="Arial" w:eastAsia="Arial" w:hAnsi="Arial"/>
          <w:sz w:val="16"/>
          <w:szCs w:val="16"/>
          <w:color w:val="004A98"/>
        </w:rPr>
      </w:pPr>
      <w:r>
        <w:rPr>
          <w:rFonts w:ascii="Arial" w:cs="Arial" w:eastAsia="Arial" w:hAnsi="Arial"/>
          <w:sz w:val="16"/>
          <w:szCs w:val="16"/>
          <w:color w:val="auto"/>
        </w:rPr>
        <w:t>Each share of our common stock is entitled to one vote.</w:t>
      </w:r>
    </w:p>
    <w:p>
      <w:pPr>
        <w:spacing w:after="0" w:line="126" w:lineRule="exact"/>
        <w:rPr>
          <w:rFonts w:ascii="Arial" w:cs="Arial" w:eastAsia="Arial" w:hAnsi="Arial"/>
          <w:sz w:val="16"/>
          <w:szCs w:val="16"/>
          <w:color w:val="004A98"/>
        </w:rPr>
      </w:pPr>
    </w:p>
    <w:p>
      <w:pPr>
        <w:ind w:left="171" w:hanging="171"/>
        <w:spacing w:after="0"/>
        <w:tabs>
          <w:tab w:leader="none" w:pos="171" w:val="left"/>
        </w:tabs>
        <w:numPr>
          <w:ilvl w:val="0"/>
          <w:numId w:val="10"/>
        </w:numPr>
        <w:rPr>
          <w:rFonts w:ascii="Arial" w:cs="Arial" w:eastAsia="Arial" w:hAnsi="Arial"/>
          <w:sz w:val="16"/>
          <w:szCs w:val="16"/>
          <w:color w:val="004A98"/>
        </w:rPr>
      </w:pPr>
      <w:r>
        <w:rPr>
          <w:rFonts w:ascii="Arial" w:cs="Arial" w:eastAsia="Arial" w:hAnsi="Arial"/>
          <w:sz w:val="16"/>
          <w:szCs w:val="16"/>
          <w:color w:val="auto"/>
        </w:rPr>
        <w:t>The Board evaluates the Board leadership structure annually.</w:t>
      </w:r>
    </w:p>
    <w:p>
      <w:pPr>
        <w:spacing w:after="0" w:line="72" w:lineRule="exact"/>
        <w:rPr>
          <w:rFonts w:ascii="Arial" w:cs="Arial" w:eastAsia="Arial" w:hAnsi="Arial"/>
          <w:sz w:val="16"/>
          <w:szCs w:val="16"/>
          <w:color w:val="004A98"/>
        </w:rPr>
      </w:pPr>
    </w:p>
    <w:p>
      <w:pPr>
        <w:ind w:left="191" w:right="240" w:hanging="191"/>
        <w:spacing w:after="0" w:line="286" w:lineRule="auto"/>
        <w:tabs>
          <w:tab w:leader="none" w:pos="161" w:val="left"/>
        </w:tabs>
        <w:numPr>
          <w:ilvl w:val="0"/>
          <w:numId w:val="10"/>
        </w:numPr>
        <w:rPr>
          <w:rFonts w:ascii="Arial" w:cs="Arial" w:eastAsia="Arial" w:hAnsi="Arial"/>
          <w:sz w:val="16"/>
          <w:szCs w:val="16"/>
          <w:color w:val="004A98"/>
        </w:rPr>
      </w:pPr>
      <w:r>
        <w:rPr>
          <w:rFonts w:ascii="Arial" w:cs="Arial" w:eastAsia="Arial" w:hAnsi="Arial"/>
          <w:sz w:val="16"/>
          <w:szCs w:val="16"/>
          <w:color w:val="auto"/>
        </w:rPr>
        <w:t>The Board conducts an annual self-evaluation to determine whether it and its committees are functioning effectively.</w:t>
      </w:r>
    </w:p>
    <w:p>
      <w:pPr>
        <w:spacing w:after="0" w:line="20" w:lineRule="exact"/>
        <w:rPr>
          <w:rFonts w:ascii="Arial" w:cs="Arial" w:eastAsia="Arial" w:hAnsi="Arial"/>
          <w:sz w:val="16"/>
          <w:szCs w:val="16"/>
          <w:color w:val="004A98"/>
        </w:rPr>
      </w:pPr>
    </w:p>
    <w:p>
      <w:pPr>
        <w:ind w:left="171" w:hanging="171"/>
        <w:spacing w:after="0"/>
        <w:tabs>
          <w:tab w:leader="none" w:pos="171" w:val="left"/>
        </w:tabs>
        <w:numPr>
          <w:ilvl w:val="0"/>
          <w:numId w:val="10"/>
        </w:numPr>
        <w:rPr>
          <w:rFonts w:ascii="Arial" w:cs="Arial" w:eastAsia="Arial" w:hAnsi="Arial"/>
          <w:sz w:val="16"/>
          <w:szCs w:val="16"/>
          <w:color w:val="004A98"/>
        </w:rPr>
      </w:pPr>
      <w:r>
        <w:rPr>
          <w:rFonts w:ascii="Arial" w:cs="Arial" w:eastAsia="Arial" w:hAnsi="Arial"/>
          <w:sz w:val="16"/>
          <w:szCs w:val="16"/>
          <w:color w:val="auto"/>
        </w:rPr>
        <w:t>We do not have a stockholder rights plan, or “poison pill,” in place.</w:t>
      </w:r>
    </w:p>
    <w:p>
      <w:pPr>
        <w:spacing w:after="0" w:line="72" w:lineRule="exact"/>
        <w:rPr>
          <w:rFonts w:ascii="Arial" w:cs="Arial" w:eastAsia="Arial" w:hAnsi="Arial"/>
          <w:sz w:val="16"/>
          <w:szCs w:val="16"/>
          <w:color w:val="004A98"/>
        </w:rPr>
      </w:pPr>
    </w:p>
    <w:p>
      <w:pPr>
        <w:ind w:left="191" w:right="180" w:hanging="191"/>
        <w:spacing w:after="0" w:line="286" w:lineRule="auto"/>
        <w:tabs>
          <w:tab w:leader="none" w:pos="161" w:val="left"/>
        </w:tabs>
        <w:numPr>
          <w:ilvl w:val="0"/>
          <w:numId w:val="10"/>
        </w:numPr>
        <w:rPr>
          <w:rFonts w:ascii="Arial" w:cs="Arial" w:eastAsia="Arial" w:hAnsi="Arial"/>
          <w:sz w:val="16"/>
          <w:szCs w:val="16"/>
          <w:color w:val="004A98"/>
        </w:rPr>
      </w:pPr>
      <w:r>
        <w:rPr>
          <w:rFonts w:ascii="Arial" w:cs="Arial" w:eastAsia="Arial" w:hAnsi="Arial"/>
          <w:sz w:val="16"/>
          <w:szCs w:val="16"/>
          <w:color w:val="auto"/>
        </w:rPr>
        <w:t>Stockholders have the opportunity to ratify the Audit Committee’s selection of our independent registered public accounting firm annually.</w:t>
      </w:r>
    </w:p>
    <w:p>
      <w:pPr>
        <w:spacing w:after="0" w:line="20" w:lineRule="exact"/>
        <w:rPr>
          <w:rFonts w:ascii="Arial" w:cs="Arial" w:eastAsia="Arial" w:hAnsi="Arial"/>
          <w:sz w:val="16"/>
          <w:szCs w:val="16"/>
          <w:color w:val="004A98"/>
        </w:rPr>
      </w:pPr>
    </w:p>
    <w:p>
      <w:pPr>
        <w:ind w:left="171" w:hanging="171"/>
        <w:spacing w:after="0"/>
        <w:tabs>
          <w:tab w:leader="none" w:pos="171" w:val="left"/>
        </w:tabs>
        <w:numPr>
          <w:ilvl w:val="0"/>
          <w:numId w:val="10"/>
        </w:numPr>
        <w:rPr>
          <w:rFonts w:ascii="Arial" w:cs="Arial" w:eastAsia="Arial" w:hAnsi="Arial"/>
          <w:sz w:val="16"/>
          <w:szCs w:val="16"/>
          <w:color w:val="004A98"/>
        </w:rPr>
      </w:pPr>
      <w:r>
        <w:rPr>
          <w:rFonts w:ascii="Arial" w:cs="Arial" w:eastAsia="Arial" w:hAnsi="Arial"/>
          <w:sz w:val="16"/>
          <w:szCs w:val="16"/>
          <w:color w:val="auto"/>
        </w:rPr>
        <w:t>Directors and executives are subject to a stock retention policy.</w:t>
      </w:r>
    </w:p>
    <w:p>
      <w:pPr>
        <w:spacing w:after="0" w:line="153" w:lineRule="exact"/>
        <w:rPr>
          <w:rFonts w:ascii="Arial" w:cs="Arial" w:eastAsia="Arial" w:hAnsi="Arial"/>
          <w:sz w:val="16"/>
          <w:szCs w:val="16"/>
          <w:color w:val="004A98"/>
        </w:rPr>
      </w:pPr>
    </w:p>
    <w:p>
      <w:pPr>
        <w:ind w:left="191" w:hanging="191"/>
        <w:spacing w:after="0" w:line="275" w:lineRule="auto"/>
        <w:tabs>
          <w:tab w:leader="none" w:pos="161" w:val="left"/>
        </w:tabs>
        <w:numPr>
          <w:ilvl w:val="0"/>
          <w:numId w:val="10"/>
        </w:numPr>
        <w:rPr>
          <w:rFonts w:ascii="Arial" w:cs="Arial" w:eastAsia="Arial" w:hAnsi="Arial"/>
          <w:sz w:val="16"/>
          <w:szCs w:val="16"/>
          <w:color w:val="004A98"/>
        </w:rPr>
      </w:pPr>
      <w:r>
        <w:rPr>
          <w:rFonts w:ascii="Arial" w:cs="Arial" w:eastAsia="Arial" w:hAnsi="Arial"/>
          <w:sz w:val="16"/>
          <w:szCs w:val="16"/>
          <w:color w:val="auto"/>
        </w:rPr>
        <w:t>In response to stockholder feedback, we adopted our Political Contributions Policy, which formally established our general prohibition against direct political contributions by the Company to candidates, political parties, campaign committees, and political action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wp:posOffset>
            </wp:positionV>
            <wp:extent cx="45516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5516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-417830</wp:posOffset>
            </wp:positionV>
            <wp:extent cx="45516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5516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-631825</wp:posOffset>
            </wp:positionV>
            <wp:extent cx="45516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516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-923290</wp:posOffset>
            </wp:positionV>
            <wp:extent cx="455168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5516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-1086485</wp:posOffset>
            </wp:positionV>
            <wp:extent cx="45516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5516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-1377950</wp:posOffset>
            </wp:positionV>
            <wp:extent cx="45516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5516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-1540510</wp:posOffset>
            </wp:positionV>
            <wp:extent cx="45516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5516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-1755140</wp:posOffset>
            </wp:positionV>
            <wp:extent cx="45516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5516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-1917700</wp:posOffset>
            </wp:positionV>
            <wp:extent cx="45516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5516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-2466340</wp:posOffset>
            </wp:positionV>
            <wp:extent cx="45516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551680" cy="889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-3143885</wp:posOffset>
            </wp:positionV>
            <wp:extent cx="45516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5516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-3306445</wp:posOffset>
            </wp:positionV>
            <wp:extent cx="45516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5516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-3597910</wp:posOffset>
            </wp:positionV>
            <wp:extent cx="45516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55168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-3761105</wp:posOffset>
            </wp:positionV>
            <wp:extent cx="455168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55168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69" w:space="720"/>
            <w:col w:w="7071"/>
          </w:cols>
          <w:pgMar w:left="320" w:top="121" w:right="419" w:bottom="1440" w:gutter="0" w:footer="0" w:header="0"/>
          <w:type w:val="continuous"/>
        </w:sectPr>
      </w:pPr>
    </w:p>
    <w:p>
      <w:pPr>
        <w:spacing w:after="0" w:line="360" w:lineRule="exact"/>
        <w:rPr>
          <w:sz w:val="20"/>
          <w:szCs w:val="20"/>
          <w:color w:val="auto"/>
        </w:rPr>
      </w:pPr>
    </w:p>
    <w:p>
      <w:pPr>
        <w:ind w:left="460" w:hanging="434"/>
        <w:spacing w:after="0"/>
        <w:tabs>
          <w:tab w:leader="none" w:pos="460" w:val="left"/>
        </w:tabs>
        <w:numPr>
          <w:ilvl w:val="0"/>
          <w:numId w:val="11"/>
        </w:numPr>
        <w:rPr>
          <w:rFonts w:ascii="Arial" w:cs="Arial" w:eastAsia="Arial" w:hAnsi="Arial"/>
          <w:sz w:val="14"/>
          <w:szCs w:val="14"/>
          <w:b w:val="1"/>
          <w:bCs w:val="1"/>
          <w:color w:val="004A98"/>
        </w:rPr>
      </w:pP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21" w:right="419" w:bottom="1440" w:gutter="0" w:footer="0" w:header="0"/>
          <w:type w:val="continuous"/>
        </w:sectPr>
      </w:pPr>
    </w:p>
    <w:bookmarkStart w:id="9" w:name="page10"/>
    <w:bookmarkEnd w:id="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Voting Roadmap</w:t>
      </w:r>
    </w:p>
    <w:p>
      <w:pPr>
        <w:spacing w:after="0" w:line="200" w:lineRule="exact"/>
        <w:rPr>
          <w:sz w:val="20"/>
          <w:szCs w:val="20"/>
          <w:color w:val="auto"/>
        </w:rPr>
      </w:pPr>
    </w:p>
    <w:p>
      <w:pPr>
        <w:spacing w:after="0" w:line="205"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362710" cy="1454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62710" cy="145415"/>
                    </a:xfrm>
                    <a:prstGeom prst="rect">
                      <a:avLst/>
                    </a:prstGeom>
                    <a:noFill/>
                  </pic:spPr>
                </pic:pic>
              </a:graphicData>
            </a:graphic>
          </wp:anchor>
        </w:drawing>
      </w:r>
    </w:p>
    <w:p>
      <w:pPr>
        <w:spacing w:after="0" w:line="99"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Advisory Vote to Approve 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120015</wp:posOffset>
            </wp:positionV>
            <wp:extent cx="7149465" cy="3511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35115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121" w:lineRule="exact"/>
        <w:rPr>
          <w:sz w:val="20"/>
          <w:szCs w:val="20"/>
          <w:color w:val="auto"/>
        </w:rPr>
      </w:pPr>
    </w:p>
    <w:p>
      <w:pPr>
        <w:spacing w:after="0"/>
        <w:rPr>
          <w:sz w:val="20"/>
          <w:szCs w:val="20"/>
          <w:color w:val="auto"/>
        </w:rPr>
      </w:pPr>
      <w:r>
        <w:rPr>
          <w:sz w:val="1"/>
          <w:szCs w:val="1"/>
          <w:color w:val="auto"/>
        </w:rPr>
        <w:drawing>
          <wp:inline distT="0" distB="0" distL="0" distR="0">
            <wp:extent cx="17145" cy="351155"/>
            <wp:effectExtent l="0" t="0" r="0" b="0"/>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7145" cy="351155"/>
                    </a:xfrm>
                    <a:prstGeom prst="rect">
                      <a:avLst/>
                    </a:prstGeom>
                    <a:noFill/>
                    <a:ln>
                      <a:noFill/>
                    </a:ln>
                  </pic:spPr>
                </pic:pic>
              </a:graphicData>
            </a:graphic>
          </wp:inline>
        </w:drawing>
        <w:drawing>
          <wp:inline distT="0" distB="0" distL="0" distR="0">
            <wp:extent cx="257175" cy="257175"/>
            <wp:effectExtent l="0" t="0" r="0" b="0"/>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57175" cy="257175"/>
                    </a:xfrm>
                    <a:prstGeom prst="rect">
                      <a:avLst/>
                    </a:prstGeom>
                    <a:noFill/>
                    <a:ln>
                      <a:noFill/>
                    </a:ln>
                  </pic:spPr>
                </pic:pic>
              </a:graphicData>
            </a:graphic>
          </wp:inline>
        </w:drawing>
      </w:r>
      <w:r>
        <w:rPr>
          <w:rFonts w:ascii="Arial" w:cs="Arial" w:eastAsia="Arial" w:hAnsi="Arial"/>
          <w:sz w:val="32"/>
          <w:szCs w:val="32"/>
          <w:b w:val="1"/>
          <w:bCs w:val="1"/>
          <w:color w:val="004A98"/>
        </w:rPr>
        <w:t xml:space="preserve"> FOR</w:t>
      </w:r>
    </w:p>
    <w:p>
      <w:pPr>
        <w:spacing w:after="0" w:line="20" w:lineRule="exact"/>
        <w:rPr>
          <w:sz w:val="20"/>
          <w:szCs w:val="20"/>
          <w:color w:val="auto"/>
        </w:rPr>
      </w:pPr>
      <w:r>
        <w:rPr>
          <w:sz w:val="20"/>
          <w:szCs w:val="20"/>
          <w:color w:val="auto"/>
        </w:rPr>
        <w:br w:type="column"/>
      </w:r>
    </w:p>
    <w:p>
      <w:pPr>
        <w:spacing w:after="0" w:line="330" w:lineRule="exact"/>
        <w:rPr>
          <w:sz w:val="20"/>
          <w:szCs w:val="20"/>
          <w:color w:val="auto"/>
        </w:rPr>
      </w:pPr>
    </w:p>
    <w:p>
      <w:pPr>
        <w:spacing w:after="0"/>
        <w:tabs>
          <w:tab w:leader="none" w:pos="7600" w:val="left"/>
        </w:tabs>
        <w:rPr>
          <w:sz w:val="20"/>
          <w:szCs w:val="20"/>
          <w:color w:val="auto"/>
        </w:rPr>
      </w:pPr>
      <w:r>
        <w:rPr>
          <w:rFonts w:ascii="Arial" w:cs="Arial" w:eastAsia="Arial" w:hAnsi="Arial"/>
          <w:sz w:val="16"/>
          <w:szCs w:val="16"/>
          <w:b w:val="1"/>
          <w:bCs w:val="1"/>
          <w:color w:val="004A98"/>
        </w:rPr>
        <w:t>The Board recommends a vote FOR this proposal.</w:t>
      </w:r>
      <w:r>
        <w:rPr>
          <w:sz w:val="20"/>
          <w:szCs w:val="20"/>
          <w:color w:val="auto"/>
        </w:rPr>
        <w:tab/>
      </w:r>
      <w:r>
        <w:rPr>
          <w:rFonts w:ascii="Arial" w:cs="Arial" w:eastAsia="Arial" w:hAnsi="Arial"/>
          <w:sz w:val="16"/>
          <w:szCs w:val="16"/>
          <w:b w:val="1"/>
          <w:bCs w:val="1"/>
          <w:color w:val="004A98"/>
        </w:rPr>
        <w:t>See page 24</w:t>
      </w:r>
    </w:p>
    <w:p>
      <w:pPr>
        <w:spacing w:after="0" w:line="408" w:lineRule="exact"/>
        <w:rPr>
          <w:sz w:val="20"/>
          <w:szCs w:val="20"/>
          <w:color w:val="auto"/>
        </w:rPr>
      </w:pPr>
    </w:p>
    <w:p>
      <w:pPr>
        <w:sectPr>
          <w:pgSz w:w="11900" w:h="16838" w:orient="portrait"/>
          <w:cols w:equalWidth="0" w:num="2">
            <w:col w:w="1360" w:space="720"/>
            <w:col w:w="9160"/>
          </w:cols>
          <w:pgMar w:left="320" w:top="121" w:right="339" w:bottom="1440" w:gutter="0" w:footer="0" w:header="0"/>
          <w:type w:val="continuous"/>
        </w:sectPr>
      </w:pPr>
    </w:p>
    <w:p>
      <w:pPr>
        <w:spacing w:after="0" w:line="188"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Compensation Framework</w:t>
      </w:r>
    </w:p>
    <w:p>
      <w:pPr>
        <w:spacing w:after="0" w:line="148" w:lineRule="exact"/>
        <w:rPr>
          <w:sz w:val="20"/>
          <w:szCs w:val="20"/>
          <w:color w:val="auto"/>
        </w:rPr>
      </w:pPr>
    </w:p>
    <w:p>
      <w:pPr>
        <w:ind w:right="160"/>
        <w:spacing w:after="0" w:line="266" w:lineRule="auto"/>
        <w:rPr>
          <w:sz w:val="20"/>
          <w:szCs w:val="20"/>
          <w:color w:val="auto"/>
        </w:rPr>
      </w:pPr>
      <w:r>
        <w:rPr>
          <w:rFonts w:ascii="Arial" w:cs="Arial" w:eastAsia="Arial" w:hAnsi="Arial"/>
          <w:sz w:val="16"/>
          <w:szCs w:val="16"/>
          <w:color w:val="auto"/>
        </w:rPr>
        <w:t>The chart below shows the three main elements of our executive compensation program, including the percentage that each element comprised in our CEO’s 2024 pay mix at target and our other NEOs’ 2024 average pay mix at target, our objectives for each element of compensation, the factors we use to determine compensation amounts and performance measures.</w:t>
      </w:r>
    </w:p>
    <w:p>
      <w:pPr>
        <w:sectPr>
          <w:pgSz w:w="11900" w:h="16838" w:orient="portrait"/>
          <w:cols w:equalWidth="0" w:num="1">
            <w:col w:w="11240"/>
          </w:cols>
          <w:pgMar w:left="320" w:top="121" w:right="339" w:bottom="1440" w:gutter="0" w:footer="0" w:header="0"/>
          <w:type w:val="continuous"/>
        </w:sectPr>
      </w:pP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78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ELEMENT</w:t>
            </w:r>
          </w:p>
        </w:tc>
        <w:tc>
          <w:tcPr>
            <w:tcW w:w="1660" w:type="dxa"/>
            <w:vAlign w:val="bottom"/>
            <w:tcBorders>
              <w:bottom w:val="single" w:sz="8" w:color="auto"/>
            </w:tcBorders>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24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OBJECTIVE</w:t>
            </w:r>
          </w:p>
        </w:tc>
      </w:tr>
      <w:tr>
        <w:trPr>
          <w:trHeight w:val="169"/>
        </w:trPr>
        <w:tc>
          <w:tcPr>
            <w:tcW w:w="1780" w:type="dxa"/>
            <w:vAlign w:val="bottom"/>
            <w:tcBorders>
              <w:bottom w:val="single" w:sz="8" w:color="auto"/>
              <w:right w:val="single" w:sz="8" w:color="auto"/>
            </w:tcBorders>
          </w:tcPr>
          <w:p>
            <w:pPr>
              <w:ind w:left="60"/>
              <w:spacing w:after="0" w:line="169" w:lineRule="exact"/>
              <w:rPr>
                <w:sz w:val="20"/>
                <w:szCs w:val="20"/>
                <w:color w:val="auto"/>
              </w:rPr>
            </w:pPr>
            <w:r>
              <w:rPr>
                <w:rFonts w:ascii="Arial" w:cs="Arial" w:eastAsia="Arial" w:hAnsi="Arial"/>
                <w:sz w:val="13"/>
                <w:szCs w:val="13"/>
                <w:b w:val="1"/>
                <w:bCs w:val="1"/>
                <w:color w:val="auto"/>
              </w:rPr>
              <w:t xml:space="preserve">CEO </w:t>
            </w:r>
            <w:r>
              <w:rPr>
                <w:rFonts w:ascii="Arial" w:cs="Arial" w:eastAsia="Arial" w:hAnsi="Arial"/>
                <w:sz w:val="16"/>
                <w:szCs w:val="16"/>
                <w:b w:val="1"/>
                <w:bCs w:val="1"/>
                <w:color w:val="auto"/>
                <w:vertAlign w:val="superscript"/>
              </w:rPr>
              <w:t>(1)</w:t>
            </w:r>
          </w:p>
        </w:tc>
        <w:tc>
          <w:tcPr>
            <w:tcW w:w="166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Other NEOs (Average)</w:t>
            </w:r>
          </w:p>
        </w:tc>
        <w:tc>
          <w:tcPr>
            <w:tcW w:w="120" w:type="dxa"/>
            <w:vAlign w:val="bottom"/>
          </w:tcPr>
          <w:p>
            <w:pPr>
              <w:spacing w:after="0"/>
              <w:rPr>
                <w:sz w:val="14"/>
                <w:szCs w:val="14"/>
                <w:color w:val="auto"/>
              </w:rPr>
            </w:pPr>
          </w:p>
        </w:tc>
        <w:tc>
          <w:tcPr>
            <w:tcW w:w="2440" w:type="dxa"/>
            <w:vAlign w:val="bottom"/>
          </w:tcPr>
          <w:p>
            <w:pPr>
              <w:spacing w:after="0"/>
              <w:rPr>
                <w:sz w:val="14"/>
                <w:szCs w:val="14"/>
                <w:color w:val="auto"/>
              </w:rPr>
            </w:pPr>
          </w:p>
        </w:tc>
      </w:tr>
      <w:tr>
        <w:trPr>
          <w:trHeight w:val="178"/>
        </w:trPr>
        <w:tc>
          <w:tcPr>
            <w:tcW w:w="1780" w:type="dxa"/>
            <w:vAlign w:val="bottom"/>
          </w:tcPr>
          <w:p>
            <w:pPr>
              <w:ind w:left="20"/>
              <w:spacing w:after="0"/>
              <w:rPr>
                <w:sz w:val="20"/>
                <w:szCs w:val="20"/>
                <w:color w:val="auto"/>
              </w:rPr>
            </w:pPr>
            <w:r>
              <w:rPr>
                <w:rFonts w:ascii="Arial" w:cs="Arial" w:eastAsia="Arial" w:hAnsi="Arial"/>
                <w:sz w:val="14"/>
                <w:szCs w:val="14"/>
                <w:b w:val="1"/>
                <w:bCs w:val="1"/>
                <w:color w:val="004A98"/>
              </w:rPr>
              <w:t>Base Salary</w:t>
            </w:r>
          </w:p>
        </w:tc>
        <w:tc>
          <w:tcPr>
            <w:tcW w:w="16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40" w:type="dxa"/>
            <w:vAlign w:val="bottom"/>
          </w:tcPr>
          <w:p>
            <w:pPr>
              <w:spacing w:after="0" w:line="178" w:lineRule="exact"/>
              <w:rPr>
                <w:sz w:val="20"/>
                <w:szCs w:val="20"/>
                <w:color w:val="auto"/>
              </w:rPr>
            </w:pPr>
            <w:r>
              <w:rPr>
                <w:rFonts w:ascii="Arial" w:cs="Arial" w:eastAsia="Arial" w:hAnsi="Arial"/>
                <w:sz w:val="16"/>
                <w:szCs w:val="16"/>
                <w:color w:val="auto"/>
              </w:rPr>
              <w:t>Provide a guaranteed level of</w:t>
            </w:r>
          </w:p>
        </w:tc>
      </w:tr>
      <w:tr>
        <w:trPr>
          <w:trHeight w:val="206"/>
        </w:trPr>
        <w:tc>
          <w:tcPr>
            <w:tcW w:w="1780" w:type="dxa"/>
            <w:vAlign w:val="bottom"/>
          </w:tcPr>
          <w:p>
            <w:pPr>
              <w:ind w:left="60"/>
              <w:spacing w:after="0"/>
              <w:rPr>
                <w:sz w:val="20"/>
                <w:szCs w:val="20"/>
                <w:color w:val="auto"/>
              </w:rPr>
            </w:pPr>
            <w:r>
              <w:rPr>
                <w:rFonts w:ascii="Arial" w:cs="Arial" w:eastAsia="Arial" w:hAnsi="Arial"/>
                <w:sz w:val="13"/>
                <w:szCs w:val="13"/>
                <w:color w:val="004A98"/>
              </w:rPr>
              <w:t>(% of Pay Mix at Target)</w:t>
            </w: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40" w:type="dxa"/>
            <w:vAlign w:val="bottom"/>
          </w:tcPr>
          <w:p>
            <w:pPr>
              <w:spacing w:after="0"/>
              <w:rPr>
                <w:sz w:val="20"/>
                <w:szCs w:val="20"/>
                <w:color w:val="auto"/>
              </w:rPr>
            </w:pPr>
            <w:r>
              <w:rPr>
                <w:rFonts w:ascii="Arial" w:cs="Arial" w:eastAsia="Arial" w:hAnsi="Arial"/>
                <w:sz w:val="16"/>
                <w:szCs w:val="16"/>
                <w:color w:val="auto"/>
              </w:rPr>
              <w:t>annual income in order to attract</w:t>
            </w:r>
          </w:p>
        </w:tc>
      </w:tr>
      <w:tr>
        <w:trPr>
          <w:trHeight w:val="189"/>
        </w:trPr>
        <w:tc>
          <w:tcPr>
            <w:tcW w:w="1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tcPr>
          <w:p>
            <w:pPr>
              <w:spacing w:after="0"/>
              <w:rPr>
                <w:sz w:val="20"/>
                <w:szCs w:val="20"/>
                <w:color w:val="auto"/>
              </w:rPr>
            </w:pPr>
            <w:r>
              <w:rPr>
                <w:rFonts w:ascii="Arial" w:cs="Arial" w:eastAsia="Arial" w:hAnsi="Arial"/>
                <w:sz w:val="16"/>
                <w:szCs w:val="16"/>
                <w:color w:val="auto"/>
              </w:rPr>
              <w:t>and retain our executive talent.</w:t>
            </w:r>
          </w:p>
        </w:tc>
      </w:tr>
      <w:tr>
        <w:trPr>
          <w:trHeight w:val="189"/>
        </w:trPr>
        <w:tc>
          <w:tcPr>
            <w:tcW w:w="178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tcPr>
          <w:p>
            <w:pPr>
              <w:spacing w:after="0"/>
              <w:rPr>
                <w:sz w:val="20"/>
                <w:szCs w:val="20"/>
                <w:color w:val="auto"/>
              </w:rPr>
            </w:pPr>
            <w:r>
              <w:rPr>
                <w:rFonts w:ascii="Arial" w:cs="Arial" w:eastAsia="Arial" w:hAnsi="Arial"/>
                <w:sz w:val="16"/>
                <w:szCs w:val="16"/>
                <w:color w:val="auto"/>
              </w:rPr>
              <w:t>Increases are not automatic or</w:t>
            </w:r>
          </w:p>
        </w:tc>
      </w:tr>
      <w:tr>
        <w:trPr>
          <w:trHeight w:val="215"/>
        </w:trPr>
        <w:tc>
          <w:tcPr>
            <w:tcW w:w="17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tcPr>
          <w:p>
            <w:pPr>
              <w:spacing w:after="0"/>
              <w:rPr>
                <w:sz w:val="20"/>
                <w:szCs w:val="20"/>
                <w:color w:val="auto"/>
              </w:rPr>
            </w:pPr>
            <w:r>
              <w:rPr>
                <w:rFonts w:ascii="Arial" w:cs="Arial" w:eastAsia="Arial" w:hAnsi="Arial"/>
                <w:sz w:val="16"/>
                <w:szCs w:val="16"/>
                <w:color w:val="auto"/>
              </w:rPr>
              <w:t>guaranteed.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142240</wp:posOffset>
            </wp:positionH>
            <wp:positionV relativeFrom="paragraph">
              <wp:posOffset>-383540</wp:posOffset>
            </wp:positionV>
            <wp:extent cx="1920240" cy="8229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920240" cy="8229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8" w:lineRule="exact"/>
        <w:rPr>
          <w:sz w:val="20"/>
          <w:szCs w:val="20"/>
          <w:color w:val="auto"/>
        </w:rPr>
      </w:pPr>
    </w:p>
    <w:p>
      <w:pPr>
        <w:spacing w:after="0" w:line="1" w:lineRule="exact"/>
        <w:rPr>
          <w:sz w:val="1"/>
          <w:szCs w:val="1"/>
          <w:color w:val="auto"/>
        </w:rPr>
      </w:pPr>
    </w:p>
    <w:tbl>
      <w:tblPr>
        <w:tblLayout w:type="fixed"/>
        <w:tblInd w:w="10" w:type="dxa"/>
        <w:tblCellMar>
          <w:top w:w="0" w:type="dxa"/>
          <w:left w:w="0" w:type="dxa"/>
          <w:bottom w:w="0" w:type="dxa"/>
          <w:right w:w="0" w:type="dxa"/>
        </w:tblCellMar>
      </w:tblPr>
      <w:tr>
        <w:trPr>
          <w:trHeight w:val="176"/>
        </w:trPr>
        <w:tc>
          <w:tcPr>
            <w:tcW w:w="2940" w:type="dxa"/>
            <w:vAlign w:val="bottom"/>
            <w:tcBorders>
              <w:left w:val="single" w:sz="8" w:color="auto"/>
              <w:bottom w:val="single" w:sz="8" w:color="auto"/>
            </w:tcBorders>
          </w:tcPr>
          <w:p>
            <w:pPr>
              <w:ind w:left="60"/>
              <w:spacing w:after="0"/>
              <w:rPr>
                <w:sz w:val="20"/>
                <w:szCs w:val="20"/>
                <w:color w:val="auto"/>
              </w:rPr>
            </w:pPr>
            <w:r>
              <w:rPr>
                <w:rFonts w:ascii="Arial" w:cs="Arial" w:eastAsia="Arial" w:hAnsi="Arial"/>
                <w:sz w:val="13"/>
                <w:szCs w:val="13"/>
                <w:b w:val="1"/>
                <w:bCs w:val="1"/>
                <w:color w:val="auto"/>
              </w:rPr>
              <w:t>FACTORS</w:t>
            </w:r>
          </w:p>
        </w:tc>
        <w:tc>
          <w:tcPr>
            <w:tcW w:w="120" w:type="dxa"/>
            <w:vAlign w:val="bottom"/>
            <w:tcBorders>
              <w:right w:val="single" w:sz="8" w:color="auto"/>
            </w:tcBorders>
          </w:tcPr>
          <w:p>
            <w:pPr>
              <w:spacing w:after="0"/>
              <w:rPr>
                <w:sz w:val="15"/>
                <w:szCs w:val="15"/>
                <w:color w:val="auto"/>
              </w:rPr>
            </w:pPr>
          </w:p>
        </w:tc>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MEASURES</w:t>
            </w:r>
          </w:p>
        </w:tc>
      </w:tr>
    </w:tbl>
    <w:p>
      <w:pPr>
        <w:spacing w:after="0" w:line="215" w:lineRule="exact"/>
        <w:rPr>
          <w:sz w:val="20"/>
          <w:szCs w:val="20"/>
          <w:color w:val="auto"/>
        </w:rPr>
      </w:pPr>
    </w:p>
    <w:p>
      <w:pPr>
        <w:ind w:left="180" w:hanging="166"/>
        <w:spacing w:after="0"/>
        <w:tabs>
          <w:tab w:leader="none" w:pos="180" w:val="left"/>
        </w:tabs>
        <w:numPr>
          <w:ilvl w:val="0"/>
          <w:numId w:val="12"/>
        </w:numPr>
        <w:rPr>
          <w:rFonts w:ascii="Arial" w:cs="Arial" w:eastAsia="Arial" w:hAnsi="Arial"/>
          <w:sz w:val="16"/>
          <w:szCs w:val="16"/>
          <w:color w:val="004A98"/>
        </w:rPr>
      </w:pPr>
      <w:r>
        <w:rPr>
          <w:rFonts w:ascii="Arial" w:cs="Arial" w:eastAsia="Arial" w:hAnsi="Arial"/>
          <w:sz w:val="16"/>
          <w:szCs w:val="16"/>
          <w:color w:val="auto"/>
        </w:rPr>
        <w:t>Job responsibilities and scope</w:t>
      </w:r>
    </w:p>
    <w:p>
      <w:pPr>
        <w:spacing w:after="0" w:line="45" w:lineRule="exact"/>
        <w:rPr>
          <w:rFonts w:ascii="Arial" w:cs="Arial" w:eastAsia="Arial" w:hAnsi="Arial"/>
          <w:sz w:val="16"/>
          <w:szCs w:val="16"/>
          <w:color w:val="004A98"/>
        </w:rPr>
      </w:pPr>
    </w:p>
    <w:p>
      <w:pPr>
        <w:ind w:left="180" w:hanging="166"/>
        <w:spacing w:after="0"/>
        <w:tabs>
          <w:tab w:leader="none" w:pos="180" w:val="left"/>
        </w:tabs>
        <w:numPr>
          <w:ilvl w:val="0"/>
          <w:numId w:val="12"/>
        </w:numPr>
        <w:rPr>
          <w:rFonts w:ascii="Arial" w:cs="Arial" w:eastAsia="Arial" w:hAnsi="Arial"/>
          <w:sz w:val="16"/>
          <w:szCs w:val="16"/>
          <w:color w:val="004A98"/>
        </w:rPr>
      </w:pPr>
      <w:r>
        <w:rPr>
          <w:rFonts w:ascii="Arial" w:cs="Arial" w:eastAsia="Arial" w:hAnsi="Arial"/>
          <w:sz w:val="16"/>
          <w:szCs w:val="16"/>
          <w:color w:val="auto"/>
        </w:rPr>
        <w:t>Experience</w:t>
      </w:r>
    </w:p>
    <w:p>
      <w:pPr>
        <w:spacing w:after="0" w:line="45" w:lineRule="exact"/>
        <w:rPr>
          <w:rFonts w:ascii="Arial" w:cs="Arial" w:eastAsia="Arial" w:hAnsi="Arial"/>
          <w:sz w:val="16"/>
          <w:szCs w:val="16"/>
          <w:color w:val="004A98"/>
        </w:rPr>
      </w:pPr>
    </w:p>
    <w:p>
      <w:pPr>
        <w:ind w:left="180" w:hanging="166"/>
        <w:spacing w:after="0"/>
        <w:tabs>
          <w:tab w:leader="none" w:pos="180" w:val="left"/>
        </w:tabs>
        <w:numPr>
          <w:ilvl w:val="0"/>
          <w:numId w:val="12"/>
        </w:numPr>
        <w:rPr>
          <w:rFonts w:ascii="Arial" w:cs="Arial" w:eastAsia="Arial" w:hAnsi="Arial"/>
          <w:sz w:val="16"/>
          <w:szCs w:val="16"/>
          <w:color w:val="004A98"/>
        </w:rPr>
      </w:pPr>
      <w:r>
        <w:rPr>
          <w:rFonts w:ascii="Arial" w:cs="Arial" w:eastAsia="Arial" w:hAnsi="Arial"/>
          <w:sz w:val="16"/>
          <w:szCs w:val="16"/>
          <w:color w:val="auto"/>
        </w:rPr>
        <w:t>Individual contributions</w:t>
      </w:r>
    </w:p>
    <w:p>
      <w:pPr>
        <w:spacing w:after="0" w:line="59" w:lineRule="exact"/>
        <w:rPr>
          <w:rFonts w:ascii="Arial" w:cs="Arial" w:eastAsia="Arial" w:hAnsi="Arial"/>
          <w:sz w:val="16"/>
          <w:szCs w:val="16"/>
          <w:color w:val="004A98"/>
        </w:rPr>
      </w:pPr>
    </w:p>
    <w:p>
      <w:pPr>
        <w:ind w:left="200" w:right="2360" w:hanging="186"/>
        <w:spacing w:after="0" w:line="286" w:lineRule="auto"/>
        <w:tabs>
          <w:tab w:leader="none" w:pos="170" w:val="left"/>
        </w:tabs>
        <w:numPr>
          <w:ilvl w:val="0"/>
          <w:numId w:val="12"/>
        </w:numPr>
        <w:rPr>
          <w:rFonts w:ascii="Arial" w:cs="Arial" w:eastAsia="Arial" w:hAnsi="Arial"/>
          <w:sz w:val="16"/>
          <w:szCs w:val="16"/>
          <w:b w:val="1"/>
          <w:bCs w:val="1"/>
          <w:color w:val="004A98"/>
        </w:rPr>
      </w:pPr>
      <w:r>
        <w:rPr>
          <w:rFonts w:ascii="Arial" w:cs="Arial" w:eastAsia="Arial" w:hAnsi="Arial"/>
          <w:sz w:val="16"/>
          <w:szCs w:val="16"/>
          <w:color w:val="auto"/>
        </w:rPr>
        <w:t>Internal pay alignment and peer and industry benchmarking</w:t>
      </w:r>
    </w:p>
    <w:p>
      <w:pPr>
        <w:spacing w:after="0" w:line="200" w:lineRule="exact"/>
        <w:rPr>
          <w:sz w:val="20"/>
          <w:szCs w:val="20"/>
          <w:color w:val="auto"/>
        </w:rPr>
      </w:pPr>
    </w:p>
    <w:p>
      <w:pPr>
        <w:sectPr>
          <w:pgSz w:w="11900" w:h="16838" w:orient="portrait"/>
          <w:cols w:equalWidth="0" w:num="2">
            <w:col w:w="6000" w:space="100"/>
            <w:col w:w="5140"/>
          </w:cols>
          <w:pgMar w:left="320" w:top="121" w:right="339" w:bottom="1440" w:gutter="0" w:footer="0" w:header="0"/>
          <w:type w:val="continuous"/>
        </w:sect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7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CEO</w:t>
            </w:r>
          </w:p>
        </w:tc>
        <w:tc>
          <w:tcPr>
            <w:tcW w:w="16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3"/>
                <w:szCs w:val="13"/>
                <w:b w:val="1"/>
                <w:bCs w:val="1"/>
                <w:color w:val="auto"/>
              </w:rPr>
              <w:t>Other NEOs (Average)</w:t>
            </w:r>
          </w:p>
        </w:tc>
        <w:tc>
          <w:tcPr>
            <w:tcW w:w="100" w:type="dxa"/>
            <w:vAlign w:val="bottom"/>
          </w:tcPr>
          <w:p>
            <w:pPr>
              <w:spacing w:after="0"/>
              <w:rPr>
                <w:sz w:val="16"/>
                <w:szCs w:val="16"/>
                <w:color w:val="auto"/>
              </w:rPr>
            </w:pPr>
          </w:p>
        </w:tc>
        <w:tc>
          <w:tcPr>
            <w:tcW w:w="2460" w:type="dxa"/>
            <w:vAlign w:val="bottom"/>
            <w:tcBorders>
              <w:top w:val="single" w:sz="8" w:color="939598"/>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939598"/>
            </w:tcBorders>
          </w:tcPr>
          <w:p>
            <w:pPr>
              <w:spacing w:after="0"/>
              <w:rPr>
                <w:sz w:val="16"/>
                <w:szCs w:val="16"/>
                <w:color w:val="auto"/>
              </w:rPr>
            </w:pPr>
          </w:p>
        </w:tc>
        <w:tc>
          <w:tcPr>
            <w:tcW w:w="2820" w:type="dxa"/>
            <w:vAlign w:val="bottom"/>
            <w:tcBorders>
              <w:top w:val="single" w:sz="8" w:color="939598"/>
            </w:tcBorders>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Borders>
              <w:top w:val="single" w:sz="8" w:color="939598"/>
            </w:tcBorders>
          </w:tcPr>
          <w:p>
            <w:pPr>
              <w:spacing w:after="0"/>
              <w:rPr>
                <w:sz w:val="16"/>
                <w:szCs w:val="16"/>
                <w:color w:val="auto"/>
              </w:rPr>
            </w:pPr>
          </w:p>
        </w:tc>
        <w:tc>
          <w:tcPr>
            <w:tcW w:w="1980" w:type="dxa"/>
            <w:vAlign w:val="bottom"/>
            <w:tcBorders>
              <w:top w:val="single" w:sz="8" w:color="939598"/>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780" w:type="dxa"/>
            <w:vAlign w:val="bottom"/>
          </w:tcPr>
          <w:p>
            <w:pPr>
              <w:ind w:left="20"/>
              <w:spacing w:after="0"/>
              <w:rPr>
                <w:sz w:val="20"/>
                <w:szCs w:val="20"/>
                <w:color w:val="auto"/>
              </w:rPr>
            </w:pPr>
            <w:r>
              <w:rPr>
                <w:rFonts w:ascii="Arial" w:cs="Arial" w:eastAsia="Arial" w:hAnsi="Arial"/>
                <w:sz w:val="14"/>
                <w:szCs w:val="14"/>
                <w:b w:val="1"/>
                <w:bCs w:val="1"/>
                <w:color w:val="004A98"/>
              </w:rPr>
              <w:t>Annual Incentive Bonus</w:t>
            </w:r>
          </w:p>
        </w:tc>
        <w:tc>
          <w:tcPr>
            <w:tcW w:w="1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2"/>
          </w:tcPr>
          <w:p>
            <w:pPr>
              <w:spacing w:after="0"/>
              <w:rPr>
                <w:sz w:val="20"/>
                <w:szCs w:val="20"/>
                <w:color w:val="auto"/>
              </w:rPr>
            </w:pPr>
            <w:r>
              <w:rPr>
                <w:rFonts w:ascii="Arial" w:cs="Arial" w:eastAsia="Arial" w:hAnsi="Arial"/>
                <w:sz w:val="16"/>
                <w:szCs w:val="16"/>
                <w:color w:val="auto"/>
              </w:rPr>
              <w:t>Provide a performance-based</w:t>
            </w:r>
          </w:p>
        </w:tc>
        <w:tc>
          <w:tcPr>
            <w:tcW w:w="120" w:type="dxa"/>
            <w:vAlign w:val="bottom"/>
          </w:tcPr>
          <w:p>
            <w:pPr>
              <w:ind w:left="20"/>
              <w:spacing w:after="0"/>
              <w:rPr>
                <w:sz w:val="20"/>
                <w:szCs w:val="20"/>
                <w:color w:val="auto"/>
              </w:rPr>
            </w:pPr>
            <w:r>
              <w:rPr>
                <w:rFonts w:ascii="Arial" w:cs="Arial" w:eastAsia="Arial" w:hAnsi="Arial"/>
                <w:sz w:val="16"/>
                <w:szCs w:val="16"/>
                <w:color w:val="004A98"/>
              </w:rPr>
              <w:t>•</w:t>
            </w:r>
          </w:p>
        </w:tc>
        <w:tc>
          <w:tcPr>
            <w:tcW w:w="2920" w:type="dxa"/>
            <w:vAlign w:val="bottom"/>
            <w:gridSpan w:val="2"/>
          </w:tcPr>
          <w:p>
            <w:pPr>
              <w:jc w:val="center"/>
              <w:ind w:right="1160"/>
              <w:spacing w:after="0"/>
              <w:rPr>
                <w:sz w:val="20"/>
                <w:szCs w:val="20"/>
                <w:color w:val="auto"/>
              </w:rPr>
            </w:pPr>
            <w:r>
              <w:rPr>
                <w:rFonts w:ascii="Arial" w:cs="Arial" w:eastAsia="Arial" w:hAnsi="Arial"/>
                <w:sz w:val="16"/>
                <w:szCs w:val="16"/>
                <w:color w:val="auto"/>
              </w:rPr>
              <w:t>Company performance</w:t>
            </w:r>
          </w:p>
        </w:tc>
        <w:tc>
          <w:tcPr>
            <w:tcW w:w="120" w:type="dxa"/>
            <w:vAlign w:val="bottom"/>
          </w:tcPr>
          <w:p>
            <w:pPr>
              <w:ind w:left="20"/>
              <w:spacing w:after="0"/>
              <w:rPr>
                <w:sz w:val="20"/>
                <w:szCs w:val="20"/>
                <w:color w:val="auto"/>
              </w:rPr>
            </w:pPr>
            <w:r>
              <w:rPr>
                <w:rFonts w:ascii="Arial" w:cs="Arial" w:eastAsia="Arial" w:hAnsi="Arial"/>
                <w:sz w:val="16"/>
                <w:szCs w:val="16"/>
                <w:color w:val="004A98"/>
              </w:rPr>
              <w:t>•</w:t>
            </w:r>
          </w:p>
        </w:tc>
        <w:tc>
          <w:tcPr>
            <w:tcW w:w="1980" w:type="dxa"/>
            <w:vAlign w:val="bottom"/>
          </w:tcPr>
          <w:p>
            <w:pPr>
              <w:ind w:left="60"/>
              <w:spacing w:after="0"/>
              <w:rPr>
                <w:sz w:val="20"/>
                <w:szCs w:val="20"/>
                <w:color w:val="auto"/>
              </w:rPr>
            </w:pPr>
            <w:r>
              <w:rPr>
                <w:rFonts w:ascii="Arial" w:cs="Arial" w:eastAsia="Arial" w:hAnsi="Arial"/>
                <w:sz w:val="16"/>
                <w:szCs w:val="16"/>
                <w:color w:val="auto"/>
              </w:rPr>
              <w:t>Revenue</w:t>
            </w:r>
          </w:p>
        </w:tc>
        <w:tc>
          <w:tcPr>
            <w:tcW w:w="0" w:type="dxa"/>
            <w:vAlign w:val="bottom"/>
          </w:tcPr>
          <w:p>
            <w:pPr>
              <w:spacing w:after="0"/>
              <w:rPr>
                <w:sz w:val="1"/>
                <w:szCs w:val="1"/>
                <w:color w:val="auto"/>
              </w:rPr>
            </w:pPr>
          </w:p>
        </w:tc>
      </w:tr>
      <w:tr>
        <w:trPr>
          <w:trHeight w:val="202"/>
        </w:trPr>
        <w:tc>
          <w:tcPr>
            <w:tcW w:w="1780" w:type="dxa"/>
            <w:vAlign w:val="bottom"/>
          </w:tcPr>
          <w:p>
            <w:pPr>
              <w:ind w:left="20"/>
              <w:spacing w:after="0"/>
              <w:rPr>
                <w:sz w:val="20"/>
                <w:szCs w:val="20"/>
                <w:color w:val="auto"/>
              </w:rPr>
            </w:pPr>
            <w:r>
              <w:rPr>
                <w:rFonts w:ascii="Arial" w:cs="Arial" w:eastAsia="Arial" w:hAnsi="Arial"/>
                <w:sz w:val="13"/>
                <w:szCs w:val="13"/>
                <w:color w:val="004A98"/>
              </w:rPr>
              <w:t>(% of Pay Mix at Target)</w:t>
            </w:r>
          </w:p>
        </w:tc>
        <w:tc>
          <w:tcPr>
            <w:tcW w:w="1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560" w:type="dxa"/>
            <w:vAlign w:val="bottom"/>
            <w:gridSpan w:val="2"/>
          </w:tcPr>
          <w:p>
            <w:pPr>
              <w:spacing w:after="0"/>
              <w:rPr>
                <w:sz w:val="20"/>
                <w:szCs w:val="20"/>
                <w:color w:val="auto"/>
              </w:rPr>
            </w:pPr>
            <w:r>
              <w:rPr>
                <w:rFonts w:ascii="Arial" w:cs="Arial" w:eastAsia="Arial" w:hAnsi="Arial"/>
                <w:sz w:val="16"/>
                <w:szCs w:val="16"/>
                <w:color w:val="auto"/>
              </w:rPr>
              <w:t>incentive for achieving individual</w:t>
            </w:r>
          </w:p>
        </w:tc>
        <w:tc>
          <w:tcPr>
            <w:tcW w:w="120" w:type="dxa"/>
            <w:vAlign w:val="bottom"/>
            <w:vMerge w:val="restart"/>
          </w:tcPr>
          <w:p>
            <w:pPr>
              <w:ind w:left="20"/>
              <w:spacing w:after="0"/>
              <w:rPr>
                <w:sz w:val="20"/>
                <w:szCs w:val="20"/>
                <w:color w:val="auto"/>
              </w:rPr>
            </w:pPr>
            <w:r>
              <w:rPr>
                <w:rFonts w:ascii="Arial" w:cs="Arial" w:eastAsia="Arial" w:hAnsi="Arial"/>
                <w:sz w:val="16"/>
                <w:szCs w:val="16"/>
                <w:b w:val="1"/>
                <w:bCs w:val="1"/>
                <w:color w:val="004A98"/>
              </w:rPr>
              <w:t>•</w:t>
            </w:r>
          </w:p>
        </w:tc>
        <w:tc>
          <w:tcPr>
            <w:tcW w:w="2920" w:type="dxa"/>
            <w:vAlign w:val="bottom"/>
            <w:gridSpan w:val="2"/>
            <w:vMerge w:val="restart"/>
          </w:tcPr>
          <w:p>
            <w:pPr>
              <w:jc w:val="center"/>
              <w:ind w:right="1160"/>
              <w:spacing w:after="0"/>
              <w:rPr>
                <w:sz w:val="20"/>
                <w:szCs w:val="20"/>
                <w:color w:val="auto"/>
              </w:rPr>
            </w:pPr>
            <w:r>
              <w:rPr>
                <w:rFonts w:ascii="Arial" w:cs="Arial" w:eastAsia="Arial" w:hAnsi="Arial"/>
                <w:sz w:val="16"/>
                <w:szCs w:val="16"/>
                <w:color w:val="auto"/>
              </w:rPr>
              <w:t>Individual performance</w:t>
            </w:r>
          </w:p>
        </w:tc>
        <w:tc>
          <w:tcPr>
            <w:tcW w:w="120" w:type="dxa"/>
            <w:vAlign w:val="bottom"/>
            <w:vMerge w:val="restart"/>
          </w:tcPr>
          <w:p>
            <w:pPr>
              <w:ind w:left="20"/>
              <w:spacing w:after="0"/>
              <w:rPr>
                <w:sz w:val="20"/>
                <w:szCs w:val="20"/>
                <w:color w:val="auto"/>
              </w:rPr>
            </w:pPr>
            <w:r>
              <w:rPr>
                <w:rFonts w:ascii="Arial" w:cs="Arial" w:eastAsia="Arial" w:hAnsi="Arial"/>
                <w:sz w:val="16"/>
                <w:szCs w:val="16"/>
                <w:color w:val="004A98"/>
              </w:rPr>
              <w:t>•</w:t>
            </w:r>
          </w:p>
        </w:tc>
        <w:tc>
          <w:tcPr>
            <w:tcW w:w="1980" w:type="dxa"/>
            <w:vAlign w:val="bottom"/>
            <w:vMerge w:val="restart"/>
          </w:tcPr>
          <w:p>
            <w:pPr>
              <w:ind w:left="60"/>
              <w:spacing w:after="0"/>
              <w:rPr>
                <w:sz w:val="20"/>
                <w:szCs w:val="20"/>
                <w:color w:val="auto"/>
              </w:rPr>
            </w:pPr>
            <w:r>
              <w:rPr>
                <w:rFonts w:ascii="Arial" w:cs="Arial" w:eastAsia="Arial" w:hAnsi="Arial"/>
                <w:sz w:val="16"/>
                <w:szCs w:val="16"/>
                <w:color w:val="auto"/>
              </w:rPr>
              <w:t>Operating margin</w:t>
            </w:r>
          </w:p>
        </w:tc>
        <w:tc>
          <w:tcPr>
            <w:tcW w:w="0" w:type="dxa"/>
            <w:vAlign w:val="bottom"/>
          </w:tcPr>
          <w:p>
            <w:pPr>
              <w:spacing w:after="0"/>
              <w:rPr>
                <w:sz w:val="1"/>
                <w:szCs w:val="1"/>
                <w:color w:val="auto"/>
              </w:rPr>
            </w:pPr>
          </w:p>
        </w:tc>
      </w:tr>
      <w:tr>
        <w:trPr>
          <w:trHeight w:val="88"/>
        </w:trPr>
        <w:tc>
          <w:tcPr>
            <w:tcW w:w="1780" w:type="dxa"/>
            <w:vAlign w:val="bottom"/>
          </w:tcPr>
          <w:p>
            <w:pPr>
              <w:spacing w:after="0"/>
              <w:rPr>
                <w:sz w:val="7"/>
                <w:szCs w:val="7"/>
                <w:color w:val="auto"/>
              </w:rPr>
            </w:pPr>
          </w:p>
        </w:tc>
        <w:tc>
          <w:tcPr>
            <w:tcW w:w="16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560" w:type="dxa"/>
            <w:vAlign w:val="bottom"/>
            <w:gridSpan w:val="2"/>
            <w:vMerge w:val="restart"/>
          </w:tcPr>
          <w:p>
            <w:pPr>
              <w:spacing w:after="0"/>
              <w:rPr>
                <w:sz w:val="20"/>
                <w:szCs w:val="20"/>
                <w:color w:val="auto"/>
              </w:rPr>
            </w:pPr>
            <w:r>
              <w:rPr>
                <w:rFonts w:ascii="Arial" w:cs="Arial" w:eastAsia="Arial" w:hAnsi="Arial"/>
                <w:sz w:val="16"/>
                <w:szCs w:val="16"/>
                <w:color w:val="auto"/>
              </w:rPr>
              <w:t>goals and the Company’s</w:t>
            </w:r>
          </w:p>
        </w:tc>
        <w:tc>
          <w:tcPr>
            <w:tcW w:w="120" w:type="dxa"/>
            <w:vAlign w:val="bottom"/>
            <w:vMerge w:val="continue"/>
          </w:tcPr>
          <w:p>
            <w:pPr>
              <w:spacing w:after="0"/>
              <w:rPr>
                <w:sz w:val="7"/>
                <w:szCs w:val="7"/>
                <w:color w:val="auto"/>
              </w:rPr>
            </w:pPr>
          </w:p>
        </w:tc>
        <w:tc>
          <w:tcPr>
            <w:tcW w:w="2920" w:type="dxa"/>
            <w:vAlign w:val="bottom"/>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178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60" w:type="dxa"/>
            <w:vAlign w:val="bottom"/>
            <w:gridSpan w:val="2"/>
            <w:vMerge w:val="continue"/>
          </w:tcPr>
          <w:p>
            <w:pPr>
              <w:spacing w:after="0"/>
              <w:rPr>
                <w:sz w:val="8"/>
                <w:szCs w:val="8"/>
                <w:color w:val="auto"/>
              </w:rPr>
            </w:pPr>
          </w:p>
        </w:tc>
        <w:tc>
          <w:tcPr>
            <w:tcW w:w="3040" w:type="dxa"/>
            <w:vAlign w:val="bottom"/>
            <w:gridSpan w:val="3"/>
            <w:vMerge w:val="restart"/>
          </w:tcPr>
          <w:p>
            <w:pPr>
              <w:ind w:left="20"/>
              <w:spacing w:after="0"/>
              <w:rPr>
                <w:sz w:val="20"/>
                <w:szCs w:val="20"/>
                <w:color w:val="auto"/>
              </w:rPr>
            </w:pPr>
            <w:r>
              <w:rPr>
                <w:rFonts w:ascii="Arial" w:cs="Arial" w:eastAsia="Arial" w:hAnsi="Arial"/>
                <w:sz w:val="16"/>
                <w:szCs w:val="16"/>
                <w:color w:val="004A98"/>
              </w:rPr>
              <w:t xml:space="preserve">• </w:t>
            </w:r>
            <w:r>
              <w:rPr>
                <w:rFonts w:ascii="Arial" w:cs="Arial" w:eastAsia="Arial" w:hAnsi="Arial"/>
                <w:sz w:val="16"/>
                <w:szCs w:val="16"/>
                <w:color w:val="000000"/>
              </w:rPr>
              <w:t>Internal pay alignment and peer and</w:t>
            </w:r>
          </w:p>
        </w:tc>
        <w:tc>
          <w:tcPr>
            <w:tcW w:w="120" w:type="dxa"/>
            <w:vAlign w:val="bottom"/>
          </w:tcPr>
          <w:p>
            <w:pPr>
              <w:spacing w:after="0"/>
              <w:rPr>
                <w:sz w:val="8"/>
                <w:szCs w:val="8"/>
                <w:color w:val="auto"/>
              </w:rPr>
            </w:pPr>
          </w:p>
        </w:tc>
        <w:tc>
          <w:tcPr>
            <w:tcW w:w="19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60" w:type="dxa"/>
            <w:vAlign w:val="bottom"/>
            <w:gridSpan w:val="2"/>
            <w:vMerge w:val="restart"/>
          </w:tcPr>
          <w:p>
            <w:pPr>
              <w:spacing w:after="0"/>
              <w:rPr>
                <w:sz w:val="20"/>
                <w:szCs w:val="20"/>
                <w:color w:val="auto"/>
              </w:rPr>
            </w:pPr>
            <w:r>
              <w:rPr>
                <w:rFonts w:ascii="Arial" w:cs="Arial" w:eastAsia="Arial" w:hAnsi="Arial"/>
                <w:sz w:val="16"/>
                <w:szCs w:val="16"/>
                <w:color w:val="auto"/>
              </w:rPr>
              <w:t>financial and strategic goals.</w:t>
            </w:r>
          </w:p>
        </w:tc>
        <w:tc>
          <w:tcPr>
            <w:tcW w:w="3040" w:type="dxa"/>
            <w:vAlign w:val="bottom"/>
            <w:gridSpan w:val="3"/>
            <w:vMerge w:val="continue"/>
          </w:tcPr>
          <w:p>
            <w:pPr>
              <w:spacing w:after="0"/>
              <w:rPr>
                <w:sz w:val="9"/>
                <w:szCs w:val="9"/>
                <w:color w:val="auto"/>
              </w:rPr>
            </w:pPr>
          </w:p>
        </w:tc>
        <w:tc>
          <w:tcPr>
            <w:tcW w:w="1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17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6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2"/>
            <w:vMerge w:val="restart"/>
          </w:tcPr>
          <w:p>
            <w:pPr>
              <w:jc w:val="center"/>
              <w:ind w:right="1120"/>
              <w:spacing w:after="0"/>
              <w:rPr>
                <w:sz w:val="20"/>
                <w:szCs w:val="20"/>
                <w:color w:val="auto"/>
              </w:rPr>
            </w:pPr>
            <w:r>
              <w:rPr>
                <w:rFonts w:ascii="Arial" w:cs="Arial" w:eastAsia="Arial" w:hAnsi="Arial"/>
                <w:sz w:val="16"/>
                <w:szCs w:val="16"/>
                <w:color w:val="auto"/>
              </w:rPr>
              <w:t>industry benchmarking</w:t>
            </w:r>
          </w:p>
        </w:tc>
        <w:tc>
          <w:tcPr>
            <w:tcW w:w="1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1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2920" w:type="dxa"/>
            <w:vAlign w:val="bottom"/>
            <w:gridSpan w:val="2"/>
            <w:vMerge w:val="continue"/>
          </w:tcPr>
          <w:p>
            <w:pPr>
              <w:spacing w:after="0"/>
              <w:rPr>
                <w:sz w:val="9"/>
                <w:szCs w:val="9"/>
                <w:color w:val="auto"/>
              </w:rPr>
            </w:pPr>
          </w:p>
        </w:tc>
        <w:tc>
          <w:tcPr>
            <w:tcW w:w="120" w:type="dxa"/>
            <w:vAlign w:val="bottom"/>
          </w:tcPr>
          <w:p>
            <w:pPr>
              <w:spacing w:after="0"/>
              <w:rPr>
                <w:sz w:val="9"/>
                <w:szCs w:val="9"/>
                <w:color w:val="auto"/>
              </w:rPr>
            </w:pPr>
          </w:p>
        </w:tc>
        <w:tc>
          <w:tcPr>
            <w:tcW w:w="19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116205</wp:posOffset>
            </wp:positionH>
            <wp:positionV relativeFrom="paragraph">
              <wp:posOffset>-314960</wp:posOffset>
            </wp:positionV>
            <wp:extent cx="1945640" cy="81407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945640" cy="81407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780" w:type="dxa"/>
            <w:vAlign w:val="bottom"/>
            <w:tcBorders>
              <w:top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3"/>
                <w:szCs w:val="13"/>
                <w:b w:val="1"/>
                <w:bCs w:val="1"/>
                <w:color w:val="auto"/>
              </w:rPr>
              <w:t>CEO</w:t>
            </w:r>
          </w:p>
        </w:tc>
        <w:tc>
          <w:tcPr>
            <w:tcW w:w="166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3"/>
                <w:szCs w:val="13"/>
                <w:b w:val="1"/>
                <w:bCs w:val="1"/>
                <w:color w:val="auto"/>
              </w:rPr>
              <w:t>Other NEOs (Average)</w:t>
            </w:r>
          </w:p>
        </w:tc>
      </w:tr>
    </w:tbl>
    <w:p>
      <w:pPr>
        <w:spacing w:after="0" w:line="1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A98"/>
        </w:rPr>
        <w:t>Long-Term Incentive Compensation</w:t>
      </w:r>
    </w:p>
    <w:p>
      <w:pPr>
        <w:spacing w:after="0" w:line="18" w:lineRule="exact"/>
        <w:rPr>
          <w:sz w:val="20"/>
          <w:szCs w:val="20"/>
          <w:color w:val="auto"/>
        </w:rPr>
      </w:pPr>
    </w:p>
    <w:p>
      <w:pPr>
        <w:ind w:left="20"/>
        <w:spacing w:after="0"/>
        <w:rPr>
          <w:sz w:val="20"/>
          <w:szCs w:val="20"/>
          <w:color w:val="auto"/>
        </w:rPr>
      </w:pPr>
      <w:r>
        <w:rPr>
          <w:rFonts w:ascii="Arial" w:cs="Arial" w:eastAsia="Arial" w:hAnsi="Arial"/>
          <w:sz w:val="13"/>
          <w:szCs w:val="13"/>
          <w:color w:val="004A98"/>
        </w:rPr>
        <w:t>(% of Pay Mix at Target)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1434465</wp:posOffset>
            </wp:positionV>
            <wp:extent cx="217741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77415"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268605</wp:posOffset>
            </wp:positionV>
            <wp:extent cx="1928495" cy="82296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928495" cy="8229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Provide an award that both serves a retention purpose and incentivizes executives to manage the Company from the perspective of a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1022350</wp:posOffset>
            </wp:positionV>
            <wp:extent cx="156845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5684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-760095</wp:posOffset>
            </wp:positionV>
            <wp:extent cx="156845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5684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86" w:right="60" w:hanging="186"/>
        <w:spacing w:after="0" w:line="281" w:lineRule="auto"/>
        <w:tabs>
          <w:tab w:leader="none" w:pos="156" w:val="left"/>
        </w:tabs>
        <w:numPr>
          <w:ilvl w:val="0"/>
          <w:numId w:val="13"/>
        </w:numPr>
        <w:rPr>
          <w:rFonts w:ascii="Arial" w:cs="Arial" w:eastAsia="Arial" w:hAnsi="Arial"/>
          <w:sz w:val="16"/>
          <w:szCs w:val="16"/>
          <w:color w:val="004A98"/>
        </w:rPr>
      </w:pPr>
      <w:r>
        <w:rPr>
          <w:rFonts w:ascii="Arial" w:cs="Arial" w:eastAsia="Arial" w:hAnsi="Arial"/>
          <w:sz w:val="16"/>
          <w:szCs w:val="16"/>
          <w:color w:val="auto"/>
        </w:rPr>
        <w:t>Importance of the NEO to Company performance</w:t>
      </w:r>
    </w:p>
    <w:p>
      <w:pPr>
        <w:spacing w:after="0" w:line="1" w:lineRule="exact"/>
        <w:rPr>
          <w:rFonts w:ascii="Arial" w:cs="Arial" w:eastAsia="Arial" w:hAnsi="Arial"/>
          <w:sz w:val="16"/>
          <w:szCs w:val="16"/>
          <w:color w:val="004A98"/>
        </w:rPr>
      </w:pPr>
    </w:p>
    <w:p>
      <w:pPr>
        <w:ind w:left="166" w:hanging="166"/>
        <w:spacing w:after="0"/>
        <w:tabs>
          <w:tab w:leader="none" w:pos="166" w:val="left"/>
        </w:tabs>
        <w:numPr>
          <w:ilvl w:val="0"/>
          <w:numId w:val="13"/>
        </w:numPr>
        <w:rPr>
          <w:rFonts w:ascii="Arial" w:cs="Arial" w:eastAsia="Arial" w:hAnsi="Arial"/>
          <w:sz w:val="16"/>
          <w:szCs w:val="16"/>
          <w:color w:val="004A98"/>
        </w:rPr>
      </w:pPr>
      <w:r>
        <w:rPr>
          <w:rFonts w:ascii="Arial" w:cs="Arial" w:eastAsia="Arial" w:hAnsi="Arial"/>
          <w:sz w:val="16"/>
          <w:szCs w:val="16"/>
          <w:color w:val="auto"/>
        </w:rPr>
        <w:t>Individual contributions</w:t>
      </w:r>
    </w:p>
    <w:p>
      <w:pPr>
        <w:spacing w:after="0" w:line="45" w:lineRule="exact"/>
        <w:rPr>
          <w:rFonts w:ascii="Arial" w:cs="Arial" w:eastAsia="Arial" w:hAnsi="Arial"/>
          <w:sz w:val="16"/>
          <w:szCs w:val="16"/>
          <w:color w:val="004A98"/>
        </w:rPr>
      </w:pPr>
    </w:p>
    <w:p>
      <w:pPr>
        <w:ind w:left="166" w:hanging="166"/>
        <w:spacing w:after="0"/>
        <w:tabs>
          <w:tab w:leader="none" w:pos="166" w:val="left"/>
        </w:tabs>
        <w:numPr>
          <w:ilvl w:val="0"/>
          <w:numId w:val="13"/>
        </w:numPr>
        <w:rPr>
          <w:rFonts w:ascii="Arial" w:cs="Arial" w:eastAsia="Arial" w:hAnsi="Arial"/>
          <w:sz w:val="16"/>
          <w:szCs w:val="16"/>
          <w:color w:val="004A98"/>
        </w:rPr>
      </w:pPr>
      <w:r>
        <w:rPr>
          <w:rFonts w:ascii="Arial" w:cs="Arial" w:eastAsia="Arial" w:hAnsi="Arial"/>
          <w:sz w:val="16"/>
          <w:szCs w:val="16"/>
          <w:color w:val="auto"/>
        </w:rPr>
        <w:t>Future potential of the NEO</w:t>
      </w:r>
    </w:p>
    <w:p>
      <w:pPr>
        <w:spacing w:after="0" w:line="45" w:lineRule="exact"/>
        <w:rPr>
          <w:rFonts w:ascii="Arial" w:cs="Arial" w:eastAsia="Arial" w:hAnsi="Arial"/>
          <w:sz w:val="16"/>
          <w:szCs w:val="16"/>
          <w:color w:val="004A98"/>
        </w:rPr>
      </w:pPr>
    </w:p>
    <w:p>
      <w:pPr>
        <w:ind w:left="186" w:hanging="186"/>
        <w:spacing w:after="0" w:line="264" w:lineRule="auto"/>
        <w:tabs>
          <w:tab w:leader="none" w:pos="156" w:val="left"/>
        </w:tabs>
        <w:numPr>
          <w:ilvl w:val="0"/>
          <w:numId w:val="13"/>
        </w:numPr>
        <w:rPr>
          <w:rFonts w:ascii="Arial" w:cs="Arial" w:eastAsia="Arial" w:hAnsi="Arial"/>
          <w:sz w:val="16"/>
          <w:szCs w:val="16"/>
          <w:color w:val="004A98"/>
        </w:rPr>
      </w:pPr>
      <w:r>
        <w:rPr>
          <w:rFonts w:ascii="Arial" w:cs="Arial" w:eastAsia="Arial" w:hAnsi="Arial"/>
          <w:sz w:val="16"/>
          <w:szCs w:val="16"/>
          <w:color w:val="auto"/>
        </w:rPr>
        <w:t>Value of NEO’s vested and unvested outstanding equity awards (performance-based and time-based restricted stock units)</w:t>
      </w:r>
    </w:p>
    <w:p>
      <w:pPr>
        <w:ind w:left="186" w:right="40" w:hanging="186"/>
        <w:spacing w:after="0" w:line="304" w:lineRule="auto"/>
        <w:tabs>
          <w:tab w:leader="none" w:pos="156" w:val="left"/>
        </w:tabs>
        <w:numPr>
          <w:ilvl w:val="0"/>
          <w:numId w:val="13"/>
        </w:numPr>
        <w:rPr>
          <w:rFonts w:ascii="Arial" w:cs="Arial" w:eastAsia="Arial" w:hAnsi="Arial"/>
          <w:sz w:val="16"/>
          <w:szCs w:val="16"/>
          <w:color w:val="004A98"/>
        </w:rPr>
      </w:pPr>
      <w:r>
        <w:rPr>
          <w:rFonts w:ascii="Arial" w:cs="Arial" w:eastAsia="Arial" w:hAnsi="Arial"/>
          <w:sz w:val="16"/>
          <w:szCs w:val="16"/>
          <w:color w:val="auto"/>
        </w:rPr>
        <w:t>Internal pay alignment and peer and industry benchmarking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261620</wp:posOffset>
            </wp:positionV>
            <wp:extent cx="186880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6880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-1520825</wp:posOffset>
            </wp:positionV>
            <wp:extent cx="186880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688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left="188" w:right="60" w:hanging="188"/>
        <w:spacing w:after="0" w:line="270" w:lineRule="auto"/>
        <w:tabs>
          <w:tab w:leader="none" w:pos="158" w:val="left"/>
        </w:tabs>
        <w:numPr>
          <w:ilvl w:val="0"/>
          <w:numId w:val="14"/>
        </w:numPr>
        <w:rPr>
          <w:rFonts w:ascii="Arial" w:cs="Arial" w:eastAsia="Arial" w:hAnsi="Arial"/>
          <w:sz w:val="16"/>
          <w:szCs w:val="16"/>
          <w:color w:val="004A98"/>
        </w:rPr>
      </w:pPr>
      <w:r>
        <w:rPr>
          <w:rFonts w:ascii="Arial" w:cs="Arial" w:eastAsia="Arial" w:hAnsi="Arial"/>
          <w:sz w:val="16"/>
          <w:szCs w:val="16"/>
          <w:color w:val="auto"/>
        </w:rPr>
        <w:t>Compound annual growth rate (CAGR) of operating income</w:t>
      </w:r>
    </w:p>
    <w:p>
      <w:pPr>
        <w:ind w:left="188" w:right="120" w:hanging="188"/>
        <w:spacing w:after="0" w:line="304" w:lineRule="auto"/>
        <w:tabs>
          <w:tab w:leader="none" w:pos="158" w:val="left"/>
        </w:tabs>
        <w:numPr>
          <w:ilvl w:val="0"/>
          <w:numId w:val="14"/>
        </w:numPr>
        <w:rPr>
          <w:rFonts w:ascii="Arial" w:cs="Arial" w:eastAsia="Arial" w:hAnsi="Arial"/>
          <w:sz w:val="16"/>
          <w:szCs w:val="16"/>
          <w:color w:val="004A98"/>
        </w:rPr>
      </w:pPr>
      <w:r>
        <w:rPr>
          <w:rFonts w:ascii="Arial" w:cs="Arial" w:eastAsia="Arial" w:hAnsi="Arial"/>
          <w:sz w:val="16"/>
          <w:szCs w:val="16"/>
          <w:color w:val="auto"/>
        </w:rPr>
        <w:t>Total Shareholder Return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947420</wp:posOffset>
            </wp:positionV>
            <wp:extent cx="133731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3731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-835025</wp:posOffset>
            </wp:positionV>
            <wp:extent cx="133731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280" w:lineRule="exact"/>
        <w:rPr>
          <w:sz w:val="20"/>
          <w:szCs w:val="20"/>
          <w:color w:val="auto"/>
        </w:rPr>
      </w:pPr>
    </w:p>
    <w:p>
      <w:pPr>
        <w:sectPr>
          <w:pgSz w:w="11900" w:h="16838" w:orient="portrait"/>
          <w:cols w:equalWidth="0" w:num="4">
            <w:col w:w="3440" w:space="100"/>
            <w:col w:w="2240" w:space="334"/>
            <w:col w:w="2806" w:space="232"/>
            <w:col w:w="2088"/>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4"/>
          <w:szCs w:val="14"/>
          <w:color w:val="auto"/>
        </w:rPr>
        <w:t>Proxy</w:t>
      </w:r>
    </w:p>
    <w:p>
      <w:pPr>
        <w:spacing w:after="0" w:line="2" w:lineRule="exact"/>
        <w:rPr>
          <w:sz w:val="20"/>
          <w:szCs w:val="20"/>
          <w:color w:val="auto"/>
        </w:rPr>
      </w:pPr>
    </w:p>
    <w:p>
      <w:pPr>
        <w:ind w:left="718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10" w:name="page11"/>
    <w:bookmarkEnd w:id="1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Voting Roadmap</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Executive Compensation Highlights</w:t>
      </w:r>
    </w:p>
    <w:p>
      <w:pPr>
        <w:spacing w:after="0" w:line="148"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Our executive compensation program is designed to attract and retain the executive talent we need to maintain our high performance standards and grow our business for the future. Our philosophy is to provide a mix of compensation that motivates our executives to achieve our short and long-term performance goals, which in turn will create value for our stockholders. We made no significant changes to our overall approach to executive compensation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11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Pay for Performance Alignment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320675</wp:posOffset>
            </wp:positionV>
            <wp:extent cx="31546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pacing w:after="0" w:line="29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Compensation Governance Practices and Policies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929640</wp:posOffset>
            </wp:positionV>
            <wp:extent cx="31546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Responsible Pay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586740</wp:posOffset>
            </wp:positionV>
            <wp:extent cx="31546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15468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ind w:left="172" w:hanging="172"/>
        <w:spacing w:after="0"/>
        <w:tabs>
          <w:tab w:leader="none" w:pos="172" w:val="left"/>
        </w:tabs>
        <w:numPr>
          <w:ilvl w:val="0"/>
          <w:numId w:val="15"/>
        </w:numPr>
        <w:rPr>
          <w:rFonts w:ascii="Arial" w:cs="Arial" w:eastAsia="Arial" w:hAnsi="Arial"/>
          <w:sz w:val="16"/>
          <w:szCs w:val="16"/>
          <w:color w:val="004A98"/>
        </w:rPr>
      </w:pPr>
      <w:r>
        <w:rPr>
          <w:rFonts w:ascii="Arial" w:cs="Arial" w:eastAsia="Arial" w:hAnsi="Arial"/>
          <w:sz w:val="16"/>
          <w:szCs w:val="16"/>
          <w:color w:val="auto"/>
        </w:rPr>
        <w:t>For the CEO, 93% of targeted total compensation is performance-based.</w:t>
      </w:r>
    </w:p>
    <w:p>
      <w:pPr>
        <w:spacing w:after="0" w:line="59" w:lineRule="exact"/>
        <w:rPr>
          <w:rFonts w:ascii="Arial" w:cs="Arial" w:eastAsia="Arial" w:hAnsi="Arial"/>
          <w:sz w:val="16"/>
          <w:szCs w:val="16"/>
          <w:color w:val="004A98"/>
        </w:rPr>
      </w:pPr>
    </w:p>
    <w:p>
      <w:pPr>
        <w:ind w:left="192" w:right="180" w:hanging="192"/>
        <w:spacing w:after="0" w:line="299" w:lineRule="auto"/>
        <w:tabs>
          <w:tab w:leader="none" w:pos="162" w:val="left"/>
        </w:tabs>
        <w:numPr>
          <w:ilvl w:val="0"/>
          <w:numId w:val="15"/>
        </w:numPr>
        <w:rPr>
          <w:rFonts w:ascii="Arial" w:cs="Arial" w:eastAsia="Arial" w:hAnsi="Arial"/>
          <w:sz w:val="16"/>
          <w:szCs w:val="16"/>
          <w:color w:val="004A98"/>
        </w:rPr>
      </w:pPr>
      <w:r>
        <w:rPr>
          <w:rFonts w:ascii="Arial" w:cs="Arial" w:eastAsia="Arial" w:hAnsi="Arial"/>
          <w:sz w:val="16"/>
          <w:szCs w:val="16"/>
          <w:color w:val="auto"/>
        </w:rPr>
        <w:t>For other NEOs, 88% of targeted total compensation on average is performance-based.</w:t>
      </w:r>
    </w:p>
    <w:p>
      <w:pPr>
        <w:ind w:left="172" w:hanging="172"/>
        <w:spacing w:after="0"/>
        <w:tabs>
          <w:tab w:leader="none" w:pos="172" w:val="left"/>
        </w:tabs>
        <w:numPr>
          <w:ilvl w:val="0"/>
          <w:numId w:val="15"/>
        </w:numPr>
        <w:rPr>
          <w:rFonts w:ascii="Arial" w:cs="Arial" w:eastAsia="Arial" w:hAnsi="Arial"/>
          <w:sz w:val="16"/>
          <w:szCs w:val="16"/>
          <w:color w:val="004A98"/>
        </w:rPr>
      </w:pPr>
      <w:r>
        <w:rPr>
          <w:rFonts w:ascii="Arial" w:cs="Arial" w:eastAsia="Arial" w:hAnsi="Arial"/>
          <w:sz w:val="16"/>
          <w:szCs w:val="16"/>
          <w:color w:val="auto"/>
        </w:rPr>
        <w:t>Annual Benchmarking of Executive Compensation</w:t>
      </w:r>
    </w:p>
    <w:p>
      <w:pPr>
        <w:spacing w:after="0" w:line="59" w:lineRule="exact"/>
        <w:rPr>
          <w:rFonts w:ascii="Arial" w:cs="Arial" w:eastAsia="Arial" w:hAnsi="Arial"/>
          <w:sz w:val="16"/>
          <w:szCs w:val="16"/>
          <w:color w:val="004A98"/>
        </w:rPr>
      </w:pPr>
    </w:p>
    <w:p>
      <w:pPr>
        <w:ind w:left="172" w:hanging="172"/>
        <w:spacing w:after="0"/>
        <w:tabs>
          <w:tab w:leader="none" w:pos="172" w:val="left"/>
        </w:tabs>
        <w:numPr>
          <w:ilvl w:val="0"/>
          <w:numId w:val="15"/>
        </w:numPr>
        <w:rPr>
          <w:rFonts w:ascii="Arial" w:cs="Arial" w:eastAsia="Arial" w:hAnsi="Arial"/>
          <w:sz w:val="16"/>
          <w:szCs w:val="16"/>
          <w:color w:val="004A98"/>
        </w:rPr>
      </w:pPr>
      <w:r>
        <w:rPr>
          <w:rFonts w:ascii="Arial" w:cs="Arial" w:eastAsia="Arial" w:hAnsi="Arial"/>
          <w:sz w:val="16"/>
          <w:szCs w:val="16"/>
          <w:color w:val="auto"/>
        </w:rPr>
        <w:t>Independent Compensation Consultant</w:t>
      </w:r>
    </w:p>
    <w:p>
      <w:pPr>
        <w:spacing w:after="0" w:line="45" w:lineRule="exact"/>
        <w:rPr>
          <w:rFonts w:ascii="Arial" w:cs="Arial" w:eastAsia="Arial" w:hAnsi="Arial"/>
          <w:sz w:val="16"/>
          <w:szCs w:val="16"/>
          <w:color w:val="004A98"/>
        </w:rPr>
      </w:pPr>
    </w:p>
    <w:p>
      <w:pPr>
        <w:ind w:left="172" w:hanging="172"/>
        <w:spacing w:after="0"/>
        <w:tabs>
          <w:tab w:leader="none" w:pos="172" w:val="left"/>
        </w:tabs>
        <w:numPr>
          <w:ilvl w:val="0"/>
          <w:numId w:val="15"/>
        </w:numPr>
        <w:rPr>
          <w:rFonts w:ascii="Arial" w:cs="Arial" w:eastAsia="Arial" w:hAnsi="Arial"/>
          <w:sz w:val="16"/>
          <w:szCs w:val="16"/>
          <w:color w:val="004A98"/>
        </w:rPr>
      </w:pPr>
      <w:r>
        <w:rPr>
          <w:rFonts w:ascii="Arial" w:cs="Arial" w:eastAsia="Arial" w:hAnsi="Arial"/>
          <w:sz w:val="16"/>
          <w:szCs w:val="16"/>
          <w:color w:val="auto"/>
        </w:rPr>
        <w:t>Annual Say-on-Pay Vote</w:t>
      </w:r>
    </w:p>
    <w:p>
      <w:pPr>
        <w:spacing w:after="0" w:line="45" w:lineRule="exact"/>
        <w:rPr>
          <w:rFonts w:ascii="Arial" w:cs="Arial" w:eastAsia="Arial" w:hAnsi="Arial"/>
          <w:sz w:val="16"/>
          <w:szCs w:val="16"/>
          <w:color w:val="004A98"/>
        </w:rPr>
      </w:pPr>
    </w:p>
    <w:p>
      <w:pPr>
        <w:ind w:left="172" w:hanging="172"/>
        <w:spacing w:after="0"/>
        <w:tabs>
          <w:tab w:leader="none" w:pos="172" w:val="left"/>
        </w:tabs>
        <w:numPr>
          <w:ilvl w:val="0"/>
          <w:numId w:val="15"/>
        </w:numPr>
        <w:rPr>
          <w:rFonts w:ascii="Arial" w:cs="Arial" w:eastAsia="Arial" w:hAnsi="Arial"/>
          <w:sz w:val="16"/>
          <w:szCs w:val="16"/>
          <w:color w:val="004A98"/>
        </w:rPr>
      </w:pPr>
      <w:r>
        <w:rPr>
          <w:rFonts w:ascii="Arial" w:cs="Arial" w:eastAsia="Arial" w:hAnsi="Arial"/>
          <w:sz w:val="16"/>
          <w:szCs w:val="16"/>
          <w:color w:val="auto"/>
        </w:rPr>
        <w:t>Stock Ownership Requirements</w:t>
      </w:r>
    </w:p>
    <w:p>
      <w:pPr>
        <w:spacing w:after="0" w:line="59" w:lineRule="exact"/>
        <w:rPr>
          <w:rFonts w:ascii="Arial" w:cs="Arial" w:eastAsia="Arial" w:hAnsi="Arial"/>
          <w:sz w:val="16"/>
          <w:szCs w:val="16"/>
          <w:color w:val="004A98"/>
        </w:rPr>
      </w:pPr>
    </w:p>
    <w:p>
      <w:pPr>
        <w:ind w:left="172" w:hanging="172"/>
        <w:spacing w:after="0"/>
        <w:tabs>
          <w:tab w:leader="none" w:pos="172" w:val="left"/>
        </w:tabs>
        <w:numPr>
          <w:ilvl w:val="0"/>
          <w:numId w:val="15"/>
        </w:numPr>
        <w:rPr>
          <w:rFonts w:ascii="Arial" w:cs="Arial" w:eastAsia="Arial" w:hAnsi="Arial"/>
          <w:sz w:val="16"/>
          <w:szCs w:val="16"/>
          <w:color w:val="004A98"/>
        </w:rPr>
      </w:pPr>
      <w:r>
        <w:rPr>
          <w:rFonts w:ascii="Arial" w:cs="Arial" w:eastAsia="Arial" w:hAnsi="Arial"/>
          <w:sz w:val="16"/>
          <w:szCs w:val="16"/>
          <w:color w:val="auto"/>
        </w:rPr>
        <w:t>Clawback Policy</w:t>
      </w:r>
    </w:p>
    <w:p>
      <w:pPr>
        <w:spacing w:after="0" w:line="45" w:lineRule="exact"/>
        <w:rPr>
          <w:rFonts w:ascii="Arial" w:cs="Arial" w:eastAsia="Arial" w:hAnsi="Arial"/>
          <w:sz w:val="16"/>
          <w:szCs w:val="16"/>
          <w:color w:val="004A98"/>
        </w:rPr>
      </w:pPr>
    </w:p>
    <w:p>
      <w:pPr>
        <w:ind w:left="172" w:hanging="172"/>
        <w:spacing w:after="0"/>
        <w:tabs>
          <w:tab w:leader="none" w:pos="172" w:val="left"/>
        </w:tabs>
        <w:numPr>
          <w:ilvl w:val="0"/>
          <w:numId w:val="15"/>
        </w:numPr>
        <w:rPr>
          <w:rFonts w:ascii="Arial" w:cs="Arial" w:eastAsia="Arial" w:hAnsi="Arial"/>
          <w:sz w:val="16"/>
          <w:szCs w:val="16"/>
          <w:color w:val="004A98"/>
        </w:rPr>
      </w:pPr>
      <w:r>
        <w:rPr>
          <w:rFonts w:ascii="Arial" w:cs="Arial" w:eastAsia="Arial" w:hAnsi="Arial"/>
          <w:sz w:val="16"/>
          <w:szCs w:val="16"/>
          <w:color w:val="auto"/>
        </w:rPr>
        <w:t>Forfeiture Provisions</w:t>
      </w:r>
    </w:p>
    <w:p>
      <w:pPr>
        <w:spacing w:after="0" w:line="45" w:lineRule="exact"/>
        <w:rPr>
          <w:rFonts w:ascii="Arial" w:cs="Arial" w:eastAsia="Arial" w:hAnsi="Arial"/>
          <w:sz w:val="16"/>
          <w:szCs w:val="16"/>
          <w:color w:val="004A98"/>
        </w:rPr>
      </w:pPr>
    </w:p>
    <w:p>
      <w:pPr>
        <w:ind w:left="172" w:hanging="172"/>
        <w:spacing w:after="0"/>
        <w:tabs>
          <w:tab w:leader="none" w:pos="172" w:val="left"/>
        </w:tabs>
        <w:numPr>
          <w:ilvl w:val="0"/>
          <w:numId w:val="15"/>
        </w:numPr>
        <w:rPr>
          <w:rFonts w:ascii="Arial" w:cs="Arial" w:eastAsia="Arial" w:hAnsi="Arial"/>
          <w:sz w:val="16"/>
          <w:szCs w:val="16"/>
          <w:color w:val="004A98"/>
        </w:rPr>
      </w:pPr>
      <w:r>
        <w:rPr>
          <w:rFonts w:ascii="Arial" w:cs="Arial" w:eastAsia="Arial" w:hAnsi="Arial"/>
          <w:sz w:val="16"/>
          <w:szCs w:val="16"/>
          <w:color w:val="auto"/>
        </w:rPr>
        <w:t>Annual Compensation Risk Assessment</w:t>
      </w:r>
    </w:p>
    <w:p>
      <w:pPr>
        <w:spacing w:after="0" w:line="59" w:lineRule="exact"/>
        <w:rPr>
          <w:rFonts w:ascii="Arial" w:cs="Arial" w:eastAsia="Arial" w:hAnsi="Arial"/>
          <w:sz w:val="16"/>
          <w:szCs w:val="16"/>
          <w:color w:val="004A98"/>
        </w:rPr>
      </w:pPr>
    </w:p>
    <w:p>
      <w:pPr>
        <w:ind w:left="172" w:hanging="172"/>
        <w:spacing w:after="0"/>
        <w:tabs>
          <w:tab w:leader="none" w:pos="172" w:val="left"/>
        </w:tabs>
        <w:numPr>
          <w:ilvl w:val="0"/>
          <w:numId w:val="15"/>
        </w:numPr>
        <w:rPr>
          <w:rFonts w:ascii="Arial" w:cs="Arial" w:eastAsia="Arial" w:hAnsi="Arial"/>
          <w:sz w:val="16"/>
          <w:szCs w:val="16"/>
          <w:color w:val="004A98"/>
        </w:rPr>
      </w:pPr>
      <w:r>
        <w:rPr>
          <w:rFonts w:ascii="Arial" w:cs="Arial" w:eastAsia="Arial" w:hAnsi="Arial"/>
          <w:sz w:val="16"/>
          <w:szCs w:val="16"/>
          <w:color w:val="auto"/>
        </w:rPr>
        <w:t>No Employment Contracts</w:t>
      </w:r>
    </w:p>
    <w:p>
      <w:pPr>
        <w:spacing w:after="0" w:line="32" w:lineRule="exact"/>
        <w:rPr>
          <w:rFonts w:ascii="Arial" w:cs="Arial" w:eastAsia="Arial" w:hAnsi="Arial"/>
          <w:sz w:val="16"/>
          <w:szCs w:val="16"/>
          <w:color w:val="004A98"/>
        </w:rPr>
      </w:pPr>
    </w:p>
    <w:p>
      <w:pPr>
        <w:ind w:left="172" w:hanging="172"/>
        <w:spacing w:after="0"/>
        <w:tabs>
          <w:tab w:leader="none" w:pos="172" w:val="left"/>
        </w:tabs>
        <w:numPr>
          <w:ilvl w:val="0"/>
          <w:numId w:val="15"/>
        </w:numPr>
        <w:rPr>
          <w:rFonts w:ascii="Arial" w:cs="Arial" w:eastAsia="Arial" w:hAnsi="Arial"/>
          <w:sz w:val="16"/>
          <w:szCs w:val="16"/>
          <w:color w:val="004A98"/>
        </w:rPr>
      </w:pPr>
      <w:r>
        <w:rPr>
          <w:rFonts w:ascii="Arial" w:cs="Arial" w:eastAsia="Arial" w:hAnsi="Arial"/>
          <w:sz w:val="16"/>
          <w:szCs w:val="16"/>
          <w:color w:val="auto"/>
        </w:rPr>
        <w:t>No Single Trigger Benefits Upon a Change-in-Control</w:t>
      </w:r>
    </w:p>
    <w:p>
      <w:pPr>
        <w:spacing w:after="0" w:line="32" w:lineRule="exact"/>
        <w:rPr>
          <w:rFonts w:ascii="Arial" w:cs="Arial" w:eastAsia="Arial" w:hAnsi="Arial"/>
          <w:sz w:val="16"/>
          <w:szCs w:val="16"/>
          <w:color w:val="004A98"/>
        </w:rPr>
      </w:pPr>
    </w:p>
    <w:p>
      <w:pPr>
        <w:ind w:left="172" w:hanging="172"/>
        <w:spacing w:after="0"/>
        <w:tabs>
          <w:tab w:leader="none" w:pos="172" w:val="left"/>
        </w:tabs>
        <w:numPr>
          <w:ilvl w:val="0"/>
          <w:numId w:val="15"/>
        </w:numPr>
        <w:rPr>
          <w:rFonts w:ascii="Arial" w:cs="Arial" w:eastAsia="Arial" w:hAnsi="Arial"/>
          <w:sz w:val="16"/>
          <w:szCs w:val="16"/>
          <w:color w:val="004A98"/>
        </w:rPr>
      </w:pPr>
      <w:r>
        <w:rPr>
          <w:rFonts w:ascii="Arial" w:cs="Arial" w:eastAsia="Arial" w:hAnsi="Arial"/>
          <w:sz w:val="16"/>
          <w:szCs w:val="16"/>
          <w:color w:val="auto"/>
        </w:rPr>
        <w:t>No Tax Gross-Ups Upon a Change-in-Control</w:t>
      </w:r>
    </w:p>
    <w:p>
      <w:pPr>
        <w:spacing w:after="0" w:line="32" w:lineRule="exact"/>
        <w:rPr>
          <w:rFonts w:ascii="Arial" w:cs="Arial" w:eastAsia="Arial" w:hAnsi="Arial"/>
          <w:sz w:val="16"/>
          <w:szCs w:val="16"/>
          <w:color w:val="004A98"/>
        </w:rPr>
      </w:pPr>
    </w:p>
    <w:p>
      <w:pPr>
        <w:ind w:left="172" w:hanging="172"/>
        <w:spacing w:after="0"/>
        <w:tabs>
          <w:tab w:leader="none" w:pos="172" w:val="left"/>
        </w:tabs>
        <w:numPr>
          <w:ilvl w:val="0"/>
          <w:numId w:val="15"/>
        </w:numPr>
        <w:rPr>
          <w:rFonts w:ascii="Arial" w:cs="Arial" w:eastAsia="Arial" w:hAnsi="Arial"/>
          <w:sz w:val="16"/>
          <w:szCs w:val="16"/>
          <w:color w:val="004A98"/>
        </w:rPr>
      </w:pPr>
      <w:r>
        <w:rPr>
          <w:rFonts w:ascii="Arial" w:cs="Arial" w:eastAsia="Arial" w:hAnsi="Arial"/>
          <w:sz w:val="16"/>
          <w:szCs w:val="16"/>
          <w:color w:val="auto"/>
        </w:rPr>
        <w:t>No Special Pension or Retirement Plans</w:t>
      </w:r>
    </w:p>
    <w:p>
      <w:pPr>
        <w:spacing w:after="0" w:line="45" w:lineRule="exact"/>
        <w:rPr>
          <w:rFonts w:ascii="Arial" w:cs="Arial" w:eastAsia="Arial" w:hAnsi="Arial"/>
          <w:sz w:val="16"/>
          <w:szCs w:val="16"/>
          <w:color w:val="004A98"/>
        </w:rPr>
      </w:pPr>
    </w:p>
    <w:p>
      <w:pPr>
        <w:ind w:left="172" w:hanging="172"/>
        <w:spacing w:after="0"/>
        <w:tabs>
          <w:tab w:leader="none" w:pos="172" w:val="left"/>
        </w:tabs>
        <w:numPr>
          <w:ilvl w:val="0"/>
          <w:numId w:val="15"/>
        </w:numPr>
        <w:rPr>
          <w:rFonts w:ascii="Arial" w:cs="Arial" w:eastAsia="Arial" w:hAnsi="Arial"/>
          <w:sz w:val="16"/>
          <w:szCs w:val="16"/>
          <w:color w:val="004A98"/>
        </w:rPr>
      </w:pPr>
      <w:r>
        <w:rPr>
          <w:rFonts w:ascii="Arial" w:cs="Arial" w:eastAsia="Arial" w:hAnsi="Arial"/>
          <w:sz w:val="16"/>
          <w:szCs w:val="16"/>
          <w:color w:val="auto"/>
        </w:rPr>
        <w:t>No Significant Perquisites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29210</wp:posOffset>
            </wp:positionV>
            <wp:extent cx="391731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91731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-681355</wp:posOffset>
            </wp:positionV>
            <wp:extent cx="391731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91731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-1736090</wp:posOffset>
            </wp:positionV>
            <wp:extent cx="391731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91731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368" w:space="720"/>
            <w:col w:w="6152"/>
          </w:cols>
          <w:pgMar w:left="320" w:top="122" w:right="339" w:bottom="1440" w:gutter="0" w:footer="0" w:header="0"/>
          <w:type w:val="continuous"/>
        </w:sectPr>
      </w:pPr>
    </w:p>
    <w:p>
      <w:pPr>
        <w:spacing w:after="0" w:line="200" w:lineRule="exact"/>
        <w:rPr>
          <w:sz w:val="20"/>
          <w:szCs w:val="20"/>
          <w:color w:val="auto"/>
        </w:rPr>
      </w:pPr>
    </w:p>
    <w:p>
      <w:pPr>
        <w:spacing w:after="0" w:line="370"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Proposal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354455"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354455" cy="145415"/>
                    </a:xfrm>
                    <a:prstGeom prst="rect">
                      <a:avLst/>
                    </a:prstGeom>
                    <a:noFill/>
                  </pic:spPr>
                </pic:pic>
              </a:graphicData>
            </a:graphic>
          </wp:anchor>
        </w:drawing>
      </w:r>
    </w:p>
    <w:p>
      <w:pPr>
        <w:spacing w:after="0" w:line="99" w:lineRule="exact"/>
        <w:rPr>
          <w:sz w:val="20"/>
          <w:szCs w:val="20"/>
          <w:color w:val="auto"/>
        </w:rPr>
      </w:pPr>
    </w:p>
    <w:p>
      <w:pPr>
        <w:ind w:right="80"/>
        <w:spacing w:after="0" w:line="307" w:lineRule="auto"/>
        <w:rPr>
          <w:sz w:val="20"/>
          <w:szCs w:val="20"/>
          <w:color w:val="auto"/>
        </w:rPr>
      </w:pPr>
      <w:r>
        <w:rPr>
          <w:rFonts w:ascii="Arial" w:cs="Arial" w:eastAsia="Arial" w:hAnsi="Arial"/>
          <w:sz w:val="32"/>
          <w:szCs w:val="32"/>
          <w:b w:val="1"/>
          <w:bCs w:val="1"/>
          <w:color w:val="004A98"/>
        </w:rPr>
        <w:t>Ratification of Selection of KPMG LLP as Independent Registered Public Accounting Firm for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4445</wp:posOffset>
            </wp:positionV>
            <wp:extent cx="7149465" cy="3511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3511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p>
      <w:pPr>
        <w:spacing w:after="0"/>
        <w:rPr>
          <w:sz w:val="20"/>
          <w:szCs w:val="20"/>
          <w:color w:val="auto"/>
        </w:rPr>
      </w:pPr>
      <w:r>
        <w:rPr>
          <w:sz w:val="1"/>
          <w:szCs w:val="1"/>
          <w:color w:val="auto"/>
        </w:rPr>
        <w:drawing>
          <wp:inline distT="0" distB="0" distL="0" distR="0">
            <wp:extent cx="17145" cy="30480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7145" cy="304800"/>
                    </a:xfrm>
                    <a:prstGeom prst="rect">
                      <a:avLst/>
                    </a:prstGeom>
                    <a:noFill/>
                    <a:ln>
                      <a:noFill/>
                    </a:ln>
                  </pic:spPr>
                </pic:pic>
              </a:graphicData>
            </a:graphic>
          </wp:inline>
        </w:drawing>
        <w:drawing>
          <wp:inline distT="0" distB="0" distL="0" distR="0">
            <wp:extent cx="257175" cy="257175"/>
            <wp:effectExtent l="0" t="0" r="0" b="0"/>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7175" cy="257175"/>
                    </a:xfrm>
                    <a:prstGeom prst="rect">
                      <a:avLst/>
                    </a:prstGeom>
                    <a:noFill/>
                    <a:ln>
                      <a:noFill/>
                    </a:ln>
                  </pic:spPr>
                </pic:pic>
              </a:graphicData>
            </a:graphic>
          </wp:inline>
        </w:drawing>
      </w:r>
      <w:r>
        <w:rPr>
          <w:rFonts w:ascii="Arial" w:cs="Arial" w:eastAsia="Arial" w:hAnsi="Arial"/>
          <w:sz w:val="32"/>
          <w:szCs w:val="32"/>
          <w:b w:val="1"/>
          <w:bCs w:val="1"/>
          <w:color w:val="004A98"/>
        </w:rPr>
        <w:t xml:space="preserve"> FOR</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spacing w:after="0"/>
        <w:tabs>
          <w:tab w:leader="none" w:pos="7600" w:val="left"/>
        </w:tabs>
        <w:rPr>
          <w:sz w:val="20"/>
          <w:szCs w:val="20"/>
          <w:color w:val="auto"/>
        </w:rPr>
      </w:pPr>
      <w:r>
        <w:rPr>
          <w:rFonts w:ascii="Arial" w:cs="Arial" w:eastAsia="Arial" w:hAnsi="Arial"/>
          <w:sz w:val="16"/>
          <w:szCs w:val="16"/>
          <w:b w:val="1"/>
          <w:bCs w:val="1"/>
          <w:color w:val="004A98"/>
        </w:rPr>
        <w:t>The Board recommends a vote FOR this proposal.</w:t>
      </w:r>
      <w:r>
        <w:rPr>
          <w:sz w:val="20"/>
          <w:szCs w:val="20"/>
          <w:color w:val="auto"/>
        </w:rPr>
        <w:tab/>
      </w:r>
      <w:r>
        <w:rPr>
          <w:rFonts w:ascii="Arial" w:cs="Arial" w:eastAsia="Arial" w:hAnsi="Arial"/>
          <w:sz w:val="16"/>
          <w:szCs w:val="16"/>
          <w:b w:val="1"/>
          <w:bCs w:val="1"/>
          <w:color w:val="004A98"/>
        </w:rPr>
        <w:t>See page 46</w:t>
      </w:r>
    </w:p>
    <w:p>
      <w:pPr>
        <w:spacing w:after="0" w:line="395" w:lineRule="exact"/>
        <w:rPr>
          <w:sz w:val="20"/>
          <w:szCs w:val="20"/>
          <w:color w:val="auto"/>
        </w:rPr>
      </w:pPr>
    </w:p>
    <w:p>
      <w:pPr>
        <w:sectPr>
          <w:pgSz w:w="11900" w:h="16838" w:orient="portrait"/>
          <w:cols w:equalWidth="0" w:num="2">
            <w:col w:w="1360" w:space="720"/>
            <w:col w:w="9160"/>
          </w:cols>
          <w:pgMar w:left="320" w:top="122" w:right="339" w:bottom="1440" w:gutter="0" w:footer="0" w:header="0"/>
          <w:type w:val="continuous"/>
        </w:sectPr>
      </w:pPr>
    </w:p>
    <w:p>
      <w:pPr>
        <w:spacing w:after="0" w:line="201"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Principal Accountant Fees and Services</w:t>
      </w:r>
    </w:p>
    <w:p>
      <w:pPr>
        <w:spacing w:after="0" w:line="134"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following table presents fees billed for professional services rendered by KPMG LLP for the audit of our annual consolidated financial statements for the years ended December 31, 2024 and December 31, 2023, and fees billed for other services provided by KPMG LLP, in each of the last two completed years.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0" w:type="dxa"/>
            <w:vAlign w:val="bottom"/>
            <w:tcBorders>
              <w:bottom w:val="single" w:sz="8" w:color="auto"/>
            </w:tcBorders>
          </w:tcPr>
          <w:p>
            <w:pPr>
              <w:spacing w:after="0"/>
              <w:rPr>
                <w:sz w:val="17"/>
                <w:szCs w:val="17"/>
                <w:color w:val="auto"/>
              </w:rPr>
            </w:pPr>
          </w:p>
        </w:tc>
        <w:tc>
          <w:tcPr>
            <w:tcW w:w="79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 FEES</w:t>
            </w:r>
          </w:p>
        </w:tc>
        <w:tc>
          <w:tcPr>
            <w:tcW w:w="10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 FEES</w:t>
            </w:r>
          </w:p>
        </w:tc>
        <w:tc>
          <w:tcPr>
            <w:tcW w:w="0" w:type="dxa"/>
            <w:vAlign w:val="bottom"/>
          </w:tcPr>
          <w:p>
            <w:pPr>
              <w:spacing w:after="0"/>
              <w:rPr>
                <w:sz w:val="1"/>
                <w:szCs w:val="1"/>
                <w:color w:val="auto"/>
              </w:rPr>
            </w:pPr>
          </w:p>
        </w:tc>
      </w:tr>
      <w:tr>
        <w:trPr>
          <w:trHeight w:val="158"/>
        </w:trPr>
        <w:tc>
          <w:tcPr>
            <w:tcW w:w="800" w:type="dxa"/>
            <w:vAlign w:val="bottom"/>
            <w:vMerge w:val="restart"/>
            <w:shd w:val="clear" w:color="auto" w:fill="E6E7E8"/>
          </w:tcPr>
          <w:p>
            <w:pPr>
              <w:ind w:left="20"/>
              <w:spacing w:after="0"/>
              <w:rPr>
                <w:sz w:val="20"/>
                <w:szCs w:val="20"/>
                <w:color w:val="auto"/>
              </w:rPr>
            </w:pPr>
            <w:r>
              <w:rPr>
                <w:rFonts w:ascii="Arial" w:cs="Arial" w:eastAsia="Arial" w:hAnsi="Arial"/>
                <w:sz w:val="16"/>
                <w:szCs w:val="16"/>
                <w:b w:val="1"/>
                <w:bCs w:val="1"/>
                <w:color w:val="004A98"/>
                <w:w w:val="98"/>
                <w:shd w:val="clear" w:color="auto" w:fill="E6E7E8"/>
              </w:rPr>
              <w:t>Audit fees</w:t>
            </w:r>
          </w:p>
        </w:tc>
        <w:tc>
          <w:tcPr>
            <w:tcW w:w="7900" w:type="dxa"/>
            <w:vAlign w:val="bottom"/>
            <w:shd w:val="clear" w:color="auto" w:fill="E6E7E8"/>
          </w:tcPr>
          <w:p>
            <w:pPr>
              <w:jc w:val="right"/>
              <w:ind w:right="7707"/>
              <w:spacing w:after="0"/>
              <w:rPr>
                <w:sz w:val="20"/>
                <w:szCs w:val="20"/>
                <w:color w:val="auto"/>
              </w:rPr>
            </w:pPr>
            <w:r>
              <w:rPr>
                <w:rFonts w:ascii="Arial" w:cs="Arial" w:eastAsia="Arial" w:hAnsi="Arial"/>
                <w:sz w:val="11"/>
                <w:szCs w:val="11"/>
                <w:b w:val="1"/>
                <w:bCs w:val="1"/>
                <w:color w:val="004A98"/>
                <w:w w:val="88"/>
                <w:shd w:val="clear" w:color="auto" w:fill="E6E7E8"/>
              </w:rPr>
              <w:t>(1)</w:t>
            </w:r>
          </w:p>
        </w:tc>
        <w:tc>
          <w:tcPr>
            <w:tcW w:w="120" w:type="dxa"/>
            <w:vAlign w:val="bottom"/>
            <w:tcBorders>
              <w:right w:val="single" w:sz="8" w:color="E6E7E8"/>
            </w:tcBorders>
          </w:tcPr>
          <w:p>
            <w:pPr>
              <w:spacing w:after="0"/>
              <w:rPr>
                <w:sz w:val="13"/>
                <w:szCs w:val="13"/>
                <w:color w:val="auto"/>
              </w:rPr>
            </w:pPr>
          </w:p>
        </w:tc>
        <w:tc>
          <w:tcPr>
            <w:tcW w:w="220" w:type="dxa"/>
            <w:vAlign w:val="bottom"/>
            <w:vMerge w:val="restart"/>
            <w:shd w:val="clear" w:color="auto" w:fill="E6E7E8"/>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vMerge w:val="restart"/>
            <w:shd w:val="clear" w:color="auto" w:fill="E6E7E8"/>
          </w:tcPr>
          <w:p>
            <w:pPr>
              <w:jc w:val="right"/>
              <w:ind w:right="2"/>
              <w:spacing w:after="0"/>
              <w:rPr>
                <w:sz w:val="20"/>
                <w:szCs w:val="20"/>
                <w:color w:val="auto"/>
              </w:rPr>
            </w:pPr>
            <w:r>
              <w:rPr>
                <w:rFonts w:ascii="Arial" w:cs="Arial" w:eastAsia="Arial" w:hAnsi="Arial"/>
                <w:sz w:val="16"/>
                <w:szCs w:val="16"/>
                <w:color w:val="auto"/>
              </w:rPr>
              <w:t>1,815,735</w:t>
            </w:r>
          </w:p>
        </w:tc>
        <w:tc>
          <w:tcPr>
            <w:tcW w:w="100" w:type="dxa"/>
            <w:vAlign w:val="bottom"/>
            <w:tcBorders>
              <w:right w:val="single" w:sz="8" w:color="E6E7E8"/>
            </w:tcBorders>
          </w:tcPr>
          <w:p>
            <w:pPr>
              <w:spacing w:after="0"/>
              <w:rPr>
                <w:sz w:val="13"/>
                <w:szCs w:val="13"/>
                <w:color w:val="auto"/>
              </w:rPr>
            </w:pPr>
          </w:p>
        </w:tc>
        <w:tc>
          <w:tcPr>
            <w:tcW w:w="240" w:type="dxa"/>
            <w:vAlign w:val="bottom"/>
            <w:vMerge w:val="restart"/>
            <w:shd w:val="clear" w:color="auto" w:fill="E6E7E8"/>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E6E7E8"/>
          </w:tcPr>
          <w:p>
            <w:pPr>
              <w:jc w:val="right"/>
              <w:ind w:right="2"/>
              <w:spacing w:after="0"/>
              <w:rPr>
                <w:sz w:val="20"/>
                <w:szCs w:val="20"/>
                <w:color w:val="auto"/>
              </w:rPr>
            </w:pPr>
            <w:r>
              <w:rPr>
                <w:rFonts w:ascii="Arial" w:cs="Arial" w:eastAsia="Arial" w:hAnsi="Arial"/>
                <w:sz w:val="16"/>
                <w:szCs w:val="16"/>
                <w:color w:val="auto"/>
              </w:rPr>
              <w:t>2,021,283</w:t>
            </w:r>
          </w:p>
        </w:tc>
        <w:tc>
          <w:tcPr>
            <w:tcW w:w="0" w:type="dxa"/>
            <w:vAlign w:val="bottom"/>
          </w:tcPr>
          <w:p>
            <w:pPr>
              <w:spacing w:after="0"/>
              <w:rPr>
                <w:sz w:val="1"/>
                <w:szCs w:val="1"/>
                <w:color w:val="auto"/>
              </w:rPr>
            </w:pPr>
          </w:p>
        </w:tc>
      </w:tr>
      <w:tr>
        <w:trPr>
          <w:trHeight w:val="84"/>
        </w:trPr>
        <w:tc>
          <w:tcPr>
            <w:tcW w:w="800" w:type="dxa"/>
            <w:vAlign w:val="bottom"/>
            <w:tcBorders>
              <w:bottom w:val="single" w:sz="8" w:color="E6E7E8"/>
            </w:tcBorders>
            <w:vMerge w:val="continue"/>
            <w:shd w:val="clear" w:color="auto" w:fill="E6E7E8"/>
          </w:tcPr>
          <w:p>
            <w:pPr>
              <w:spacing w:after="0"/>
              <w:rPr>
                <w:sz w:val="7"/>
                <w:szCs w:val="7"/>
                <w:color w:val="auto"/>
              </w:rPr>
            </w:pPr>
          </w:p>
        </w:tc>
        <w:tc>
          <w:tcPr>
            <w:tcW w:w="7900" w:type="dxa"/>
            <w:vAlign w:val="bottom"/>
            <w:tcBorders>
              <w:bottom w:val="single" w:sz="8" w:color="E6E7E8"/>
            </w:tcBorders>
            <w:shd w:val="clear" w:color="auto" w:fill="E6E7E8"/>
          </w:tcPr>
          <w:p>
            <w:pPr>
              <w:spacing w:after="0"/>
              <w:rPr>
                <w:sz w:val="7"/>
                <w:szCs w:val="7"/>
                <w:color w:val="auto"/>
              </w:rPr>
            </w:pPr>
          </w:p>
        </w:tc>
        <w:tc>
          <w:tcPr>
            <w:tcW w:w="120" w:type="dxa"/>
            <w:vAlign w:val="bottom"/>
            <w:tcBorders>
              <w:right w:val="single" w:sz="8" w:color="E6E7E8"/>
            </w:tcBorders>
          </w:tcPr>
          <w:p>
            <w:pPr>
              <w:spacing w:after="0"/>
              <w:rPr>
                <w:sz w:val="7"/>
                <w:szCs w:val="7"/>
                <w:color w:val="auto"/>
              </w:rPr>
            </w:pPr>
          </w:p>
        </w:tc>
        <w:tc>
          <w:tcPr>
            <w:tcW w:w="220" w:type="dxa"/>
            <w:vAlign w:val="bottom"/>
            <w:tcBorders>
              <w:bottom w:val="single" w:sz="8" w:color="E6E7E8"/>
            </w:tcBorders>
            <w:vMerge w:val="continue"/>
            <w:shd w:val="clear" w:color="auto" w:fill="E6E7E8"/>
          </w:tcPr>
          <w:p>
            <w:pPr>
              <w:spacing w:after="0"/>
              <w:rPr>
                <w:sz w:val="7"/>
                <w:szCs w:val="7"/>
                <w:color w:val="auto"/>
              </w:rPr>
            </w:pPr>
          </w:p>
        </w:tc>
        <w:tc>
          <w:tcPr>
            <w:tcW w:w="940" w:type="dxa"/>
            <w:vAlign w:val="bottom"/>
            <w:tcBorders>
              <w:bottom w:val="single" w:sz="8" w:color="E6E7E8"/>
            </w:tcBorders>
            <w:vMerge w:val="continue"/>
            <w:shd w:val="clear" w:color="auto" w:fill="E6E7E8"/>
          </w:tcPr>
          <w:p>
            <w:pPr>
              <w:spacing w:after="0"/>
              <w:rPr>
                <w:sz w:val="7"/>
                <w:szCs w:val="7"/>
                <w:color w:val="auto"/>
              </w:rPr>
            </w:pPr>
          </w:p>
        </w:tc>
        <w:tc>
          <w:tcPr>
            <w:tcW w:w="100" w:type="dxa"/>
            <w:vAlign w:val="bottom"/>
            <w:tcBorders>
              <w:right w:val="single" w:sz="8" w:color="E6E7E8"/>
            </w:tcBorders>
          </w:tcPr>
          <w:p>
            <w:pPr>
              <w:spacing w:after="0"/>
              <w:rPr>
                <w:sz w:val="7"/>
                <w:szCs w:val="7"/>
                <w:color w:val="auto"/>
              </w:rPr>
            </w:pPr>
          </w:p>
        </w:tc>
        <w:tc>
          <w:tcPr>
            <w:tcW w:w="240" w:type="dxa"/>
            <w:vAlign w:val="bottom"/>
            <w:tcBorders>
              <w:bottom w:val="single" w:sz="8" w:color="E6E7E8"/>
            </w:tcBorders>
            <w:vMerge w:val="continue"/>
            <w:shd w:val="clear" w:color="auto" w:fill="E6E7E8"/>
          </w:tcPr>
          <w:p>
            <w:pPr>
              <w:spacing w:after="0"/>
              <w:rPr>
                <w:sz w:val="7"/>
                <w:szCs w:val="7"/>
                <w:color w:val="auto"/>
              </w:rPr>
            </w:pPr>
          </w:p>
        </w:tc>
        <w:tc>
          <w:tcPr>
            <w:tcW w:w="920" w:type="dxa"/>
            <w:vAlign w:val="bottom"/>
            <w:tcBorders>
              <w:bottom w:val="single" w:sz="8" w:color="E6E7E8"/>
            </w:tcBorders>
            <w:vMerge w:val="continue"/>
            <w:shd w:val="clear" w:color="auto" w:fill="E6E7E8"/>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8700" w:type="dxa"/>
            <w:vAlign w:val="bottom"/>
            <w:tcBorders>
              <w:top w:val="single" w:sz="8" w:color="939598"/>
              <w:bottom w:val="single" w:sz="8" w:color="939598"/>
            </w:tcBorders>
            <w:gridSpan w:val="2"/>
          </w:tcPr>
          <w:p>
            <w:pPr>
              <w:ind w:left="20"/>
              <w:spacing w:after="0"/>
              <w:rPr>
                <w:sz w:val="20"/>
                <w:szCs w:val="20"/>
                <w:color w:val="auto"/>
              </w:rPr>
            </w:pPr>
            <w:r>
              <w:rPr>
                <w:rFonts w:ascii="Arial" w:cs="Arial" w:eastAsia="Arial" w:hAnsi="Arial"/>
                <w:sz w:val="16"/>
                <w:szCs w:val="16"/>
                <w:b w:val="1"/>
                <w:bCs w:val="1"/>
                <w:color w:val="004A98"/>
              </w:rPr>
              <w:t>Audit-related fees</w:t>
            </w:r>
          </w:p>
        </w:tc>
        <w:tc>
          <w:tcPr>
            <w:tcW w:w="120" w:type="dxa"/>
            <w:vAlign w:val="bottom"/>
          </w:tcPr>
          <w:p>
            <w:pPr>
              <w:spacing w:after="0"/>
              <w:rPr>
                <w:sz w:val="18"/>
                <w:szCs w:val="18"/>
                <w:color w:val="auto"/>
              </w:rPr>
            </w:pPr>
          </w:p>
        </w:tc>
        <w:tc>
          <w:tcPr>
            <w:tcW w:w="220" w:type="dxa"/>
            <w:vAlign w:val="bottom"/>
            <w:tcBorders>
              <w:top w:val="single" w:sz="8" w:color="939598"/>
              <w:bottom w:val="single" w:sz="8" w:color="939598"/>
            </w:tcBorders>
          </w:tcPr>
          <w:p>
            <w:pPr>
              <w:spacing w:after="0"/>
              <w:rPr>
                <w:sz w:val="18"/>
                <w:szCs w:val="18"/>
                <w:color w:val="auto"/>
              </w:rPr>
            </w:pPr>
          </w:p>
        </w:tc>
        <w:tc>
          <w:tcPr>
            <w:tcW w:w="940" w:type="dxa"/>
            <w:vAlign w:val="bottom"/>
            <w:tcBorders>
              <w:top w:val="single" w:sz="8" w:color="939598"/>
              <w:bottom w:val="single" w:sz="8" w:color="939598"/>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939598"/>
              <w:bottom w:val="single" w:sz="8" w:color="939598"/>
            </w:tcBorders>
          </w:tcPr>
          <w:p>
            <w:pPr>
              <w:spacing w:after="0"/>
              <w:rPr>
                <w:sz w:val="18"/>
                <w:szCs w:val="18"/>
                <w:color w:val="auto"/>
              </w:rPr>
            </w:pPr>
          </w:p>
        </w:tc>
        <w:tc>
          <w:tcPr>
            <w:tcW w:w="920" w:type="dxa"/>
            <w:vAlign w:val="bottom"/>
            <w:tcBorders>
              <w:top w:val="single" w:sz="8" w:color="939598"/>
              <w:bottom w:val="single" w:sz="8" w:color="939598"/>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700" w:type="dxa"/>
            <w:vAlign w:val="bottom"/>
            <w:tcBorders>
              <w:bottom w:val="single" w:sz="8" w:color="939598"/>
            </w:tcBorders>
            <w:gridSpan w:val="2"/>
            <w:shd w:val="clear" w:color="auto" w:fill="E6E7E8"/>
          </w:tcPr>
          <w:p>
            <w:pPr>
              <w:ind w:left="20"/>
              <w:spacing w:after="0"/>
              <w:rPr>
                <w:sz w:val="20"/>
                <w:szCs w:val="20"/>
                <w:color w:val="auto"/>
              </w:rPr>
            </w:pPr>
            <w:r>
              <w:rPr>
                <w:rFonts w:ascii="Arial" w:cs="Arial" w:eastAsia="Arial" w:hAnsi="Arial"/>
                <w:sz w:val="16"/>
                <w:szCs w:val="16"/>
                <w:b w:val="1"/>
                <w:bCs w:val="1"/>
                <w:color w:val="004A98"/>
              </w:rPr>
              <w:t>Tax fees</w:t>
            </w:r>
          </w:p>
        </w:tc>
        <w:tc>
          <w:tcPr>
            <w:tcW w:w="120" w:type="dxa"/>
            <w:vAlign w:val="bottom"/>
            <w:tcBorders>
              <w:right w:val="single" w:sz="8" w:color="E6E7E8"/>
            </w:tcBorders>
          </w:tcPr>
          <w:p>
            <w:pPr>
              <w:spacing w:after="0"/>
              <w:rPr>
                <w:sz w:val="18"/>
                <w:szCs w:val="18"/>
                <w:color w:val="auto"/>
              </w:rPr>
            </w:pPr>
          </w:p>
        </w:tc>
        <w:tc>
          <w:tcPr>
            <w:tcW w:w="220" w:type="dxa"/>
            <w:vAlign w:val="bottom"/>
            <w:tcBorders>
              <w:bottom w:val="single" w:sz="8" w:color="939598"/>
            </w:tcBorders>
            <w:shd w:val="clear" w:color="auto" w:fill="E6E7E8"/>
          </w:tcPr>
          <w:p>
            <w:pPr>
              <w:spacing w:after="0"/>
              <w:rPr>
                <w:sz w:val="18"/>
                <w:szCs w:val="18"/>
                <w:color w:val="auto"/>
              </w:rPr>
            </w:pPr>
          </w:p>
        </w:tc>
        <w:tc>
          <w:tcPr>
            <w:tcW w:w="940" w:type="dxa"/>
            <w:vAlign w:val="bottom"/>
            <w:tcBorders>
              <w:bottom w:val="single" w:sz="8" w:color="939598"/>
            </w:tcBorders>
            <w:shd w:val="clear" w:color="auto" w:fill="E6E7E8"/>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E6E7E8"/>
            </w:tcBorders>
          </w:tcPr>
          <w:p>
            <w:pPr>
              <w:spacing w:after="0"/>
              <w:rPr>
                <w:sz w:val="18"/>
                <w:szCs w:val="18"/>
                <w:color w:val="auto"/>
              </w:rPr>
            </w:pPr>
          </w:p>
        </w:tc>
        <w:tc>
          <w:tcPr>
            <w:tcW w:w="240" w:type="dxa"/>
            <w:vAlign w:val="bottom"/>
            <w:tcBorders>
              <w:bottom w:val="single" w:sz="8" w:color="939598"/>
            </w:tcBorders>
            <w:shd w:val="clear" w:color="auto" w:fill="E6E7E8"/>
          </w:tcPr>
          <w:p>
            <w:pPr>
              <w:spacing w:after="0"/>
              <w:rPr>
                <w:sz w:val="18"/>
                <w:szCs w:val="18"/>
                <w:color w:val="auto"/>
              </w:rPr>
            </w:pPr>
          </w:p>
        </w:tc>
        <w:tc>
          <w:tcPr>
            <w:tcW w:w="920" w:type="dxa"/>
            <w:vAlign w:val="bottom"/>
            <w:tcBorders>
              <w:bottom w:val="single" w:sz="8" w:color="939598"/>
            </w:tcBorders>
            <w:shd w:val="clear" w:color="auto" w:fill="E6E7E8"/>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700" w:type="dxa"/>
            <w:vAlign w:val="bottom"/>
            <w:tcBorders>
              <w:bottom w:val="single" w:sz="8" w:color="939598"/>
            </w:tcBorders>
            <w:gridSpan w:val="2"/>
          </w:tcPr>
          <w:p>
            <w:pPr>
              <w:ind w:left="20"/>
              <w:spacing w:after="0" w:line="210" w:lineRule="exact"/>
              <w:rPr>
                <w:sz w:val="20"/>
                <w:szCs w:val="20"/>
                <w:color w:val="auto"/>
              </w:rPr>
            </w:pPr>
            <w:r>
              <w:rPr>
                <w:rFonts w:ascii="Arial" w:cs="Arial" w:eastAsia="Arial" w:hAnsi="Arial"/>
                <w:sz w:val="16"/>
                <w:szCs w:val="16"/>
                <w:b w:val="1"/>
                <w:bCs w:val="1"/>
                <w:color w:val="004A98"/>
              </w:rPr>
              <w:t>All other fees</w:t>
            </w:r>
            <w:r>
              <w:rPr>
                <w:rFonts w:ascii="Arial" w:cs="Arial" w:eastAsia="Arial" w:hAnsi="Arial"/>
                <w:sz w:val="21"/>
                <w:szCs w:val="21"/>
                <w:b w:val="1"/>
                <w:bCs w:val="1"/>
                <w:color w:val="004A98"/>
                <w:vertAlign w:val="superscript"/>
              </w:rPr>
              <w:t>(2)</w:t>
            </w:r>
          </w:p>
        </w:tc>
        <w:tc>
          <w:tcPr>
            <w:tcW w:w="120" w:type="dxa"/>
            <w:vAlign w:val="bottom"/>
          </w:tcPr>
          <w:p>
            <w:pPr>
              <w:spacing w:after="0"/>
              <w:rPr>
                <w:sz w:val="18"/>
                <w:szCs w:val="18"/>
                <w:color w:val="auto"/>
              </w:rPr>
            </w:pPr>
          </w:p>
        </w:tc>
        <w:tc>
          <w:tcPr>
            <w:tcW w:w="220" w:type="dxa"/>
            <w:vAlign w:val="bottom"/>
            <w:tcBorders>
              <w:bottom w:val="single" w:sz="8" w:color="939598"/>
            </w:tcBorders>
          </w:tcPr>
          <w:p>
            <w:pPr>
              <w:spacing w:after="0"/>
              <w:rPr>
                <w:sz w:val="18"/>
                <w:szCs w:val="18"/>
                <w:color w:val="auto"/>
              </w:rPr>
            </w:pPr>
          </w:p>
        </w:tc>
        <w:tc>
          <w:tcPr>
            <w:tcW w:w="940" w:type="dxa"/>
            <w:vAlign w:val="bottom"/>
            <w:tcBorders>
              <w:bottom w:val="single" w:sz="8" w:color="939598"/>
            </w:tcBorders>
          </w:tcPr>
          <w:p>
            <w:pPr>
              <w:jc w:val="right"/>
              <w:ind w:right="2"/>
              <w:spacing w:after="0"/>
              <w:rPr>
                <w:sz w:val="20"/>
                <w:szCs w:val="20"/>
                <w:color w:val="auto"/>
              </w:rPr>
            </w:pPr>
            <w:r>
              <w:rPr>
                <w:rFonts w:ascii="Arial" w:cs="Arial" w:eastAsia="Arial" w:hAnsi="Arial"/>
                <w:sz w:val="16"/>
                <w:szCs w:val="16"/>
                <w:color w:val="auto"/>
              </w:rPr>
              <w:t>18,000</w:t>
            </w:r>
          </w:p>
        </w:tc>
        <w:tc>
          <w:tcPr>
            <w:tcW w:w="100" w:type="dxa"/>
            <w:vAlign w:val="bottom"/>
          </w:tcPr>
          <w:p>
            <w:pPr>
              <w:spacing w:after="0"/>
              <w:rPr>
                <w:sz w:val="18"/>
                <w:szCs w:val="18"/>
                <w:color w:val="auto"/>
              </w:rPr>
            </w:pPr>
          </w:p>
        </w:tc>
        <w:tc>
          <w:tcPr>
            <w:tcW w:w="240" w:type="dxa"/>
            <w:vAlign w:val="bottom"/>
            <w:tcBorders>
              <w:bottom w:val="single" w:sz="8" w:color="939598"/>
            </w:tcBorders>
          </w:tcPr>
          <w:p>
            <w:pPr>
              <w:spacing w:after="0"/>
              <w:rPr>
                <w:sz w:val="18"/>
                <w:szCs w:val="18"/>
                <w:color w:val="auto"/>
              </w:rPr>
            </w:pPr>
          </w:p>
        </w:tc>
        <w:tc>
          <w:tcPr>
            <w:tcW w:w="920" w:type="dxa"/>
            <w:vAlign w:val="bottom"/>
            <w:tcBorders>
              <w:bottom w:val="single" w:sz="8" w:color="939598"/>
            </w:tcBorders>
          </w:tcPr>
          <w:p>
            <w:pPr>
              <w:jc w:val="right"/>
              <w:ind w:right="2"/>
              <w:spacing w:after="0"/>
              <w:rPr>
                <w:sz w:val="20"/>
                <w:szCs w:val="20"/>
                <w:color w:val="auto"/>
              </w:rPr>
            </w:pPr>
            <w:r>
              <w:rPr>
                <w:rFonts w:ascii="Arial" w:cs="Arial" w:eastAsia="Arial" w:hAnsi="Arial"/>
                <w:sz w:val="16"/>
                <w:szCs w:val="16"/>
                <w:color w:val="auto"/>
              </w:rPr>
              <w:t>18,000</w:t>
            </w:r>
          </w:p>
        </w:tc>
        <w:tc>
          <w:tcPr>
            <w:tcW w:w="0" w:type="dxa"/>
            <w:vAlign w:val="bottom"/>
          </w:tcPr>
          <w:p>
            <w:pPr>
              <w:spacing w:after="0"/>
              <w:rPr>
                <w:sz w:val="1"/>
                <w:szCs w:val="1"/>
                <w:color w:val="auto"/>
              </w:rPr>
            </w:pPr>
          </w:p>
        </w:tc>
      </w:tr>
      <w:tr>
        <w:trPr>
          <w:trHeight w:val="210"/>
        </w:trPr>
        <w:tc>
          <w:tcPr>
            <w:tcW w:w="8700" w:type="dxa"/>
            <w:vAlign w:val="bottom"/>
            <w:tcBorders>
              <w:bottom w:val="single" w:sz="8" w:color="939598"/>
            </w:tcBorders>
            <w:gridSpan w:val="2"/>
            <w:shd w:val="clear" w:color="auto" w:fill="E6E7E8"/>
          </w:tcPr>
          <w:p>
            <w:pPr>
              <w:ind w:left="20"/>
              <w:spacing w:after="0"/>
              <w:rPr>
                <w:sz w:val="20"/>
                <w:szCs w:val="20"/>
                <w:color w:val="auto"/>
              </w:rPr>
            </w:pPr>
            <w:r>
              <w:rPr>
                <w:rFonts w:ascii="Arial" w:cs="Arial" w:eastAsia="Arial" w:hAnsi="Arial"/>
                <w:sz w:val="16"/>
                <w:szCs w:val="16"/>
                <w:b w:val="1"/>
                <w:bCs w:val="1"/>
                <w:color w:val="004A98"/>
              </w:rPr>
              <w:t>Total fees</w:t>
            </w:r>
          </w:p>
        </w:tc>
        <w:tc>
          <w:tcPr>
            <w:tcW w:w="120" w:type="dxa"/>
            <w:vAlign w:val="bottom"/>
            <w:tcBorders>
              <w:right w:val="single" w:sz="8" w:color="E6E7E8"/>
            </w:tcBorders>
          </w:tcPr>
          <w:p>
            <w:pPr>
              <w:spacing w:after="0"/>
              <w:rPr>
                <w:sz w:val="18"/>
                <w:szCs w:val="18"/>
                <w:color w:val="auto"/>
              </w:rPr>
            </w:pPr>
          </w:p>
        </w:tc>
        <w:tc>
          <w:tcPr>
            <w:tcW w:w="220" w:type="dxa"/>
            <w:vAlign w:val="bottom"/>
            <w:tcBorders>
              <w:bottom w:val="single" w:sz="8" w:color="939598"/>
            </w:tcBorders>
            <w:shd w:val="clear" w:color="auto" w:fill="E6E7E8"/>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939598"/>
            </w:tcBorders>
            <w:shd w:val="clear" w:color="auto" w:fill="E6E7E8"/>
          </w:tcPr>
          <w:p>
            <w:pPr>
              <w:jc w:val="right"/>
              <w:ind w:right="2"/>
              <w:spacing w:after="0"/>
              <w:rPr>
                <w:sz w:val="20"/>
                <w:szCs w:val="20"/>
                <w:color w:val="auto"/>
              </w:rPr>
            </w:pPr>
            <w:r>
              <w:rPr>
                <w:rFonts w:ascii="Arial" w:cs="Arial" w:eastAsia="Arial" w:hAnsi="Arial"/>
                <w:sz w:val="16"/>
                <w:szCs w:val="16"/>
                <w:color w:val="auto"/>
              </w:rPr>
              <w:t>1,833,735</w:t>
            </w:r>
          </w:p>
        </w:tc>
        <w:tc>
          <w:tcPr>
            <w:tcW w:w="100" w:type="dxa"/>
            <w:vAlign w:val="bottom"/>
            <w:tcBorders>
              <w:right w:val="single" w:sz="8" w:color="E6E7E8"/>
            </w:tcBorders>
          </w:tcPr>
          <w:p>
            <w:pPr>
              <w:spacing w:after="0"/>
              <w:rPr>
                <w:sz w:val="18"/>
                <w:szCs w:val="18"/>
                <w:color w:val="auto"/>
              </w:rPr>
            </w:pPr>
          </w:p>
        </w:tc>
        <w:tc>
          <w:tcPr>
            <w:tcW w:w="240" w:type="dxa"/>
            <w:vAlign w:val="bottom"/>
            <w:tcBorders>
              <w:bottom w:val="single" w:sz="8" w:color="939598"/>
            </w:tcBorders>
            <w:shd w:val="clear" w:color="auto" w:fill="E6E7E8"/>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939598"/>
            </w:tcBorders>
            <w:shd w:val="clear" w:color="auto" w:fill="E6E7E8"/>
          </w:tcPr>
          <w:p>
            <w:pPr>
              <w:jc w:val="right"/>
              <w:ind w:right="2"/>
              <w:spacing w:after="0"/>
              <w:rPr>
                <w:sz w:val="20"/>
                <w:szCs w:val="20"/>
                <w:color w:val="auto"/>
              </w:rPr>
            </w:pPr>
            <w:r>
              <w:rPr>
                <w:rFonts w:ascii="Arial" w:cs="Arial" w:eastAsia="Arial" w:hAnsi="Arial"/>
                <w:sz w:val="16"/>
                <w:szCs w:val="16"/>
                <w:color w:val="auto"/>
              </w:rPr>
              <w:t>2,039,283</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80" w:hanging="252"/>
        <w:spacing w:after="0"/>
        <w:tabs>
          <w:tab w:leader="none" w:pos="264"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Audit fees consist of fees for the integrated audit of the annual financial statements included in our Annual Reports on Form 10-K, the review of the interim financial statements included in our Quarterly Reports on Form 10-Q, and other professional services provided in connection with statutory and regulatory filings or engagements for those years.</w:t>
      </w:r>
    </w:p>
    <w:p>
      <w:pPr>
        <w:spacing w:after="0" w:line="186"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All other fees consist of registration fees for three employees to participate in a KPMG leadership program.</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60" w:hanging="434"/>
        <w:spacing w:after="0"/>
        <w:tabs>
          <w:tab w:leader="none" w:pos="460" w:val="left"/>
        </w:tabs>
        <w:numPr>
          <w:ilvl w:val="0"/>
          <w:numId w:val="17"/>
        </w:numPr>
        <w:rPr>
          <w:rFonts w:ascii="Arial" w:cs="Arial" w:eastAsia="Arial" w:hAnsi="Arial"/>
          <w:sz w:val="14"/>
          <w:szCs w:val="14"/>
          <w:b w:val="1"/>
          <w:bCs w:val="1"/>
          <w:color w:val="004A98"/>
        </w:rPr>
      </w:pP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Voting Roadmap</w:t>
      </w:r>
    </w:p>
    <w:p>
      <w:pPr>
        <w:spacing w:after="0" w:line="24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Proposal No.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362710" cy="1460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362710" cy="146050"/>
                    </a:xfrm>
                    <a:prstGeom prst="rect">
                      <a:avLst/>
                    </a:prstGeom>
                    <a:noFill/>
                  </pic:spPr>
                </pic:pic>
              </a:graphicData>
            </a:graphic>
          </wp:anchor>
        </w:drawing>
      </w:r>
    </w:p>
    <w:p>
      <w:pPr>
        <w:spacing w:after="0" w:line="396" w:lineRule="exact"/>
        <w:rPr>
          <w:sz w:val="20"/>
          <w:szCs w:val="20"/>
          <w:color w:val="auto"/>
        </w:rPr>
      </w:pPr>
    </w:p>
    <w:p>
      <w:pPr>
        <w:jc w:val="both"/>
        <w:ind w:right="580"/>
        <w:spacing w:after="0" w:line="276" w:lineRule="auto"/>
        <w:rPr>
          <w:sz w:val="20"/>
          <w:szCs w:val="20"/>
          <w:color w:val="auto"/>
        </w:rPr>
      </w:pPr>
      <w:r>
        <w:rPr>
          <w:rFonts w:ascii="Arial" w:cs="Arial" w:eastAsia="Arial" w:hAnsi="Arial"/>
          <w:sz w:val="32"/>
          <w:szCs w:val="32"/>
          <w:b w:val="1"/>
          <w:bCs w:val="1"/>
          <w:color w:val="004A98"/>
        </w:rPr>
        <w:t>Approval of an Amendment to the Company’s Restated Certificate of Incorporation to Limit the Liability of Certain Officers as Permitted by Delaware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36195</wp:posOffset>
            </wp:positionV>
            <wp:extent cx="7149465" cy="3511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3511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rPr>
          <w:sz w:val="20"/>
          <w:szCs w:val="20"/>
          <w:color w:val="auto"/>
        </w:rPr>
      </w:pPr>
      <w:r>
        <w:rPr>
          <w:sz w:val="1"/>
          <w:szCs w:val="1"/>
          <w:color w:val="auto"/>
        </w:rPr>
        <w:drawing>
          <wp:inline distT="0" distB="0" distL="0" distR="0">
            <wp:extent cx="17145" cy="333375"/>
            <wp:effectExtent l="0" t="0" r="0" b="0"/>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145" cy="333375"/>
                    </a:xfrm>
                    <a:prstGeom prst="rect">
                      <a:avLst/>
                    </a:prstGeom>
                    <a:noFill/>
                    <a:ln>
                      <a:noFill/>
                    </a:ln>
                  </pic:spPr>
                </pic:pic>
              </a:graphicData>
            </a:graphic>
          </wp:inline>
        </w:drawing>
        <w:drawing>
          <wp:inline distT="0" distB="0" distL="0" distR="0">
            <wp:extent cx="257175" cy="25717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7175" cy="257175"/>
                    </a:xfrm>
                    <a:prstGeom prst="rect">
                      <a:avLst/>
                    </a:prstGeom>
                    <a:noFill/>
                    <a:ln>
                      <a:noFill/>
                    </a:ln>
                  </pic:spPr>
                </pic:pic>
              </a:graphicData>
            </a:graphic>
          </wp:inline>
        </w:drawing>
      </w:r>
      <w:r>
        <w:rPr>
          <w:rFonts w:ascii="Arial" w:cs="Arial" w:eastAsia="Arial" w:hAnsi="Arial"/>
          <w:sz w:val="32"/>
          <w:szCs w:val="32"/>
          <w:b w:val="1"/>
          <w:bCs w:val="1"/>
          <w:color w:val="004A98"/>
        </w:rPr>
        <w:t xml:space="preserve"> FOR</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tabs>
          <w:tab w:leader="none" w:pos="7600" w:val="left"/>
        </w:tabs>
        <w:rPr>
          <w:sz w:val="20"/>
          <w:szCs w:val="20"/>
          <w:color w:val="auto"/>
        </w:rPr>
      </w:pPr>
      <w:r>
        <w:rPr>
          <w:rFonts w:ascii="Arial" w:cs="Arial" w:eastAsia="Arial" w:hAnsi="Arial"/>
          <w:sz w:val="16"/>
          <w:szCs w:val="16"/>
          <w:b w:val="1"/>
          <w:bCs w:val="1"/>
          <w:color w:val="004A98"/>
        </w:rPr>
        <w:t>The Board recommends a vote FOR this proposal.</w:t>
      </w:r>
      <w:r>
        <w:rPr>
          <w:sz w:val="20"/>
          <w:szCs w:val="20"/>
          <w:color w:val="auto"/>
        </w:rPr>
        <w:tab/>
      </w:r>
      <w:r>
        <w:rPr>
          <w:rFonts w:ascii="Arial" w:cs="Arial" w:eastAsia="Arial" w:hAnsi="Arial"/>
          <w:sz w:val="16"/>
          <w:szCs w:val="16"/>
          <w:b w:val="1"/>
          <w:bCs w:val="1"/>
          <w:color w:val="004A98"/>
        </w:rPr>
        <w:t>See page 48</w:t>
      </w:r>
    </w:p>
    <w:p>
      <w:pPr>
        <w:spacing w:after="0" w:line="390" w:lineRule="exact"/>
        <w:rPr>
          <w:sz w:val="20"/>
          <w:szCs w:val="20"/>
          <w:color w:val="auto"/>
        </w:rPr>
      </w:pPr>
    </w:p>
    <w:p>
      <w:pPr>
        <w:sectPr>
          <w:pgSz w:w="11900" w:h="16838" w:orient="portrait"/>
          <w:cols w:equalWidth="0" w:num="2">
            <w:col w:w="1360" w:space="720"/>
            <w:col w:w="9160"/>
          </w:cols>
          <w:pgMar w:left="320" w:top="122" w:right="339" w:bottom="1440" w:gutter="0" w:footer="0" w:header="0"/>
          <w:type w:val="continuous"/>
        </w:sectPr>
      </w:pPr>
    </w:p>
    <w:p>
      <w:pPr>
        <w:spacing w:after="0" w:line="6"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In 2022, the State of Delaware enacted legislation that amends Section 102(b)(7) of the Delaware General Corporation Law (“DGCL”) to authorize Delaware companies to eliminate or limit the personal liability of certain officers for monetary damages for breach of duty of care in certain circumstances. Prior to this amendment, exculpation from personal liability for monetary damages associated with breaches of the duty of care could be provided to directors but could not be provided to officers.</w:t>
      </w:r>
    </w:p>
    <w:p>
      <w:pPr>
        <w:spacing w:after="0" w:line="65"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After careful consideration, the Board has approved, subject to approval of this Proposal No. 4 by the stockholders, an amendment to the Company’s Restated Certification of Incorporation (the “Charter”) to include an officer exculpation provision in the Charter (the “Amendment”). No conforming amendments to the Bylaws will be required to effectuate the adoption of the officer exculpation provision noted above. The Amendment would become effective upon the filing of the Amendment with the Secretary of State of the State of Delaware, which we would file promptly following the Annual Meeting if our stockholders approve the Amendment. The Amendment is attached to this proxy statement as Appendix A.</w:t>
      </w:r>
    </w:p>
    <w:p>
      <w:pPr>
        <w:spacing w:after="0" w:line="343"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Proposal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362710" cy="1454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362710" cy="145415"/>
                    </a:xfrm>
                    <a:prstGeom prst="rect">
                      <a:avLst/>
                    </a:prstGeom>
                    <a:noFill/>
                  </pic:spPr>
                </pic:pic>
              </a:graphicData>
            </a:graphic>
          </wp:anchor>
        </w:drawing>
      </w:r>
    </w:p>
    <w:p>
      <w:pPr>
        <w:spacing w:after="0" w:line="113" w:lineRule="exact"/>
        <w:rPr>
          <w:sz w:val="20"/>
          <w:szCs w:val="20"/>
          <w:color w:val="auto"/>
        </w:rPr>
      </w:pPr>
    </w:p>
    <w:p>
      <w:pPr>
        <w:spacing w:after="0"/>
        <w:rPr>
          <w:sz w:val="20"/>
          <w:szCs w:val="20"/>
          <w:color w:val="auto"/>
        </w:rPr>
      </w:pPr>
      <w:r>
        <w:rPr>
          <w:rFonts w:ascii="Arial" w:cs="Arial" w:eastAsia="Arial" w:hAnsi="Arial"/>
          <w:sz w:val="32"/>
          <w:szCs w:val="32"/>
          <w:b w:val="1"/>
          <w:bCs w:val="1"/>
          <w:color w:val="929292"/>
        </w:rPr>
        <w:t>Stockholder Proposal to Permit Stockholder Action by Written Consent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111125</wp:posOffset>
            </wp:positionV>
            <wp:extent cx="7140575" cy="4025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0575" cy="4025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p>
      <w:pPr>
        <w:spacing w:after="0" w:line="107" w:lineRule="exact"/>
        <w:rPr>
          <w:sz w:val="20"/>
          <w:szCs w:val="20"/>
          <w:color w:val="auto"/>
        </w:rPr>
      </w:pPr>
    </w:p>
    <w:p>
      <w:pPr>
        <w:spacing w:after="0"/>
        <w:rPr>
          <w:sz w:val="20"/>
          <w:szCs w:val="20"/>
          <w:color w:val="auto"/>
        </w:rPr>
      </w:pPr>
      <w:r>
        <w:rPr>
          <w:sz w:val="1"/>
          <w:szCs w:val="1"/>
          <w:color w:val="auto"/>
        </w:rPr>
        <w:drawing>
          <wp:inline distT="0" distB="0" distL="0" distR="0">
            <wp:extent cx="8890" cy="402590"/>
            <wp:effectExtent l="0" t="0" r="0" b="0"/>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402590"/>
                    </a:xfrm>
                    <a:prstGeom prst="rect">
                      <a:avLst/>
                    </a:prstGeom>
                    <a:noFill/>
                    <a:ln>
                      <a:noFill/>
                    </a:ln>
                  </pic:spPr>
                </pic:pic>
              </a:graphicData>
            </a:graphic>
          </wp:inline>
        </w:drawing>
        <w:drawing>
          <wp:inline distT="0" distB="0" distL="0" distR="0">
            <wp:extent cx="325755" cy="32575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25755" cy="325755"/>
                    </a:xfrm>
                    <a:prstGeom prst="rect">
                      <a:avLst/>
                    </a:prstGeom>
                    <a:noFill/>
                    <a:ln>
                      <a:noFill/>
                    </a:ln>
                  </pic:spPr>
                </pic:pic>
              </a:graphicData>
            </a:graphic>
          </wp:inline>
        </w:drawing>
      </w:r>
      <w:r>
        <w:rPr>
          <w:rFonts w:ascii="Arial" w:cs="Arial" w:eastAsia="Arial" w:hAnsi="Arial"/>
          <w:sz w:val="32"/>
          <w:szCs w:val="32"/>
          <w:b w:val="1"/>
          <w:bCs w:val="1"/>
          <w:color w:val="929292"/>
        </w:rPr>
        <w:t xml:space="preserve"> AGAINST</w:t>
      </w:r>
    </w:p>
    <w:p>
      <w:pPr>
        <w:spacing w:after="0" w:line="20" w:lineRule="exact"/>
        <w:rPr>
          <w:sz w:val="20"/>
          <w:szCs w:val="20"/>
          <w:color w:val="auto"/>
        </w:rPr>
      </w:pPr>
      <w:r>
        <w:rPr>
          <w:sz w:val="20"/>
          <w:szCs w:val="20"/>
          <w:color w:val="auto"/>
        </w:rPr>
        <w:br w:type="column"/>
      </w:r>
    </w:p>
    <w:p>
      <w:pPr>
        <w:spacing w:after="0" w:line="357" w:lineRule="exact"/>
        <w:rPr>
          <w:sz w:val="20"/>
          <w:szCs w:val="20"/>
          <w:color w:val="auto"/>
        </w:rPr>
      </w:pPr>
    </w:p>
    <w:p>
      <w:pPr>
        <w:spacing w:after="0"/>
        <w:tabs>
          <w:tab w:leader="none" w:pos="6780" w:val="left"/>
        </w:tabs>
        <w:rPr>
          <w:sz w:val="20"/>
          <w:szCs w:val="20"/>
          <w:color w:val="auto"/>
        </w:rPr>
      </w:pPr>
      <w:r>
        <w:rPr>
          <w:rFonts w:ascii="Arial" w:cs="Arial" w:eastAsia="Arial" w:hAnsi="Arial"/>
          <w:sz w:val="16"/>
          <w:szCs w:val="16"/>
          <w:b w:val="1"/>
          <w:bCs w:val="1"/>
          <w:color w:val="6D6D6D"/>
        </w:rPr>
        <w:t>The Board recommends a vote AGAINST this proposal.</w:t>
      </w:r>
      <w:r>
        <w:rPr>
          <w:sz w:val="20"/>
          <w:szCs w:val="20"/>
          <w:color w:val="auto"/>
        </w:rPr>
        <w:tab/>
      </w:r>
      <w:r>
        <w:rPr>
          <w:rFonts w:ascii="Arial" w:cs="Arial" w:eastAsia="Arial" w:hAnsi="Arial"/>
          <w:sz w:val="15"/>
          <w:szCs w:val="15"/>
          <w:b w:val="1"/>
          <w:bCs w:val="1"/>
          <w:color w:val="929292"/>
        </w:rPr>
        <w:t>See page 50</w:t>
      </w:r>
    </w:p>
    <w:p>
      <w:pPr>
        <w:spacing w:after="0" w:line="448" w:lineRule="exact"/>
        <w:rPr>
          <w:sz w:val="20"/>
          <w:szCs w:val="20"/>
          <w:color w:val="auto"/>
        </w:rPr>
      </w:pPr>
    </w:p>
    <w:p>
      <w:pPr>
        <w:sectPr>
          <w:pgSz w:w="11900" w:h="16838" w:orient="portrait"/>
          <w:cols w:equalWidth="0" w:num="2">
            <w:col w:w="2200" w:space="720"/>
            <w:col w:w="832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7120"/>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4"/>
          <w:szCs w:val="14"/>
          <w:color w:val="auto"/>
        </w:rPr>
        <w:t>Proxy</w:t>
      </w:r>
    </w:p>
    <w:p>
      <w:pPr>
        <w:spacing w:after="0" w:line="15" w:lineRule="exact"/>
        <w:rPr>
          <w:sz w:val="20"/>
          <w:szCs w:val="20"/>
          <w:color w:val="auto"/>
        </w:rPr>
      </w:pPr>
    </w:p>
    <w:p>
      <w:pPr>
        <w:ind w:left="718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100"/>
        <w:spacing w:after="0"/>
        <w:rPr>
          <w:sz w:val="20"/>
          <w:szCs w:val="20"/>
          <w:color w:val="auto"/>
        </w:rPr>
      </w:pPr>
      <w:r>
        <w:rPr>
          <w:rFonts w:ascii="Arial" w:cs="Arial" w:eastAsia="Arial" w:hAnsi="Arial"/>
          <w:sz w:val="18"/>
          <w:szCs w:val="18"/>
          <w:b w:val="1"/>
          <w:bCs w:val="1"/>
          <w:color w:val="FFFFFF"/>
        </w:rPr>
        <w:t>Proposal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362710" cy="1454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362710" cy="14541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Election of Directors</w:t>
      </w:r>
    </w:p>
    <w:p>
      <w:pPr>
        <w:spacing w:after="0" w:line="134"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Board consists of nine directors. Each of the directors, with the exception of Ms. McCann, was elected to a one-year term at the 2024 Annual Meeting of Stockholders</w:t>
      </w:r>
      <w:r>
        <w:rPr>
          <w:rFonts w:ascii="Arial" w:cs="Arial" w:eastAsia="Arial" w:hAnsi="Arial"/>
          <w:sz w:val="16"/>
          <w:szCs w:val="16"/>
          <w:color w:val="008080"/>
        </w:rPr>
        <w:t>.</w:t>
      </w:r>
      <w:r>
        <w:rPr>
          <w:rFonts w:ascii="Arial" w:cs="Arial" w:eastAsia="Arial" w:hAnsi="Arial"/>
          <w:sz w:val="16"/>
          <w:szCs w:val="16"/>
          <w:color w:val="auto"/>
        </w:rPr>
        <w:t xml:space="preserve"> The terms of the current directors expire upon the election and qualification of the directors to be elected at the Annual Meeting. The Board has nominated eight of our current directors: D. James Bidzos; Courtney D. Armstrong; Yehuda Ari Buchalter; Kathleen A. Cote; Thomas F. Frist III; Jamie S. Gorelick; Debra W. McCann; and Timothy Tomlinson, for election at the Annual Meeting to serve until our 2026 Annual Meeting of Stockholders and until their respective successors have been elected and qualified. Proxies cannot be voted for more than eight persons, which is the number of nominees.</w:t>
      </w:r>
    </w:p>
    <w:p>
      <w:pPr>
        <w:spacing w:after="0" w:line="64" w:lineRule="exact"/>
        <w:rPr>
          <w:sz w:val="20"/>
          <w:szCs w:val="20"/>
          <w:color w:val="auto"/>
        </w:rPr>
      </w:pPr>
    </w:p>
    <w:p>
      <w:pPr>
        <w:ind w:right="280"/>
        <w:spacing w:after="0" w:line="261" w:lineRule="auto"/>
        <w:rPr>
          <w:sz w:val="20"/>
          <w:szCs w:val="20"/>
          <w:color w:val="auto"/>
        </w:rPr>
      </w:pPr>
      <w:r>
        <w:rPr>
          <w:rFonts w:ascii="Arial" w:cs="Arial" w:eastAsia="Arial" w:hAnsi="Arial"/>
          <w:sz w:val="16"/>
          <w:szCs w:val="16"/>
          <w:color w:val="auto"/>
        </w:rPr>
        <w:t>Unless otherwise directed, the persons named as proxies on the proxy card intend to vote all proxies FOR the election of the Board’s nominees, each of whom has consented to serve as a director if elected. In addition, if a proxy card is properly executed and returned but no direction is made, the persons named as proxies on the proxy card intend to vote all proxies FOR the election of the Board’s nominees. If any of the nominees is unable or declines to serve as a director, the discretionary authority provided in the enclosed proxy will be exercised to vote for a substitute candidate designated by the Board, unless the Board chooses to reduce its own size. The Board has no reason to believe that any of the nominees will be unable or will decline to serve if elected.</w:t>
      </w:r>
    </w:p>
    <w:p>
      <w:pPr>
        <w:spacing w:after="0" w:line="82"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As previously disclosed, Mr. Moore announced his retirement from the Board and will serve the remainder of his term ending at the Meeting. Effective as of the Meeting, the Board reduced the size of the Board to eight directors.</w:t>
      </w:r>
    </w:p>
    <w:p>
      <w:pPr>
        <w:spacing w:after="0" w:line="217" w:lineRule="exact"/>
        <w:rPr>
          <w:sz w:val="20"/>
          <w:szCs w:val="20"/>
          <w:color w:val="auto"/>
        </w:rPr>
      </w:pPr>
    </w:p>
    <w:tbl>
      <w:tblPr>
        <w:tblLayout w:type="fixed"/>
        <w:tblInd w:w="10" w:type="dxa"/>
        <w:tblCellMar>
          <w:top w:w="0" w:type="dxa"/>
          <w:left w:w="0" w:type="dxa"/>
          <w:bottom w:w="0" w:type="dxa"/>
          <w:right w:w="0" w:type="dxa"/>
        </w:tblCellMar>
      </w:tblPr>
      <w:tr>
        <w:trPr>
          <w:trHeight w:val="324"/>
        </w:trPr>
        <w:tc>
          <w:tcPr>
            <w:tcW w:w="1760" w:type="dxa"/>
            <w:vAlign w:val="bottom"/>
            <w:tcBorders>
              <w:top w:val="single" w:sz="8" w:color="004A98"/>
              <w:left w:val="single" w:sz="8" w:color="004A98"/>
            </w:tcBorders>
          </w:tcPr>
          <w:p>
            <w:pPr>
              <w:ind w:left="680"/>
              <w:spacing w:after="0" w:line="323" w:lineRule="exact"/>
              <w:rPr>
                <w:sz w:val="20"/>
                <w:szCs w:val="20"/>
                <w:color w:val="auto"/>
              </w:rPr>
            </w:pPr>
            <w:r>
              <w:rPr>
                <w:rFonts w:ascii="Arial" w:cs="Arial" w:eastAsia="Arial" w:hAnsi="Arial"/>
                <w:sz w:val="36"/>
                <w:szCs w:val="36"/>
                <w:b w:val="1"/>
                <w:bCs w:val="1"/>
                <w:color w:val="004A98"/>
              </w:rPr>
              <w:t>FOR</w:t>
            </w:r>
          </w:p>
        </w:tc>
        <w:tc>
          <w:tcPr>
            <w:tcW w:w="9500" w:type="dxa"/>
            <w:vAlign w:val="bottom"/>
            <w:tcBorders>
              <w:top w:val="single" w:sz="8" w:color="004A98"/>
              <w:right w:val="single" w:sz="8" w:color="004A98"/>
            </w:tcBorders>
            <w:vMerge w:val="restart"/>
          </w:tcPr>
          <w:p>
            <w:pPr>
              <w:ind w:left="340"/>
              <w:spacing w:after="0"/>
              <w:rPr>
                <w:sz w:val="20"/>
                <w:szCs w:val="20"/>
                <w:color w:val="auto"/>
              </w:rPr>
            </w:pPr>
            <w:r>
              <w:rPr>
                <w:rFonts w:ascii="Arial" w:cs="Arial" w:eastAsia="Arial" w:hAnsi="Arial"/>
                <w:sz w:val="16"/>
                <w:szCs w:val="16"/>
                <w:b w:val="1"/>
                <w:bCs w:val="1"/>
                <w:color w:val="004A98"/>
              </w:rPr>
              <w:t>The Board recommends a vote FOR the election of each of the foregoing director nominees.</w:t>
            </w:r>
          </w:p>
        </w:tc>
        <w:tc>
          <w:tcPr>
            <w:tcW w:w="0" w:type="dxa"/>
            <w:vAlign w:val="bottom"/>
          </w:tcPr>
          <w:p>
            <w:pPr>
              <w:spacing w:after="0"/>
              <w:rPr>
                <w:sz w:val="1"/>
                <w:szCs w:val="1"/>
                <w:color w:val="auto"/>
              </w:rPr>
            </w:pPr>
          </w:p>
        </w:tc>
      </w:tr>
      <w:tr>
        <w:trPr>
          <w:trHeight w:val="60"/>
        </w:trPr>
        <w:tc>
          <w:tcPr>
            <w:tcW w:w="1760" w:type="dxa"/>
            <w:vAlign w:val="bottom"/>
            <w:tcBorders>
              <w:left w:val="single" w:sz="8" w:color="004A98"/>
            </w:tcBorders>
          </w:tcPr>
          <w:p>
            <w:pPr>
              <w:spacing w:after="0"/>
              <w:rPr>
                <w:sz w:val="5"/>
                <w:szCs w:val="5"/>
                <w:color w:val="auto"/>
              </w:rPr>
            </w:pPr>
          </w:p>
        </w:tc>
        <w:tc>
          <w:tcPr>
            <w:tcW w:w="9500" w:type="dxa"/>
            <w:vAlign w:val="bottom"/>
            <w:tcBorders>
              <w:right w:val="single" w:sz="8" w:color="004A98"/>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1760" w:type="dxa"/>
            <w:vAlign w:val="bottom"/>
            <w:tcBorders>
              <w:left w:val="single" w:sz="8" w:color="004A98"/>
              <w:bottom w:val="single" w:sz="8" w:color="004A98"/>
            </w:tcBorders>
          </w:tcPr>
          <w:p>
            <w:pPr>
              <w:spacing w:after="0"/>
              <w:rPr>
                <w:sz w:val="13"/>
                <w:szCs w:val="13"/>
                <w:color w:val="auto"/>
              </w:rPr>
            </w:pPr>
          </w:p>
        </w:tc>
        <w:tc>
          <w:tcPr>
            <w:tcW w:w="9500" w:type="dxa"/>
            <w:vAlign w:val="bottom"/>
            <w:tcBorders>
              <w:bottom w:val="single" w:sz="8" w:color="004A98"/>
              <w:right w:val="single" w:sz="8" w:color="004A98"/>
            </w:tcBorders>
          </w:tcPr>
          <w:p>
            <w:pPr>
              <w:spacing w:after="0"/>
              <w:rPr>
                <w:sz w:val="13"/>
                <w:szCs w:val="13"/>
                <w:color w:val="auto"/>
              </w:rPr>
            </w:pPr>
          </w:p>
        </w:tc>
        <w:tc>
          <w:tcPr>
            <w:tcW w:w="0" w:type="dxa"/>
            <w:vAlign w:val="bottom"/>
          </w:tcPr>
          <w:p>
            <w:pPr>
              <w:spacing w:after="0"/>
              <w:rPr>
                <w:sz w:val="1"/>
                <w:szCs w:val="1"/>
                <w:color w:val="auto"/>
              </w:rPr>
            </w:pPr>
          </w:p>
        </w:tc>
      </w:tr>
      <w:tr>
        <w:trPr>
          <w:trHeight w:val="754"/>
        </w:trPr>
        <w:tc>
          <w:tcPr>
            <w:tcW w:w="1760" w:type="dxa"/>
            <w:vAlign w:val="bottom"/>
          </w:tcPr>
          <w:p>
            <w:pPr>
              <w:ind w:left="20"/>
              <w:spacing w:after="0"/>
              <w:rPr>
                <w:sz w:val="20"/>
                <w:szCs w:val="20"/>
                <w:color w:val="auto"/>
              </w:rPr>
            </w:pPr>
            <w:r>
              <w:rPr>
                <w:rFonts w:ascii="Arial" w:cs="Arial" w:eastAsia="Arial" w:hAnsi="Arial"/>
                <w:sz w:val="14"/>
                <w:szCs w:val="14"/>
                <w:b w:val="1"/>
                <w:bCs w:val="1"/>
                <w:color w:val="004A98"/>
              </w:rPr>
              <w:t>10    VeriSign, Inc.</w:t>
            </w:r>
          </w:p>
        </w:tc>
        <w:tc>
          <w:tcPr>
            <w:tcW w:w="9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1760" w:type="dxa"/>
            <w:vAlign w:val="bottom"/>
            <w:tcBorders>
              <w:bottom w:val="single" w:sz="8" w:color="9A9A9A"/>
            </w:tcBorders>
          </w:tcPr>
          <w:p>
            <w:pPr>
              <w:spacing w:after="0"/>
              <w:rPr>
                <w:sz w:val="17"/>
                <w:szCs w:val="17"/>
                <w:color w:val="auto"/>
              </w:rPr>
            </w:pPr>
          </w:p>
        </w:tc>
        <w:tc>
          <w:tcPr>
            <w:tcW w:w="9500" w:type="dxa"/>
            <w:vAlign w:val="bottom"/>
            <w:tcBorders>
              <w:bottom w:val="single" w:sz="8" w:color="9A9A9A"/>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64770</wp:posOffset>
            </wp:positionH>
            <wp:positionV relativeFrom="paragraph">
              <wp:posOffset>-951230</wp:posOffset>
            </wp:positionV>
            <wp:extent cx="257175" cy="25717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7175" cy="257175"/>
                    </a:xfrm>
                    <a:prstGeom prst="rect">
                      <a:avLst/>
                    </a:prstGeom>
                    <a:noFill/>
                  </pic:spPr>
                </pic:pic>
              </a:graphicData>
            </a:graphic>
          </wp:anchor>
        </w:drawing>
      </w:r>
    </w:p>
    <w:p>
      <w:pPr>
        <w:sectPr>
          <w:pgSz w:w="11900" w:h="16838" w:orient="portrait"/>
          <w:cols w:equalWidth="0" w:num="1">
            <w:col w:w="11260"/>
          </w:cols>
          <w:pgMar w:left="320" w:top="122" w:right="3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Proposal No. 1—Election of Directors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Independence, Skills and Experience</w:t>
      </w:r>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Independence of Directors</w:t>
      </w:r>
    </w:p>
    <w:p>
      <w:pPr>
        <w:spacing w:after="0" w:line="128" w:lineRule="exact"/>
        <w:rPr>
          <w:sz w:val="20"/>
          <w:szCs w:val="20"/>
          <w:color w:val="auto"/>
        </w:rPr>
      </w:pPr>
    </w:p>
    <w:p>
      <w:pPr>
        <w:ind w:right="60"/>
        <w:spacing w:after="0" w:line="258" w:lineRule="auto"/>
        <w:rPr>
          <w:sz w:val="20"/>
          <w:szCs w:val="20"/>
          <w:color w:val="auto"/>
        </w:rPr>
      </w:pPr>
      <w:r>
        <w:rPr>
          <w:rFonts w:ascii="Arial" w:cs="Arial" w:eastAsia="Arial" w:hAnsi="Arial"/>
          <w:sz w:val="16"/>
          <w:szCs w:val="16"/>
          <w:color w:val="auto"/>
        </w:rPr>
        <w:t>As required under The Nasdaq Stock Market’s listing standards, a majority of the members of our Board must qualify as “independent directors,” as determined by the Board. The Board and the Corporate Governance and Nominating Committee consulted with our legal counsel to confirm that the Board’s determinations are consistent with all relevant securities and other laws and regulations regarding the definition of “independent,” including those set forth in pertinent listing standards of The Nasdaq Stock Market. Consistent with these considerations, after review of all relevant transactions and relationships between each director, or any of his or her family members, and Verisign, our executive officers, or our independent registered public accounting firm, our Board affirmatively determined on February 12, 2025 that seven out of the eight continuing members of our Board are independent directors. Our continuing independent directors are: Mr. Armstrong; Dr. Buchalter; Ms. Cote; Mr. Frist; Ms. Gorelick; Ms. McCann; and Mr. Tomlinson. Each member of the Audit Committee, the Compensation Committee, and the Corporate Governance and Nominating Committee is an independent director. Each member of the Cybersecurity Committee other than Mr. Bidzos is an independent director. Mr. Bidzos serves as Executive Chairman, President and Chief Executive Officer and thus is not considered an independent director.</w:t>
      </w:r>
    </w:p>
    <w:p>
      <w:pPr>
        <w:spacing w:after="0" w:line="6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Skills and Experience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232021"/>
        </w:rPr>
        <w:t>The chart below shows the range of skills and experience represented on the Board:</w:t>
      </w:r>
    </w:p>
    <w:p>
      <w:pPr>
        <w:spacing w:after="0" w:line="168" w:lineRule="exact"/>
        <w:rPr>
          <w:sz w:val="20"/>
          <w:szCs w:val="20"/>
          <w:color w:val="auto"/>
        </w:rPr>
      </w:pPr>
    </w:p>
    <w:tbl>
      <w:tblPr>
        <w:tblLayout w:type="fixed"/>
        <w:tblInd w:w="3270" w:type="dxa"/>
        <w:tblCellMar>
          <w:top w:w="0" w:type="dxa"/>
          <w:left w:w="0" w:type="dxa"/>
          <w:bottom w:w="0" w:type="dxa"/>
          <w:right w:w="0" w:type="dxa"/>
        </w:tblCellMar>
      </w:tblPr>
      <w:tr>
        <w:trPr>
          <w:trHeight w:val="176"/>
        </w:trPr>
        <w:tc>
          <w:tcPr>
            <w:tcW w:w="880" w:type="dxa"/>
            <w:vAlign w:val="bottom"/>
            <w:tcBorders>
              <w:left w:val="single" w:sz="8" w:color="auto"/>
              <w:bottom w:val="single" w:sz="8" w:color="auto"/>
            </w:tcBorders>
          </w:tcPr>
          <w:p>
            <w:pPr>
              <w:ind w:left="200"/>
              <w:spacing w:after="0"/>
              <w:rPr>
                <w:sz w:val="20"/>
                <w:szCs w:val="20"/>
                <w:color w:val="auto"/>
              </w:rPr>
            </w:pPr>
            <w:r>
              <w:rPr>
                <w:rFonts w:ascii="Arial" w:cs="Arial" w:eastAsia="Arial" w:hAnsi="Arial"/>
                <w:sz w:val="13"/>
                <w:szCs w:val="13"/>
                <w:b w:val="1"/>
                <w:bCs w:val="1"/>
                <w:color w:val="auto"/>
              </w:rPr>
              <w:t>BIDZOS</w:t>
            </w:r>
          </w:p>
        </w:tc>
        <w:tc>
          <w:tcPr>
            <w:tcW w:w="120" w:type="dxa"/>
            <w:vAlign w:val="bottom"/>
            <w:tcBorders>
              <w:right w:val="single" w:sz="8" w:color="auto"/>
            </w:tcBorders>
          </w:tcPr>
          <w:p>
            <w:pPr>
              <w:spacing w:after="0"/>
              <w:rPr>
                <w:sz w:val="15"/>
                <w:szCs w:val="15"/>
                <w:color w:val="auto"/>
              </w:rPr>
            </w:pPr>
          </w:p>
        </w:tc>
        <w:tc>
          <w:tcPr>
            <w:tcW w:w="10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ARMSTRONG</w:t>
            </w:r>
          </w:p>
        </w:tc>
        <w:tc>
          <w:tcPr>
            <w:tcW w:w="120" w:type="dxa"/>
            <w:vAlign w:val="bottom"/>
            <w:tcBorders>
              <w:right w:val="single" w:sz="8" w:color="auto"/>
            </w:tcBorders>
          </w:tcPr>
          <w:p>
            <w:pPr>
              <w:spacing w:after="0"/>
              <w:rPr>
                <w:sz w:val="15"/>
                <w:szCs w:val="15"/>
                <w:color w:val="auto"/>
              </w:rPr>
            </w:pPr>
          </w:p>
        </w:tc>
        <w:tc>
          <w:tcPr>
            <w:tcW w:w="102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BUCHALTER</w:t>
            </w:r>
          </w:p>
        </w:tc>
        <w:tc>
          <w:tcPr>
            <w:tcW w:w="120" w:type="dxa"/>
            <w:vAlign w:val="bottom"/>
            <w:tcBorders>
              <w:right w:val="single" w:sz="8" w:color="auto"/>
            </w:tcBorders>
          </w:tcPr>
          <w:p>
            <w:pPr>
              <w:spacing w:after="0"/>
              <w:rPr>
                <w:sz w:val="15"/>
                <w:szCs w:val="15"/>
                <w:color w:val="auto"/>
              </w:rPr>
            </w:pPr>
          </w:p>
        </w:tc>
        <w:tc>
          <w:tcPr>
            <w:tcW w:w="800" w:type="dxa"/>
            <w:vAlign w:val="bottom"/>
            <w:tcBorders>
              <w:bottom w:val="single" w:sz="8" w:color="auto"/>
            </w:tcBorders>
          </w:tcPr>
          <w:p>
            <w:pPr>
              <w:ind w:left="220"/>
              <w:spacing w:after="0"/>
              <w:rPr>
                <w:sz w:val="20"/>
                <w:szCs w:val="20"/>
                <w:color w:val="auto"/>
              </w:rPr>
            </w:pPr>
            <w:r>
              <w:rPr>
                <w:rFonts w:ascii="Arial" w:cs="Arial" w:eastAsia="Arial" w:hAnsi="Arial"/>
                <w:sz w:val="13"/>
                <w:szCs w:val="13"/>
                <w:b w:val="1"/>
                <w:bCs w:val="1"/>
                <w:color w:val="auto"/>
              </w:rPr>
              <w:t>COTE</w:t>
            </w:r>
          </w:p>
        </w:tc>
        <w:tc>
          <w:tcPr>
            <w:tcW w:w="100" w:type="dxa"/>
            <w:vAlign w:val="bottom"/>
            <w:tcBorders>
              <w:right w:val="single" w:sz="8" w:color="auto"/>
            </w:tcBorders>
          </w:tcPr>
          <w:p>
            <w:pPr>
              <w:spacing w:after="0"/>
              <w:rPr>
                <w:sz w:val="15"/>
                <w:szCs w:val="15"/>
                <w:color w:val="auto"/>
              </w:rPr>
            </w:pPr>
          </w:p>
        </w:tc>
        <w:tc>
          <w:tcPr>
            <w:tcW w:w="680" w:type="dxa"/>
            <w:vAlign w:val="bottom"/>
            <w:tcBorders>
              <w:bottom w:val="single" w:sz="8" w:color="auto"/>
            </w:tcBorders>
          </w:tcPr>
          <w:p>
            <w:pPr>
              <w:ind w:left="160"/>
              <w:spacing w:after="0"/>
              <w:rPr>
                <w:sz w:val="20"/>
                <w:szCs w:val="20"/>
                <w:color w:val="auto"/>
              </w:rPr>
            </w:pPr>
            <w:r>
              <w:rPr>
                <w:rFonts w:ascii="Arial" w:cs="Arial" w:eastAsia="Arial" w:hAnsi="Arial"/>
                <w:sz w:val="13"/>
                <w:szCs w:val="13"/>
                <w:b w:val="1"/>
                <w:bCs w:val="1"/>
                <w:color w:val="auto"/>
              </w:rPr>
              <w:t>FRIST</w:t>
            </w:r>
          </w:p>
        </w:tc>
        <w:tc>
          <w:tcPr>
            <w:tcW w:w="120" w:type="dxa"/>
            <w:vAlign w:val="bottom"/>
            <w:tcBorders>
              <w:right w:val="single" w:sz="8" w:color="auto"/>
            </w:tcBorders>
          </w:tcPr>
          <w:p>
            <w:pPr>
              <w:spacing w:after="0"/>
              <w:rPr>
                <w:sz w:val="15"/>
                <w:szCs w:val="15"/>
                <w:color w:val="auto"/>
              </w:rPr>
            </w:pPr>
          </w:p>
        </w:tc>
        <w:tc>
          <w:tcPr>
            <w:tcW w:w="8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GORELICK</w:t>
            </w:r>
          </w:p>
        </w:tc>
        <w:tc>
          <w:tcPr>
            <w:tcW w:w="120" w:type="dxa"/>
            <w:vAlign w:val="bottom"/>
            <w:tcBorders>
              <w:right w:val="single" w:sz="8" w:color="auto"/>
            </w:tcBorders>
          </w:tcPr>
          <w:p>
            <w:pPr>
              <w:spacing w:after="0"/>
              <w:rPr>
                <w:sz w:val="15"/>
                <w:szCs w:val="15"/>
                <w:color w:val="auto"/>
              </w:rPr>
            </w:pPr>
          </w:p>
        </w:tc>
        <w:tc>
          <w:tcPr>
            <w:tcW w:w="840" w:type="dxa"/>
            <w:vAlign w:val="bottom"/>
            <w:tcBorders>
              <w:bottom w:val="single" w:sz="8" w:color="auto"/>
            </w:tcBorders>
          </w:tcPr>
          <w:p>
            <w:pPr>
              <w:ind w:left="140"/>
              <w:spacing w:after="0"/>
              <w:rPr>
                <w:sz w:val="20"/>
                <w:szCs w:val="20"/>
                <w:color w:val="auto"/>
              </w:rPr>
            </w:pPr>
            <w:r>
              <w:rPr>
                <w:rFonts w:ascii="Arial" w:cs="Arial" w:eastAsia="Arial" w:hAnsi="Arial"/>
                <w:sz w:val="13"/>
                <w:szCs w:val="13"/>
                <w:b w:val="1"/>
                <w:bCs w:val="1"/>
                <w:color w:val="auto"/>
              </w:rPr>
              <w:t>MCCANN</w:t>
            </w:r>
          </w:p>
        </w:tc>
        <w:tc>
          <w:tcPr>
            <w:tcW w:w="120" w:type="dxa"/>
            <w:vAlign w:val="bottom"/>
            <w:tcBorders>
              <w:right w:val="single" w:sz="8" w:color="auto"/>
            </w:tcBorders>
          </w:tcPr>
          <w:p>
            <w:pPr>
              <w:spacing w:after="0"/>
              <w:rPr>
                <w:sz w:val="15"/>
                <w:szCs w:val="15"/>
                <w:color w:val="auto"/>
              </w:rPr>
            </w:pPr>
          </w:p>
        </w:tc>
        <w:tc>
          <w:tcPr>
            <w:tcW w:w="980" w:type="dxa"/>
            <w:vAlign w:val="bottom"/>
            <w:tcBorders>
              <w:bottom w:val="single" w:sz="8" w:color="auto"/>
            </w:tcBorders>
          </w:tcPr>
          <w:p>
            <w:pPr>
              <w:ind w:left="120"/>
              <w:spacing w:after="0"/>
              <w:rPr>
                <w:sz w:val="20"/>
                <w:szCs w:val="20"/>
                <w:color w:val="auto"/>
              </w:rPr>
            </w:pPr>
            <w:r>
              <w:rPr>
                <w:rFonts w:ascii="Arial" w:cs="Arial" w:eastAsia="Arial" w:hAnsi="Arial"/>
                <w:sz w:val="13"/>
                <w:szCs w:val="13"/>
                <w:b w:val="1"/>
                <w:bCs w:val="1"/>
                <w:color w:val="auto"/>
              </w:rPr>
              <w:t>TOMLINSON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3086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25" w:lineRule="exact"/>
        <w:rPr>
          <w:sz w:val="20"/>
          <w:szCs w:val="20"/>
          <w:color w:val="auto"/>
        </w:rPr>
      </w:pPr>
    </w:p>
    <w:p>
      <w:pPr>
        <w:ind w:left="20" w:right="8220"/>
        <w:spacing w:after="0" w:line="314" w:lineRule="auto"/>
        <w:rPr>
          <w:sz w:val="20"/>
          <w:szCs w:val="20"/>
          <w:color w:val="auto"/>
        </w:rPr>
      </w:pPr>
      <w:r>
        <w:rPr>
          <w:rFonts w:ascii="Arial" w:cs="Arial" w:eastAsia="Arial" w:hAnsi="Arial"/>
          <w:sz w:val="14"/>
          <w:szCs w:val="14"/>
          <w:b w:val="1"/>
          <w:bCs w:val="1"/>
          <w:color w:val="004A98"/>
        </w:rPr>
        <w:t>Accounting, Corporate Finance, and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132320" cy="24003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A98"/>
        </w:rPr>
        <w:t>Corporate Governance and Ethics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086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A98"/>
        </w:rPr>
        <w:t>Executive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4003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A98"/>
        </w:rPr>
        <w:t>International/Global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086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A98"/>
        </w:rPr>
        <w:t>Government and Public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4003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A98"/>
        </w:rPr>
        <w:t>Legal and Regulatory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086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A98"/>
        </w:rPr>
        <w:t>Other Public Company Board 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4003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A98"/>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3086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32320" cy="308610"/>
                    </a:xfrm>
                    <a:prstGeom prst="rect">
                      <a:avLst/>
                    </a:prstGeom>
                    <a:noFill/>
                  </pic:spPr>
                </pic:pic>
              </a:graphicData>
            </a:graphic>
          </wp:anchor>
        </w:drawing>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A98"/>
        </w:rPr>
        <w:t>Strategic Planning and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24003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32320" cy="240030"/>
                    </a:xfrm>
                    <a:prstGeom prst="rect">
                      <a:avLst/>
                    </a:prstGeom>
                    <a:noFill/>
                  </pic:spPr>
                </pic:pic>
              </a:graphicData>
            </a:graphic>
          </wp:anchor>
        </w:drawing>
      </w:r>
    </w:p>
    <w:p>
      <w:pPr>
        <w:spacing w:after="0" w:line="305"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A98"/>
        </w:rPr>
        <w:t>Technology and Cybersecurity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713232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980"/>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4"/>
          <w:szCs w:val="14"/>
          <w:color w:val="auto"/>
        </w:rPr>
        <w:t>Proxy</w:t>
      </w:r>
    </w:p>
    <w:p>
      <w:pPr>
        <w:spacing w:after="0" w:line="2" w:lineRule="exact"/>
        <w:rPr>
          <w:sz w:val="20"/>
          <w:szCs w:val="20"/>
          <w:color w:val="auto"/>
        </w:rPr>
      </w:pPr>
    </w:p>
    <w:p>
      <w:pPr>
        <w:ind w:left="706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Proposal No. 1—Election of Directors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Director Nominees</w:t>
      </w:r>
    </w:p>
    <w:p>
      <w:pPr>
        <w:spacing w:after="0" w:line="148" w:lineRule="exact"/>
        <w:rPr>
          <w:sz w:val="20"/>
          <w:szCs w:val="20"/>
          <w:color w:val="auto"/>
        </w:rPr>
      </w:pPr>
    </w:p>
    <w:p>
      <w:pPr>
        <w:ind w:right="520"/>
        <w:spacing w:after="0" w:line="286" w:lineRule="auto"/>
        <w:rPr>
          <w:sz w:val="20"/>
          <w:szCs w:val="20"/>
          <w:color w:val="auto"/>
        </w:rPr>
      </w:pPr>
      <w:r>
        <w:rPr>
          <w:rFonts w:ascii="Arial" w:cs="Arial" w:eastAsia="Arial" w:hAnsi="Arial"/>
          <w:sz w:val="16"/>
          <w:szCs w:val="16"/>
          <w:color w:val="auto"/>
        </w:rPr>
        <w:t>Set forth below is certain information relating to our director nominees, including details on each director nominee’s specific experience, qualifications, attributes, or skills that led the Board to conclude that the person should be nominated for election as a director for another term.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5657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32320" cy="565785"/>
                    </a:xfrm>
                    <a:prstGeom prst="rect">
                      <a:avLst/>
                    </a:prstGeom>
                    <a:noFill/>
                  </pic:spPr>
                </pic:pic>
              </a:graphicData>
            </a:graphic>
          </wp:anchor>
        </w:drawing>
      </w:r>
    </w:p>
    <w:p>
      <w:pPr>
        <w:spacing w:after="0" w:line="216"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004A98"/>
        </w:rPr>
        <w:t>D. James</w:t>
      </w:r>
      <w:r>
        <w:rPr>
          <w:sz w:val="1"/>
          <w:szCs w:val="1"/>
          <w:color w:val="auto"/>
        </w:rPr>
        <w:drawing>
          <wp:inline distT="0" distB="0" distL="0" distR="0">
            <wp:extent cx="34290" cy="128905"/>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r>
        <w:rPr>
          <w:rFonts w:ascii="Arial" w:cs="Arial" w:eastAsia="Arial" w:hAnsi="Arial"/>
          <w:sz w:val="22"/>
          <w:szCs w:val="22"/>
          <w:b w:val="1"/>
          <w:bCs w:val="1"/>
          <w:color w:val="004A98"/>
        </w:rPr>
        <w:t>Bidzos</w:t>
      </w:r>
    </w:p>
    <w:p>
      <w:pPr>
        <w:spacing w:after="0" w:line="65" w:lineRule="exact"/>
        <w:rPr>
          <w:sz w:val="20"/>
          <w:szCs w:val="20"/>
          <w:color w:val="auto"/>
        </w:rPr>
      </w:pPr>
    </w:p>
    <w:tbl>
      <w:tblPr>
        <w:tblLayout w:type="fixed"/>
        <w:tblInd w:w="160" w:type="dxa"/>
        <w:tblCellMar>
          <w:top w:w="0" w:type="dxa"/>
          <w:left w:w="0" w:type="dxa"/>
          <w:bottom w:w="0" w:type="dxa"/>
          <w:right w:w="0" w:type="dxa"/>
        </w:tblCellMar>
      </w:tblPr>
      <w:tr>
        <w:trPr>
          <w:trHeight w:val="238"/>
        </w:trPr>
        <w:tc>
          <w:tcPr>
            <w:tcW w:w="3060" w:type="dxa"/>
            <w:vAlign w:val="bottom"/>
            <w:vMerge w:val="restart"/>
          </w:tcPr>
          <w:p>
            <w:pPr>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70</w:t>
            </w:r>
          </w:p>
        </w:tc>
        <w:tc>
          <w:tcPr>
            <w:tcW w:w="540" w:type="dxa"/>
            <w:vAlign w:val="bottom"/>
            <w:shd w:val="clear" w:color="auto" w:fill="E6E7E8"/>
          </w:tcPr>
          <w:p>
            <w:pPr>
              <w:spacing w:after="0"/>
              <w:rPr>
                <w:sz w:val="20"/>
                <w:szCs w:val="20"/>
                <w:color w:val="auto"/>
              </w:rPr>
            </w:pPr>
          </w:p>
        </w:tc>
        <w:tc>
          <w:tcPr>
            <w:tcW w:w="7480" w:type="dxa"/>
            <w:vAlign w:val="bottom"/>
          </w:tcPr>
          <w:p>
            <w:pPr>
              <w:ind w:left="2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Cybersecurity</w:t>
            </w:r>
          </w:p>
        </w:tc>
        <w:tc>
          <w:tcPr>
            <w:tcW w:w="0" w:type="dxa"/>
            <w:vAlign w:val="bottom"/>
          </w:tcPr>
          <w:p>
            <w:pPr>
              <w:spacing w:after="0"/>
              <w:rPr>
                <w:sz w:val="1"/>
                <w:szCs w:val="1"/>
                <w:color w:val="auto"/>
              </w:rPr>
            </w:pPr>
          </w:p>
        </w:tc>
      </w:tr>
      <w:tr>
        <w:trPr>
          <w:trHeight w:val="60"/>
        </w:trPr>
        <w:tc>
          <w:tcPr>
            <w:tcW w:w="3060" w:type="dxa"/>
            <w:vAlign w:val="bottom"/>
            <w:vMerge w:val="continue"/>
          </w:tcPr>
          <w:p>
            <w:pPr>
              <w:spacing w:after="0"/>
              <w:rPr>
                <w:sz w:val="5"/>
                <w:szCs w:val="5"/>
                <w:color w:val="auto"/>
              </w:rPr>
            </w:pPr>
          </w:p>
        </w:tc>
        <w:tc>
          <w:tcPr>
            <w:tcW w:w="540" w:type="dxa"/>
            <w:vAlign w:val="bottom"/>
            <w:shd w:val="clear" w:color="auto" w:fill="E6E7E8"/>
          </w:tcPr>
          <w:p>
            <w:pPr>
              <w:spacing w:after="0"/>
              <w:rPr>
                <w:sz w:val="5"/>
                <w:szCs w:val="5"/>
                <w:color w:val="auto"/>
              </w:rPr>
            </w:pPr>
          </w:p>
        </w:tc>
        <w:tc>
          <w:tcPr>
            <w:tcW w:w="74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3060" w:type="dxa"/>
            <w:vAlign w:val="bottom"/>
          </w:tcPr>
          <w:p>
            <w:pPr>
              <w:spacing w:after="0"/>
              <w:rPr>
                <w:sz w:val="10"/>
                <w:szCs w:val="10"/>
                <w:color w:val="auto"/>
              </w:rPr>
            </w:pPr>
          </w:p>
        </w:tc>
        <w:tc>
          <w:tcPr>
            <w:tcW w:w="540" w:type="dxa"/>
            <w:vAlign w:val="bottom"/>
            <w:tcBorders>
              <w:bottom w:val="single" w:sz="8" w:color="E6E7E8"/>
            </w:tcBorders>
            <w:shd w:val="clear" w:color="auto" w:fill="E6E7E8"/>
          </w:tcPr>
          <w:p>
            <w:pPr>
              <w:spacing w:after="0"/>
              <w:rPr>
                <w:sz w:val="10"/>
                <w:szCs w:val="10"/>
                <w:color w:val="auto"/>
              </w:rPr>
            </w:pPr>
          </w:p>
        </w:tc>
        <w:tc>
          <w:tcPr>
            <w:tcW w:w="7480" w:type="dxa"/>
            <w:vAlign w:val="bottom"/>
            <w:tcBorders>
              <w:bottom w:val="single" w:sz="8" w:color="E6E7E8"/>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Background</w:t>
      </w:r>
    </w:p>
    <w:p>
      <w:pPr>
        <w:spacing w:after="0" w:line="127"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Mr. Bidzos has served as Executive Chairman since August 2009, Chief Executive Officer since August 2011, and President since April 2024. He also served as President from August 2011 to February 2020, Executive Chairman and Chief Executive Officer on an interim basis from June 2008 to August 2009, and President from June 2008 to January 2009. He served as Chairman of the Board since August 2007 and from April 1995 to December 2001. He served as Vice Chairman of the Board from December 2001 to August 2007. Mr. Bidzos served as Vice Chairman of RSA Security Inc., an internet identity and access management solution provider, from March 1999 to May 2002, and Executive Vice President from July 1996 to February 1999. Prior to that, he served as President and Chief Executive Officer of RSA Data Security, Inc. from 1986 to February 1999.</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Qualifications</w:t>
      </w:r>
    </w:p>
    <w:p>
      <w:pPr>
        <w:spacing w:after="0" w:line="113" w:lineRule="exact"/>
        <w:rPr>
          <w:sz w:val="20"/>
          <w:szCs w:val="20"/>
          <w:color w:val="auto"/>
        </w:rPr>
      </w:pPr>
    </w:p>
    <w:p>
      <w:pPr>
        <w:ind w:right="40"/>
        <w:spacing w:after="0" w:line="262" w:lineRule="auto"/>
        <w:rPr>
          <w:sz w:val="20"/>
          <w:szCs w:val="20"/>
          <w:color w:val="auto"/>
        </w:rPr>
      </w:pPr>
      <w:r>
        <w:rPr>
          <w:rFonts w:ascii="Arial" w:cs="Arial" w:eastAsia="Arial" w:hAnsi="Arial"/>
          <w:sz w:val="16"/>
          <w:szCs w:val="16"/>
          <w:color w:val="auto"/>
        </w:rPr>
        <w:t>Mr. Bidzos is a business executive with significant expertise in the technology that is central to the Company’s business. Mr. Bidzos is an internet and security industry pioneer who understands the strategic technology trends in markets that are important to the Company. Mr. Bidzos was a founder of the Company and has been either Chairman or Vice Chairman of the Company’s Board since the Company’s founding in April 1995, providing him with valuable insight and institutional knowledge of the Company’s history and development. Mr. Bidzos has prior experience on our Compensation Committee and our Corporate Governance and Nominating Committee and as a member of many other public-company boards. Mr. Bidzos’ years of board-level experience contribute important knowledge and insight to the Board. Additionally, Mr. Bidzos’ executive-level experience includes many years as a Chief Executive Officer, providing him with a perspective that the Board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71323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247650</wp:posOffset>
            </wp:positionV>
            <wp:extent cx="7132320" cy="53149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004A98"/>
        </w:rPr>
        <w:t xml:space="preserve">Courtney D. Armstrong </w:t>
      </w:r>
      <w:r>
        <w:rPr>
          <w:rFonts w:ascii="Arial" w:cs="Arial" w:eastAsia="Arial" w:hAnsi="Arial"/>
          <w:sz w:val="16"/>
          <w:szCs w:val="16"/>
          <w:b w:val="1"/>
          <w:bCs w:val="1"/>
          <w:color w:val="000000"/>
        </w:rPr>
        <w:t>INDEPENDENT</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vMerge w:val="restart"/>
            <w:shd w:val="clear" w:color="auto" w:fill="E6E7E8"/>
          </w:tcPr>
          <w:p>
            <w:pPr>
              <w:ind w:left="16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54</w:t>
            </w:r>
          </w:p>
        </w:tc>
        <w:tc>
          <w:tcPr>
            <w:tcW w:w="7640" w:type="dxa"/>
            <w:vAlign w:val="bottom"/>
          </w:tcPr>
          <w:p>
            <w:pPr>
              <w:ind w:left="56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Audit and Compensation</w:t>
            </w:r>
          </w:p>
        </w:tc>
        <w:tc>
          <w:tcPr>
            <w:tcW w:w="0" w:type="dxa"/>
            <w:vAlign w:val="bottom"/>
          </w:tcPr>
          <w:p>
            <w:pPr>
              <w:spacing w:after="0"/>
              <w:rPr>
                <w:sz w:val="1"/>
                <w:szCs w:val="1"/>
                <w:color w:val="auto"/>
              </w:rPr>
            </w:pPr>
          </w:p>
        </w:tc>
      </w:tr>
      <w:tr>
        <w:trPr>
          <w:trHeight w:val="60"/>
        </w:trPr>
        <w:tc>
          <w:tcPr>
            <w:tcW w:w="3600" w:type="dxa"/>
            <w:vAlign w:val="bottom"/>
            <w:vMerge w:val="continue"/>
            <w:shd w:val="clear" w:color="auto" w:fill="E6E7E8"/>
          </w:tcPr>
          <w:p>
            <w:pPr>
              <w:spacing w:after="0"/>
              <w:rPr>
                <w:sz w:val="5"/>
                <w:szCs w:val="5"/>
                <w:color w:val="auto"/>
              </w:rPr>
            </w:pPr>
          </w:p>
        </w:tc>
        <w:tc>
          <w:tcPr>
            <w:tcW w:w="76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3600" w:type="dxa"/>
            <w:vAlign w:val="bottom"/>
            <w:tcBorders>
              <w:bottom w:val="single" w:sz="8" w:color="E6E7E8"/>
            </w:tcBorders>
            <w:shd w:val="clear" w:color="auto" w:fill="E6E7E8"/>
          </w:tcPr>
          <w:p>
            <w:pPr>
              <w:spacing w:after="0"/>
              <w:rPr>
                <w:sz w:val="10"/>
                <w:szCs w:val="10"/>
                <w:color w:val="auto"/>
              </w:rPr>
            </w:pPr>
          </w:p>
        </w:tc>
        <w:tc>
          <w:tcPr>
            <w:tcW w:w="7640" w:type="dxa"/>
            <w:vAlign w:val="bottom"/>
            <w:tcBorders>
              <w:bottom w:val="single" w:sz="8" w:color="E6E7E8"/>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Background</w:t>
      </w:r>
    </w:p>
    <w:p>
      <w:pPr>
        <w:spacing w:after="0" w:line="113"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color w:val="auto"/>
        </w:rPr>
        <w:t>Courtney D. Armstrong has served as a director since June 2021. Mr. Armstrong is currently Chief Operating Officer at Paramount Pictures and Filmed Entertainment Group, a film and television production and distribution company, a position he has held since March 2024. Previously, he served as President of Business Affairs and Administration from October 2021 to March 2024. From April 2014 to October 2021, Mr. Armstrong served as Executive Vice President, Worldwide Business Affairs of Warner Bros. Pictures, a film and entertainment studio, where he oversaw all day-to-day business and legal aspects of worldwide film acquisition, development, production and initial distribution for the studio, including supervising the negotiations of key deals with filmmakers and talent. He joined Warner Bros. Pictures in 2003 as a Director of Business Affairs and was promoted to Vice President in 2004 and Senior Vice President in 2007. Before joining Warner Bros. Pictures, Mr. Armstrong spent three years at Walt Disney Pictures as an attorney in the Business and Legal Affairs department of the Motion Picture Group. Prior to that, Mr. Armstrong began his career as a litigation associate on the entertainment litigation team at the Los Angeles-based law firm Paul Hastings LLP. Mr. Armstrong is a graduate of the Northwestern Pritzker School of Law and holds an M.B.A. degree from the Kellogg School of Management. He received his undergraduate degree in Mechanical Engineering from Northwestern University.</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Qualifications</w:t>
      </w:r>
    </w:p>
    <w:p>
      <w:pPr>
        <w:spacing w:after="0" w:line="127" w:lineRule="exact"/>
        <w:rPr>
          <w:sz w:val="20"/>
          <w:szCs w:val="20"/>
          <w:color w:val="auto"/>
        </w:rPr>
      </w:pPr>
    </w:p>
    <w:p>
      <w:pPr>
        <w:jc w:val="both"/>
        <w:ind w:right="220"/>
        <w:spacing w:after="0" w:line="266" w:lineRule="auto"/>
        <w:rPr>
          <w:sz w:val="20"/>
          <w:szCs w:val="20"/>
          <w:color w:val="auto"/>
        </w:rPr>
      </w:pPr>
      <w:r>
        <w:rPr>
          <w:rFonts w:ascii="Arial" w:cs="Arial" w:eastAsia="Arial" w:hAnsi="Arial"/>
          <w:sz w:val="16"/>
          <w:szCs w:val="16"/>
          <w:color w:val="auto"/>
        </w:rPr>
        <w:t>Mr. Armstrong is a business executive with significant expertise in business and legal matters. Mr. Armstrong’s expertise as a business executive includes sales and marketing, financial management, contract negotiation, and distribution, providing him with a perspective that the Board values. Mr. Armstrong’s financial and accounting skills qualify him as an 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74930</wp:posOffset>
            </wp:positionV>
            <wp:extent cx="713232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12</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Proposal No. 1—Election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53149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004A98"/>
        </w:rPr>
        <w:t xml:space="preserve">Yehuda Ari Buchalter </w:t>
      </w:r>
      <w:r>
        <w:rPr>
          <w:rFonts w:ascii="Arial" w:cs="Arial" w:eastAsia="Arial" w:hAnsi="Arial"/>
          <w:sz w:val="16"/>
          <w:szCs w:val="16"/>
          <w:b w:val="1"/>
          <w:bCs w:val="1"/>
          <w:color w:val="000000"/>
        </w:rPr>
        <w:t>INDEPENDENT</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vMerge w:val="restart"/>
            <w:shd w:val="clear" w:color="auto" w:fill="E6E7E8"/>
          </w:tcPr>
          <w:p>
            <w:pPr>
              <w:ind w:left="16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53</w:t>
            </w:r>
          </w:p>
        </w:tc>
        <w:tc>
          <w:tcPr>
            <w:tcW w:w="7920" w:type="dxa"/>
            <w:vAlign w:val="bottom"/>
          </w:tcPr>
          <w:p>
            <w:pPr>
              <w:ind w:left="48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Cybersecurity (Chair) and Corporate Governance and Nominating</w:t>
            </w:r>
          </w:p>
        </w:tc>
        <w:tc>
          <w:tcPr>
            <w:tcW w:w="0" w:type="dxa"/>
            <w:vAlign w:val="bottom"/>
          </w:tcPr>
          <w:p>
            <w:pPr>
              <w:spacing w:after="0"/>
              <w:rPr>
                <w:sz w:val="1"/>
                <w:szCs w:val="1"/>
                <w:color w:val="auto"/>
              </w:rPr>
            </w:pPr>
          </w:p>
        </w:tc>
      </w:tr>
      <w:tr>
        <w:trPr>
          <w:trHeight w:val="60"/>
        </w:trPr>
        <w:tc>
          <w:tcPr>
            <w:tcW w:w="3320" w:type="dxa"/>
            <w:vAlign w:val="bottom"/>
            <w:vMerge w:val="continue"/>
            <w:shd w:val="clear" w:color="auto" w:fill="E6E7E8"/>
          </w:tcPr>
          <w:p>
            <w:pPr>
              <w:spacing w:after="0"/>
              <w:rPr>
                <w:sz w:val="5"/>
                <w:szCs w:val="5"/>
                <w:color w:val="auto"/>
              </w:rPr>
            </w:pPr>
          </w:p>
        </w:tc>
        <w:tc>
          <w:tcPr>
            <w:tcW w:w="7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3320" w:type="dxa"/>
            <w:vAlign w:val="bottom"/>
            <w:tcBorders>
              <w:bottom w:val="single" w:sz="8" w:color="E6E7E8"/>
            </w:tcBorders>
            <w:shd w:val="clear" w:color="auto" w:fill="E6E7E8"/>
          </w:tcPr>
          <w:p>
            <w:pPr>
              <w:spacing w:after="0"/>
              <w:rPr>
                <w:sz w:val="10"/>
                <w:szCs w:val="10"/>
                <w:color w:val="auto"/>
              </w:rPr>
            </w:pPr>
          </w:p>
        </w:tc>
        <w:tc>
          <w:tcPr>
            <w:tcW w:w="7920" w:type="dxa"/>
            <w:vAlign w:val="bottom"/>
            <w:tcBorders>
              <w:bottom w:val="single" w:sz="8" w:color="E6E7E8"/>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Background</w:t>
      </w:r>
    </w:p>
    <w:p>
      <w:pPr>
        <w:spacing w:after="0" w:line="113" w:lineRule="exact"/>
        <w:rPr>
          <w:sz w:val="20"/>
          <w:szCs w:val="20"/>
          <w:color w:val="auto"/>
        </w:rPr>
      </w:pPr>
    </w:p>
    <w:p>
      <w:pPr>
        <w:ind w:right="100"/>
        <w:spacing w:after="0" w:line="258" w:lineRule="auto"/>
        <w:rPr>
          <w:sz w:val="20"/>
          <w:szCs w:val="20"/>
          <w:color w:val="auto"/>
        </w:rPr>
      </w:pPr>
      <w:r>
        <w:rPr>
          <w:rFonts w:ascii="Arial" w:cs="Arial" w:eastAsia="Arial" w:hAnsi="Arial"/>
          <w:sz w:val="16"/>
          <w:szCs w:val="16"/>
          <w:color w:val="auto"/>
        </w:rPr>
        <w:t>Dr. Buchalter has served as a director since July 2019. Dr. Buchalter is the Chief Executive Officer of Place Exchange, Inc., a technology company in the digital advertising space, a position he has held since July 2021. From May 2017 to July 2021, Dr. Buchalter served as the Chief Executive Officer of Intersection Holdings, LLC (“Intersection”), a leading smart cities media and technology company. At Intersection, Dr. Buchalter’s responsibilities included leadership of the Infosec Leadership Team, which was responsible for overseeing the company’s security and risk management issues, including data security and privacy issues. From July 2008 to January 2017, Dr. Buchalter served as the Chief Operating Officer and then President of MediaMath, a leading programmatic advertising technology platform. From January 2005 to April 2008, Dr. Buchalter was a Senior Partner at the marketing consultancy and agency Rosetta, where he led the Digital Media &amp; Technology vertical. Prior to that, Dr. Buchalter was an Associate Principal in McKinsey &amp; Company’s Media &amp; Technology practice and a founding member of their Innovation practice. Dr. Buchalter holds a B.S. in Physics from Stanford University, a Ph.D. in Astronomy from Columbia University, and was a postdoctoral fellow in Theoretical Astrophysics at the California Institute of Technology.</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Qualifications</w:t>
      </w:r>
    </w:p>
    <w:p>
      <w:pPr>
        <w:spacing w:after="0" w:line="113" w:lineRule="exact"/>
        <w:rPr>
          <w:sz w:val="20"/>
          <w:szCs w:val="20"/>
          <w:color w:val="auto"/>
        </w:rPr>
      </w:pPr>
    </w:p>
    <w:p>
      <w:pPr>
        <w:ind w:right="220"/>
        <w:spacing w:after="0" w:line="275" w:lineRule="auto"/>
        <w:rPr>
          <w:sz w:val="20"/>
          <w:szCs w:val="20"/>
          <w:color w:val="auto"/>
        </w:rPr>
      </w:pPr>
      <w:r>
        <w:rPr>
          <w:rFonts w:ascii="Arial" w:cs="Arial" w:eastAsia="Arial" w:hAnsi="Arial"/>
          <w:sz w:val="16"/>
          <w:szCs w:val="16"/>
          <w:color w:val="auto"/>
        </w:rPr>
        <w:t>Dr. Buchalter is a business executive with significant experience building and leading technology companies. Dr. Buchalter’s expertise as a business executive includes business administration, sales and marketing, product development, engineering, and operations, providing him with a perspective that the Board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53149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004A98"/>
        </w:rPr>
        <w:t xml:space="preserve">Kathleen A. Cote </w:t>
      </w:r>
      <w:r>
        <w:rPr>
          <w:rFonts w:ascii="Arial" w:cs="Arial" w:eastAsia="Arial" w:hAnsi="Arial"/>
          <w:sz w:val="16"/>
          <w:szCs w:val="16"/>
          <w:b w:val="1"/>
          <w:bCs w:val="1"/>
          <w:color w:val="000000"/>
        </w:rPr>
        <w:t>INDEPENDENT</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20" w:type="dxa"/>
            <w:vAlign w:val="bottom"/>
            <w:vMerge w:val="restart"/>
            <w:shd w:val="clear" w:color="auto" w:fill="E5E5E5"/>
          </w:tcPr>
          <w:p>
            <w:pPr>
              <w:ind w:left="16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76</w:t>
            </w:r>
          </w:p>
        </w:tc>
        <w:tc>
          <w:tcPr>
            <w:tcW w:w="8020" w:type="dxa"/>
            <w:vAlign w:val="bottom"/>
          </w:tcPr>
          <w:p>
            <w:pPr>
              <w:ind w:left="56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Audit</w:t>
            </w:r>
          </w:p>
        </w:tc>
        <w:tc>
          <w:tcPr>
            <w:tcW w:w="0" w:type="dxa"/>
            <w:vAlign w:val="bottom"/>
          </w:tcPr>
          <w:p>
            <w:pPr>
              <w:spacing w:after="0"/>
              <w:rPr>
                <w:sz w:val="1"/>
                <w:szCs w:val="1"/>
                <w:color w:val="auto"/>
              </w:rPr>
            </w:pPr>
          </w:p>
        </w:tc>
      </w:tr>
      <w:tr>
        <w:trPr>
          <w:trHeight w:val="60"/>
        </w:trPr>
        <w:tc>
          <w:tcPr>
            <w:tcW w:w="3220" w:type="dxa"/>
            <w:vAlign w:val="bottom"/>
            <w:vMerge w:val="continue"/>
            <w:shd w:val="clear" w:color="auto" w:fill="E5E5E5"/>
          </w:tcPr>
          <w:p>
            <w:pPr>
              <w:spacing w:after="0"/>
              <w:rPr>
                <w:sz w:val="5"/>
                <w:szCs w:val="5"/>
                <w:color w:val="auto"/>
              </w:rPr>
            </w:pPr>
          </w:p>
        </w:tc>
        <w:tc>
          <w:tcPr>
            <w:tcW w:w="8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3"/>
        </w:trPr>
        <w:tc>
          <w:tcPr>
            <w:tcW w:w="3220" w:type="dxa"/>
            <w:vAlign w:val="bottom"/>
            <w:tcBorders>
              <w:bottom w:val="single" w:sz="8" w:color="E5E5E5"/>
            </w:tcBorders>
            <w:shd w:val="clear" w:color="auto" w:fill="E5E5E5"/>
          </w:tcPr>
          <w:p>
            <w:pPr>
              <w:spacing w:after="0"/>
              <w:rPr>
                <w:sz w:val="10"/>
                <w:szCs w:val="10"/>
                <w:color w:val="auto"/>
              </w:rPr>
            </w:pPr>
          </w:p>
        </w:tc>
        <w:tc>
          <w:tcPr>
            <w:tcW w:w="8020" w:type="dxa"/>
            <w:vAlign w:val="bottom"/>
            <w:tcBorders>
              <w:bottom w:val="single" w:sz="8" w:color="E5E5E5"/>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Background</w:t>
      </w:r>
    </w:p>
    <w:p>
      <w:pPr>
        <w:spacing w:after="0" w:line="127"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Ms. Cote has served as a director since February 2008. From May 2001 to June 2003, Ms. Cote served as Chief Executive Officer of Worldport Communications, Inc., a provider of internet managed services. From September 1998 to May 2001, she served as Founder and President of Seagrass Partners, a consulting firm specializing in providing strategic planning, business, operational, and management support for startup and mid-sized technology companies. Prior to that, she served as President and Chief Executive Officer of Computervision Corporation, an international supplier of product development and data management software. Ms. Cote served as a director of Western Digital Corporation from January 2001 to November 2021. Ms. Cote holds an Honorary Doctorate from the University of Massachusetts, an M.B.A. degree from Babson College, and a B.A. degree from the University of Massachusetts, Amherst.</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Qualifications</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Ms. Cote is a business executive with significant expertise overseeing global companies in technology and operations in the areas of systems integration, networks, hardware, and software, including web-based applications and internet services. Ms. Cote’s expertise in technology and operations is directly relevant to the Company’s business. Ms. Cote’s expertise as a business executive also includes sales and marketing, product development, strategic planning, and international experience, which contributes important expertise to the Board in those areas of business administration. Ms. Cote’s financial and accounting skills qualify her as an audit committee financial expert. In addition to Ms. Cote’s tenure as a director of the Company, Ms. Cote has served on several other boards of directors, including service on the audit and corporate governance committees of those boards as well as serving as the lead independent director, providing her with valuable board-level experience. Ms. Cote’s executive-level experience includes experience as a Chief Executive Officer, providing her with a perspective that the Board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71755</wp:posOffset>
            </wp:positionV>
            <wp:extent cx="713232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Proposal No. 1—Election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226695</wp:posOffset>
            </wp:positionV>
            <wp:extent cx="7132320" cy="53149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004A98"/>
        </w:rPr>
        <w:t xml:space="preserve">Thomas F. Frist III </w:t>
      </w:r>
      <w:r>
        <w:rPr>
          <w:rFonts w:ascii="Arial" w:cs="Arial" w:eastAsia="Arial" w:hAnsi="Arial"/>
          <w:sz w:val="16"/>
          <w:szCs w:val="16"/>
          <w:b w:val="1"/>
          <w:bCs w:val="1"/>
          <w:color w:val="000000"/>
        </w:rPr>
        <w:t>INDEPENDENT</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3220" w:type="dxa"/>
            <w:vAlign w:val="bottom"/>
            <w:shd w:val="clear" w:color="auto" w:fill="E5E5E5"/>
          </w:tcPr>
          <w:p>
            <w:pPr>
              <w:ind w:left="16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57</w:t>
            </w:r>
          </w:p>
        </w:tc>
        <w:tc>
          <w:tcPr>
            <w:tcW w:w="8020" w:type="dxa"/>
            <w:vAlign w:val="bottom"/>
          </w:tcPr>
          <w:p>
            <w:pPr>
              <w:ind w:left="56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Compensation (Chair) and Corporate Governance and Nominating</w:t>
            </w:r>
          </w:p>
        </w:tc>
      </w:tr>
      <w:tr>
        <w:trPr>
          <w:trHeight w:val="123"/>
        </w:trPr>
        <w:tc>
          <w:tcPr>
            <w:tcW w:w="3220" w:type="dxa"/>
            <w:vAlign w:val="bottom"/>
            <w:tcBorders>
              <w:bottom w:val="single" w:sz="8" w:color="E5E5E5"/>
            </w:tcBorders>
            <w:shd w:val="clear" w:color="auto" w:fill="E5E5E5"/>
          </w:tcPr>
          <w:p>
            <w:pPr>
              <w:spacing w:after="0"/>
              <w:rPr>
                <w:sz w:val="10"/>
                <w:szCs w:val="10"/>
                <w:color w:val="auto"/>
              </w:rPr>
            </w:pPr>
          </w:p>
        </w:tc>
        <w:tc>
          <w:tcPr>
            <w:tcW w:w="8020" w:type="dxa"/>
            <w:vAlign w:val="bottom"/>
            <w:tcBorders>
              <w:bottom w:val="single" w:sz="8" w:color="E5E5E5"/>
            </w:tcBorders>
          </w:tcPr>
          <w:p>
            <w:pPr>
              <w:spacing w:after="0"/>
              <w:rPr>
                <w:sz w:val="10"/>
                <w:szCs w:val="10"/>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Background</w:t>
      </w:r>
    </w:p>
    <w:p>
      <w:pPr>
        <w:spacing w:after="0" w:line="113"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Mr. Frist has served as a director since December 2015. Since April 2019, Mr. Frist has served as Chairman of the Board of Directors of HCA Healthcare, Inc. where he has served as a director since 2006. Mr. Frist is the Founder and Managing Principal of Frist Capital, LLC, an investment firm based in Nashville, Tennessee, which he founded in 2002 that makes long-term equity investments in public and private companies. Prior to that, he was the managing member of FS Partners II, LLC and he worked in principal investments at Rainwater, Inc. from 1992 to 1995. Mr. Frist previously served as a director of Science Applications International Corporation from 2013 until 2017. Mr. Frist holds a B.A. degree from Princeton University and an M.B.A. degree from Harvard Business School.</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Qualifications</w:t>
      </w:r>
    </w:p>
    <w:p>
      <w:pPr>
        <w:spacing w:after="0" w:line="127" w:lineRule="exact"/>
        <w:rPr>
          <w:sz w:val="20"/>
          <w:szCs w:val="20"/>
          <w:color w:val="auto"/>
        </w:rPr>
      </w:pPr>
    </w:p>
    <w:p>
      <w:pPr>
        <w:ind w:right="100"/>
        <w:spacing w:after="0" w:line="275" w:lineRule="auto"/>
        <w:rPr>
          <w:sz w:val="20"/>
          <w:szCs w:val="20"/>
          <w:color w:val="auto"/>
        </w:rPr>
      </w:pPr>
      <w:r>
        <w:rPr>
          <w:rFonts w:ascii="Arial" w:cs="Arial" w:eastAsia="Arial" w:hAnsi="Arial"/>
          <w:sz w:val="16"/>
          <w:szCs w:val="16"/>
          <w:color w:val="auto"/>
        </w:rPr>
        <w:t>Mr. Frist’s significant directorship experience provides valuable expertise and perspective to the Board. His directorship experience includes having chaired, and served as a member of, various public company board committees. In addition to his significant experience as a public company director, Mr. Frist provides valuable experience in areas of business administration, finance, and operations, which the Board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53149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004A98"/>
        </w:rPr>
        <w:t xml:space="preserve">Jamie S. Gorelick </w:t>
      </w:r>
      <w:r>
        <w:rPr>
          <w:rFonts w:ascii="Arial" w:cs="Arial" w:eastAsia="Arial" w:hAnsi="Arial"/>
          <w:sz w:val="16"/>
          <w:szCs w:val="16"/>
          <w:b w:val="1"/>
          <w:bCs w:val="1"/>
          <w:color w:val="000000"/>
        </w:rPr>
        <w:t>INDEPENDEN</w:t>
      </w:r>
      <w:r>
        <w:rPr>
          <w:rFonts w:ascii="Arial" w:cs="Arial" w:eastAsia="Arial" w:hAnsi="Arial"/>
          <w:sz w:val="16"/>
          <w:szCs w:val="16"/>
          <w:b w:val="1"/>
          <w:bCs w:val="1"/>
          <w:color w:val="004A98"/>
        </w:rPr>
        <w:t>T</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3220" w:type="dxa"/>
            <w:vAlign w:val="bottom"/>
            <w:shd w:val="clear" w:color="auto" w:fill="E5E5E5"/>
          </w:tcPr>
          <w:p>
            <w:pPr>
              <w:ind w:left="16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74</w:t>
            </w:r>
          </w:p>
        </w:tc>
        <w:tc>
          <w:tcPr>
            <w:tcW w:w="8020" w:type="dxa"/>
            <w:vAlign w:val="bottom"/>
          </w:tcPr>
          <w:p>
            <w:pPr>
              <w:ind w:left="56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Corporate Governance and Nominating (Chair) and Compensation</w:t>
            </w:r>
          </w:p>
        </w:tc>
      </w:tr>
      <w:tr>
        <w:trPr>
          <w:trHeight w:val="123"/>
        </w:trPr>
        <w:tc>
          <w:tcPr>
            <w:tcW w:w="3220" w:type="dxa"/>
            <w:vAlign w:val="bottom"/>
            <w:tcBorders>
              <w:bottom w:val="single" w:sz="8" w:color="E5E5E5"/>
            </w:tcBorders>
            <w:shd w:val="clear" w:color="auto" w:fill="E5E5E5"/>
          </w:tcPr>
          <w:p>
            <w:pPr>
              <w:spacing w:after="0"/>
              <w:rPr>
                <w:sz w:val="10"/>
                <w:szCs w:val="10"/>
                <w:color w:val="auto"/>
              </w:rPr>
            </w:pPr>
          </w:p>
        </w:tc>
        <w:tc>
          <w:tcPr>
            <w:tcW w:w="8020" w:type="dxa"/>
            <w:vAlign w:val="bottom"/>
            <w:tcBorders>
              <w:bottom w:val="single" w:sz="8" w:color="E5E5E5"/>
            </w:tcBorders>
          </w:tcPr>
          <w:p>
            <w:pPr>
              <w:spacing w:after="0"/>
              <w:rPr>
                <w:sz w:val="10"/>
                <w:szCs w:val="10"/>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Background</w:t>
      </w:r>
    </w:p>
    <w:p>
      <w:pPr>
        <w:spacing w:after="0" w:line="127"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Ms. Gorelick has served as a director since January 2015. Ms. Gorelick has been a partner at Wilmer Cutler Pickering Hale and Dorr LLP, an international law firm, since July 2003. She has held numerous positions in the U.S. government, serving as Deputy Attorney General of the United States, General Counsel of the Department of Defense, Assistant to the Secretary of Energy, and a member of the bipartisan National Commission on Terrorist Threats Upon the United States. Ms. Gorelick has served as a director of Amazon.com, Inc. since February 2012 and currently serves as Lead Independent Director and is a member of its Nominating and Corporate Governance Committee. She previously served as a director of United Technologies Corporation from February 2000 to December 2014 and a director of Schlumberger Limited from April 2002 to June 2010. She holds B.A. and J.D. degrees from Harvard University.</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Qualifications</w:t>
      </w:r>
    </w:p>
    <w:p>
      <w:pPr>
        <w:spacing w:after="0" w:line="11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Ms. Gorelick is an experienced attorney with significant expertise in legal, policy, and corporate matters. Ms. Gorelick’s regulatory and policy experience is directly relevant to the Company’s business. She is well-versed in critical infrastructure and national security issues and brings a valuable skill-set and wealth of government experience to the Board. Ms. Gorelick has served on several other corporate boards, a compensation committee and a nominating and corporate governance committee, and served on numerous government boards and commissions. Ms. Gorelick’s experience in both the public and private sectors, combined with her experience in the corporate boardroom, provides her valuable board experience, and she offers a perspective the Board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14</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Proposal No. 1—Election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32320" cy="53149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32320" cy="531495"/>
                    </a:xfrm>
                    <a:prstGeom prst="rect">
                      <a:avLst/>
                    </a:prstGeom>
                    <a:noFill/>
                  </pic:spPr>
                </pic:pic>
              </a:graphicData>
            </a:graphic>
          </wp:anchor>
        </w:drawing>
      </w:r>
    </w:p>
    <w:p>
      <w:pPr>
        <w:spacing w:after="0" w:line="362"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004A98"/>
        </w:rPr>
        <w:t xml:space="preserve">Debra W. McCann </w:t>
      </w:r>
      <w:r>
        <w:rPr>
          <w:rFonts w:ascii="Arial" w:cs="Arial" w:eastAsia="Arial" w:hAnsi="Arial"/>
          <w:sz w:val="16"/>
          <w:szCs w:val="16"/>
          <w:b w:val="1"/>
          <w:bCs w:val="1"/>
          <w:color w:val="000000"/>
        </w:rPr>
        <w:t>INDEPENDENT</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98"/>
        </w:trPr>
        <w:tc>
          <w:tcPr>
            <w:tcW w:w="3220" w:type="dxa"/>
            <w:vAlign w:val="bottom"/>
            <w:shd w:val="clear" w:color="auto" w:fill="E5E5E5"/>
          </w:tcPr>
          <w:p>
            <w:pPr>
              <w:ind w:left="16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52</w:t>
            </w:r>
          </w:p>
        </w:tc>
        <w:tc>
          <w:tcPr>
            <w:tcW w:w="8020" w:type="dxa"/>
            <w:vAlign w:val="bottom"/>
          </w:tcPr>
          <w:p>
            <w:pPr>
              <w:ind w:left="56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Audit</w:t>
            </w:r>
          </w:p>
        </w:tc>
      </w:tr>
      <w:tr>
        <w:trPr>
          <w:trHeight w:val="123"/>
        </w:trPr>
        <w:tc>
          <w:tcPr>
            <w:tcW w:w="3220" w:type="dxa"/>
            <w:vAlign w:val="bottom"/>
            <w:tcBorders>
              <w:bottom w:val="single" w:sz="8" w:color="E5E5E5"/>
            </w:tcBorders>
            <w:shd w:val="clear" w:color="auto" w:fill="E5E5E5"/>
          </w:tcPr>
          <w:p>
            <w:pPr>
              <w:spacing w:after="0"/>
              <w:rPr>
                <w:sz w:val="10"/>
                <w:szCs w:val="10"/>
                <w:color w:val="auto"/>
              </w:rPr>
            </w:pPr>
          </w:p>
        </w:tc>
        <w:tc>
          <w:tcPr>
            <w:tcW w:w="8020" w:type="dxa"/>
            <w:vAlign w:val="bottom"/>
            <w:tcBorders>
              <w:bottom w:val="single" w:sz="8" w:color="E5E5E5"/>
            </w:tcBorders>
          </w:tcPr>
          <w:p>
            <w:pPr>
              <w:spacing w:after="0"/>
              <w:rPr>
                <w:sz w:val="10"/>
                <w:szCs w:val="10"/>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Background</w:t>
      </w:r>
    </w:p>
    <w:p>
      <w:pPr>
        <w:spacing w:after="0" w:line="113"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Ms. McCann has served as a director since October 2024. Since May 2022, Ms. McCann has served as the Executive Vice President and Chief Financial Officer of Unisys Corporation. Prior to joining Unisys, Ms. McCann spent over a decade at Dun &amp; Bradstreet, Inc., a global provider of business decisioning data and analytics, where she held progressively senior roles from 2009 until April 2022. Her tenure there culminated in her position as Treasurer and Senior Vice President, Investor Relations and Corporate Financial Planning and Analysis. Prior to Dun &amp; Bradstreet, Ms. McCann held leadership positions at Cegedim, a technology and services company, and AT&amp;T, Inc., an American multinational telecommunications and technology holding company. Ms. McCann holds an M.B.A. degree from Harvard Business School. She received her undergraduate degree in Finance and International Business from Pennsylvania State University.</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Qualifications</w:t>
      </w:r>
    </w:p>
    <w:p>
      <w:pPr>
        <w:spacing w:after="0" w:line="113" w:lineRule="exact"/>
        <w:rPr>
          <w:sz w:val="20"/>
          <w:szCs w:val="20"/>
          <w:color w:val="auto"/>
        </w:rPr>
      </w:pPr>
    </w:p>
    <w:p>
      <w:pPr>
        <w:ind w:right="280"/>
        <w:spacing w:after="0" w:line="275" w:lineRule="auto"/>
        <w:rPr>
          <w:sz w:val="20"/>
          <w:szCs w:val="20"/>
          <w:color w:val="auto"/>
        </w:rPr>
      </w:pPr>
      <w:r>
        <w:rPr>
          <w:rFonts w:ascii="Arial" w:cs="Arial" w:eastAsia="Arial" w:hAnsi="Arial"/>
          <w:sz w:val="16"/>
          <w:szCs w:val="16"/>
          <w:color w:val="auto"/>
        </w:rPr>
        <w:t>Ms. McCann is a business executive with significant expertise within large, public, multinational, technology companies. Ms. McCann’s expertise as a business executive includes financial management, treasury and investor relations, providing her with a perspective that the Board values. Ms. McCann’s financial and accounting skills qualify her as an 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241935</wp:posOffset>
            </wp:positionV>
            <wp:extent cx="7132320" cy="51435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32320" cy="514350"/>
                    </a:xfrm>
                    <a:prstGeom prst="rect">
                      <a:avLst/>
                    </a:prstGeom>
                    <a:noFill/>
                  </pic:spPr>
                </pic:pic>
              </a:graphicData>
            </a:graphic>
          </wp:anchor>
        </w:drawing>
      </w:r>
    </w:p>
    <w:p>
      <w:pPr>
        <w:spacing w:after="0" w:line="200" w:lineRule="exact"/>
        <w:rPr>
          <w:sz w:val="20"/>
          <w:szCs w:val="20"/>
          <w:color w:val="auto"/>
        </w:rPr>
      </w:pPr>
    </w:p>
    <w:p>
      <w:pPr>
        <w:spacing w:after="0" w:line="294" w:lineRule="exact"/>
        <w:rPr>
          <w:sz w:val="20"/>
          <w:szCs w:val="20"/>
          <w:color w:val="auto"/>
        </w:rPr>
      </w:pPr>
    </w:p>
    <w:p>
      <w:pPr>
        <w:ind w:left="160"/>
        <w:spacing w:after="0"/>
        <w:rPr>
          <w:sz w:val="20"/>
          <w:szCs w:val="20"/>
          <w:color w:val="auto"/>
        </w:rPr>
      </w:pPr>
      <w:r>
        <w:rPr>
          <w:rFonts w:ascii="Arial" w:cs="Arial" w:eastAsia="Arial" w:hAnsi="Arial"/>
          <w:sz w:val="22"/>
          <w:szCs w:val="22"/>
          <w:b w:val="1"/>
          <w:bCs w:val="1"/>
          <w:color w:val="004A98"/>
        </w:rPr>
        <w:t xml:space="preserve">Timothy Tomlinson </w:t>
      </w:r>
      <w:r>
        <w:rPr>
          <w:rFonts w:ascii="Arial" w:cs="Arial" w:eastAsia="Arial" w:hAnsi="Arial"/>
          <w:sz w:val="16"/>
          <w:szCs w:val="16"/>
          <w:b w:val="1"/>
          <w:bCs w:val="1"/>
          <w:color w:val="000000"/>
        </w:rPr>
        <w:t>LEAD INDEPENDENT DIRECTOR</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311"/>
        </w:trPr>
        <w:tc>
          <w:tcPr>
            <w:tcW w:w="3220" w:type="dxa"/>
            <w:vAlign w:val="bottom"/>
            <w:shd w:val="clear" w:color="auto" w:fill="E5E5E5"/>
          </w:tcPr>
          <w:p>
            <w:pPr>
              <w:ind w:left="160"/>
              <w:spacing w:after="0"/>
              <w:rPr>
                <w:sz w:val="20"/>
                <w:szCs w:val="20"/>
                <w:color w:val="auto"/>
              </w:rPr>
            </w:pPr>
            <w:r>
              <w:rPr>
                <w:rFonts w:ascii="Arial" w:cs="Arial" w:eastAsia="Arial" w:hAnsi="Arial"/>
                <w:sz w:val="16"/>
                <w:szCs w:val="16"/>
                <w:color w:val="auto"/>
              </w:rPr>
              <w:t xml:space="preserve">Age: </w:t>
            </w:r>
            <w:r>
              <w:rPr>
                <w:rFonts w:ascii="Arial" w:cs="Arial" w:eastAsia="Arial" w:hAnsi="Arial"/>
                <w:sz w:val="16"/>
                <w:szCs w:val="16"/>
                <w:b w:val="1"/>
                <w:bCs w:val="1"/>
                <w:color w:val="auto"/>
              </w:rPr>
              <w:t>75</w:t>
            </w:r>
          </w:p>
        </w:tc>
        <w:tc>
          <w:tcPr>
            <w:tcW w:w="8020" w:type="dxa"/>
            <w:vAlign w:val="bottom"/>
          </w:tcPr>
          <w:p>
            <w:pPr>
              <w:ind w:left="560"/>
              <w:spacing w:after="0"/>
              <w:rPr>
                <w:sz w:val="20"/>
                <w:szCs w:val="20"/>
                <w:color w:val="auto"/>
              </w:rPr>
            </w:pPr>
            <w:r>
              <w:rPr>
                <w:rFonts w:ascii="Arial" w:cs="Arial" w:eastAsia="Arial" w:hAnsi="Arial"/>
                <w:sz w:val="16"/>
                <w:szCs w:val="16"/>
                <w:color w:val="auto"/>
              </w:rPr>
              <w:t xml:space="preserve">Committees: </w:t>
            </w:r>
            <w:r>
              <w:rPr>
                <w:rFonts w:ascii="Arial" w:cs="Arial" w:eastAsia="Arial" w:hAnsi="Arial"/>
                <w:sz w:val="16"/>
                <w:szCs w:val="16"/>
                <w:b w:val="1"/>
                <w:bCs w:val="1"/>
                <w:color w:val="auto"/>
              </w:rPr>
              <w:t>Audit (Chair) and Cybersecurity</w:t>
            </w:r>
          </w:p>
        </w:tc>
      </w:tr>
      <w:tr>
        <w:trPr>
          <w:trHeight w:val="82"/>
        </w:trPr>
        <w:tc>
          <w:tcPr>
            <w:tcW w:w="3220" w:type="dxa"/>
            <w:vAlign w:val="bottom"/>
            <w:tcBorders>
              <w:bottom w:val="single" w:sz="8" w:color="E5E5E5"/>
            </w:tcBorders>
            <w:shd w:val="clear" w:color="auto" w:fill="E5E5E5"/>
          </w:tcPr>
          <w:p>
            <w:pPr>
              <w:spacing w:after="0"/>
              <w:rPr>
                <w:sz w:val="7"/>
                <w:szCs w:val="7"/>
                <w:color w:val="auto"/>
              </w:rPr>
            </w:pPr>
          </w:p>
        </w:tc>
        <w:tc>
          <w:tcPr>
            <w:tcW w:w="8020" w:type="dxa"/>
            <w:vAlign w:val="bottom"/>
            <w:tcBorders>
              <w:bottom w:val="single" w:sz="8" w:color="E5E5E5"/>
            </w:tcBorders>
          </w:tcPr>
          <w:p>
            <w:pPr>
              <w:spacing w:after="0"/>
              <w:rPr>
                <w:sz w:val="7"/>
                <w:szCs w:val="7"/>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Background</w:t>
      </w:r>
    </w:p>
    <w:p>
      <w:pPr>
        <w:spacing w:after="0" w:line="113"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Mr. Tomlinson has served as a director from the Company’s founding in 1995 until 2002, and again since his reappointment in November 2007. From May 2011 through December 2013, Mr. Tomlinson was a corporate lawyer employed as General Counsel of Portola Minerals Company, a producer and seller of limestone products. From May 2007 through May 2011, Mr. Tomlinson was employed as Of Counsel by the law firm Greenberg Traurig, LLP. Mr. Tomlinson was the founder and a named partner of Tomlinson Zisko LLP and practiced with this Silicon Valley law firm from 1983 until its acquisition by Greenberg Traurig, LLP in May 2007. He served as managing partner of Tomlinson Zisko LLP for multiple terms. While at Tomlinson Zisko LLP, Mr. Tomlinson and his firm served as the licensing counsel to RSA Data Security, Inc. and the Company for a wide variety of cryptographic and related cybersecurity products. Mr. Tomlinson holds a B.A. degree in Economics, a Ph.D. degree in History, an M.B.A., and a J.D. degree from Stanford University.</w:t>
      </w:r>
    </w:p>
    <w:p>
      <w:pPr>
        <w:spacing w:after="0" w:line="82"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Qualifications</w:t>
      </w:r>
    </w:p>
    <w:p>
      <w:pPr>
        <w:spacing w:after="0" w:line="113"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Mr. Tomlinson has significant expertise in corporate matters including finance and mergers and acquisitions and has represented clients in the technology industry for more than thirty years. Mr. Tomlinson’s long-term service on our Board has provided him with valuable insight and institutional knowledge of the Company’s history and development. Mr. Tomlinson’s financial and accounting skills qualify him as an audit committee financial expert. He has extensive experience in corporate governance, both as a lawyer advising clients, and through serving on our committees, as well as the audit, compensation, and governance committees of other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66675</wp:posOffset>
            </wp:positionV>
            <wp:extent cx="71323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59"/>
          <w:szCs w:val="59"/>
          <w:color w:val="004A98"/>
        </w:rPr>
        <w:t>Corporate Governance</w:t>
      </w:r>
    </w:p>
    <w:p>
      <w:pPr>
        <w:spacing w:after="0" w:line="373"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Overview</w:t>
      </w:r>
    </w:p>
    <w:p>
      <w:pPr>
        <w:spacing w:after="0" w:line="148"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Our business is conducted by our employees, managers and officers, under the direction of our Chief Executive Officer and the oversight of the Board, to enhance the long-term value of our Company for our stockholders. Key corporate governance documents that guide our corporate governance structure and processes, including our Corporate Governance Principles and the charters of the Board’s committees, are available on our Investor Relations website at https://investor.verisign.com/corporate-governance.</w:t>
      </w:r>
    </w:p>
    <w:p>
      <w:pPr>
        <w:spacing w:after="0" w:line="265"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Board Structure and Operations</w:t>
      </w:r>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Leadership Structure</w:t>
      </w:r>
    </w:p>
    <w:p>
      <w:pPr>
        <w:spacing w:after="0" w:line="128" w:lineRule="exact"/>
        <w:rPr>
          <w:sz w:val="20"/>
          <w:szCs w:val="20"/>
          <w:color w:val="auto"/>
        </w:rPr>
      </w:pPr>
    </w:p>
    <w:p>
      <w:pPr>
        <w:ind w:right="80"/>
        <w:spacing w:after="0" w:line="259" w:lineRule="auto"/>
        <w:rPr>
          <w:sz w:val="20"/>
          <w:szCs w:val="20"/>
          <w:color w:val="auto"/>
        </w:rPr>
      </w:pPr>
      <w:r>
        <w:rPr>
          <w:rFonts w:ascii="Arial" w:cs="Arial" w:eastAsia="Arial" w:hAnsi="Arial"/>
          <w:sz w:val="16"/>
          <w:szCs w:val="16"/>
          <w:color w:val="auto"/>
        </w:rPr>
        <w:t>The Board regularly considers the appropriate leadership structure for the Board. Currently, the Company’s eight-member Board is led by Chairman D. James Bidzos. Mr. Bidzos is also an officer of the Company, serving as its Executive Chairman, President and Chief Executive Officer. The independent directors of the Board appointed Timothy Tomlinson as Lead Independent Director. The Lead Independent Director: (i) presides at all meetings of the Board at which the Chairman of the Board is not present, including executive sessions of the independent directors; (ii) serves as liaison between the Chairman of the Board and the independent directors; (iii) works with the Chairman of the Board to facilitate timely and appropriate information flow to the Board; (iv) reviews and approves agendas and schedules for meetings of the Board; (v) exercises such other powers and duties as from time to time may be assigned to him or her by the Board; and (vi) meets with significant stockholders, as appropriate. In addition, the Lead Independent Director has the authority to call meetings and executive sessions of the independent directors.</w:t>
      </w:r>
    </w:p>
    <w:p>
      <w:pPr>
        <w:spacing w:after="0" w:line="72"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The Board has determined that its current leadership structure represents an appropriate structure for the Board. In particular, this structure capitalizes on the expertise and experience of Messrs. Bidzos and Tomlinson due to their service to the Board. The structure permits Mr. Bidzos to engage in the operations of the Company in a more in-depth way as Executive Chairman and Chief Executive Officer. Lastly, the structure promotes Board independence from Management by permitting the Lead Independent Director to call and chair meetings and executive sessions of the independent directors separate and apart from the Chairman of the Board.</w:t>
      </w:r>
    </w:p>
    <w:p>
      <w:pPr>
        <w:spacing w:after="0" w:line="64" w:lineRule="exact"/>
        <w:rPr>
          <w:sz w:val="20"/>
          <w:szCs w:val="20"/>
          <w:color w:val="auto"/>
        </w:rPr>
      </w:pPr>
    </w:p>
    <w:p>
      <w:pPr>
        <w:ind w:right="40"/>
        <w:spacing w:after="0" w:line="271" w:lineRule="auto"/>
        <w:rPr>
          <w:sz w:val="20"/>
          <w:szCs w:val="20"/>
          <w:color w:val="auto"/>
        </w:rPr>
      </w:pPr>
      <w:r>
        <w:rPr>
          <w:rFonts w:ascii="Arial" w:cs="Arial" w:eastAsia="Arial" w:hAnsi="Arial"/>
          <w:sz w:val="16"/>
          <w:szCs w:val="16"/>
          <w:color w:val="auto"/>
        </w:rPr>
        <w:t>The Board has concluded that the Company and its stockholders are best served by not having a formal policy on whether the same individual should serve as both Chief Executive Officer and Chairman of the Board. This flexibility allows the Board to utilize its considerable experience and knowledge to elect the most appropriate director as Chairman, while maintaining the ability to separate the Chairman of the Board and Chief Executive Officer roles when necessary. This determination is made according to what the Board believes is best to provide appropriate leadership for the Board at such time.</w:t>
      </w:r>
    </w:p>
    <w:p>
      <w:pPr>
        <w:spacing w:after="0" w:line="11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Responsibilities of Chairman of the Board and Lead Independent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sectPr>
      </w:pPr>
    </w:p>
    <w:p>
      <w:pPr>
        <w:spacing w:after="0" w:line="302" w:lineRule="exact"/>
        <w:rPr>
          <w:sz w:val="20"/>
          <w:szCs w:val="20"/>
          <w:color w:val="auto"/>
        </w:rPr>
      </w:pPr>
    </w:p>
    <w:p>
      <w:pPr>
        <w:ind w:left="20" w:right="260"/>
        <w:spacing w:after="0" w:line="268" w:lineRule="auto"/>
        <w:rPr>
          <w:sz w:val="20"/>
          <w:szCs w:val="20"/>
          <w:color w:val="auto"/>
        </w:rPr>
      </w:pPr>
      <w:r>
        <w:rPr>
          <w:rFonts w:ascii="Arial" w:cs="Arial" w:eastAsia="Arial" w:hAnsi="Arial"/>
          <w:sz w:val="16"/>
          <w:szCs w:val="16"/>
          <w:color w:val="004A98"/>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365125</wp:posOffset>
            </wp:positionV>
            <wp:extent cx="132842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0"/>
        <w:spacing w:after="0" w:line="257" w:lineRule="auto"/>
        <w:rPr>
          <w:sz w:val="20"/>
          <w:szCs w:val="20"/>
          <w:color w:val="auto"/>
        </w:rPr>
      </w:pPr>
      <w:r>
        <w:rPr>
          <w:rFonts w:ascii="Arial" w:cs="Arial" w:eastAsia="Arial" w:hAnsi="Arial"/>
          <w:sz w:val="16"/>
          <w:szCs w:val="16"/>
          <w:color w:val="004A98"/>
        </w:rPr>
        <w:t>RESPONSIBILITIES OF LEAD INDEPENDENT DIRECTOR</w:t>
      </w:r>
    </w:p>
    <w:p>
      <w:pPr>
        <w:spacing w:after="0" w:line="20" w:lineRule="exact"/>
        <w:rPr>
          <w:sz w:val="20"/>
          <w:szCs w:val="20"/>
          <w:color w:val="auto"/>
        </w:rPr>
      </w:pPr>
      <w:r>
        <w:rPr>
          <w:sz w:val="20"/>
          <w:szCs w:val="20"/>
          <w:color w:val="auto"/>
        </w:rPr>
        <w:br w:type="column"/>
      </w:r>
    </w:p>
    <w:p>
      <w:pPr>
        <w:spacing w:after="0" w:line="44" w:lineRule="exact"/>
        <w:rPr>
          <w:sz w:val="20"/>
          <w:szCs w:val="20"/>
          <w:color w:val="auto"/>
        </w:rPr>
      </w:pPr>
    </w:p>
    <w:p>
      <w:pPr>
        <w:spacing w:after="0"/>
        <w:rPr>
          <w:sz w:val="20"/>
          <w:szCs w:val="20"/>
          <w:color w:val="auto"/>
        </w:rPr>
      </w:pPr>
      <w:r>
        <w:rPr>
          <w:sz w:val="1"/>
          <w:szCs w:val="1"/>
          <w:color w:val="auto"/>
        </w:rPr>
        <w:drawing>
          <wp:inline distT="0" distB="0" distL="0" distR="0">
            <wp:extent cx="128905" cy="171450"/>
            <wp:effectExtent l="0" t="0" r="0" b="0"/>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8905" cy="171450"/>
                    </a:xfrm>
                    <a:prstGeom prst="rect">
                      <a:avLst/>
                    </a:prstGeom>
                    <a:noFill/>
                    <a:ln>
                      <a:noFill/>
                    </a:ln>
                  </pic:spPr>
                </pic:pic>
              </a:graphicData>
            </a:graphic>
          </wp:inline>
        </w:drawing>
      </w:r>
      <w:r>
        <w:rPr>
          <w:rFonts w:ascii="Arial" w:cs="Arial" w:eastAsia="Arial" w:hAnsi="Arial"/>
          <w:sz w:val="16"/>
          <w:szCs w:val="16"/>
          <w:color w:val="auto"/>
        </w:rPr>
        <w:t xml:space="preserve"> Presides at meetings of the Board, and, unless another person is designated, meetings of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69850</wp:posOffset>
            </wp:positionV>
            <wp:extent cx="565785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95" w:lineRule="exact"/>
        <w:rPr>
          <w:sz w:val="20"/>
          <w:szCs w:val="20"/>
          <w:color w:val="auto"/>
        </w:rPr>
      </w:pPr>
    </w:p>
    <w:p>
      <w:pPr>
        <w:spacing w:after="0"/>
        <w:rPr>
          <w:sz w:val="20"/>
          <w:szCs w:val="20"/>
          <w:color w:val="auto"/>
        </w:rPr>
      </w:pPr>
      <w:r>
        <w:rPr>
          <w:sz w:val="1"/>
          <w:szCs w:val="1"/>
          <w:color w:val="auto"/>
        </w:rPr>
        <w:drawing>
          <wp:inline distT="0" distB="0" distL="0" distR="0">
            <wp:extent cx="128905" cy="171450"/>
            <wp:effectExtent l="0" t="0" r="0" b="0"/>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8905" cy="171450"/>
                    </a:xfrm>
                    <a:prstGeom prst="rect">
                      <a:avLst/>
                    </a:prstGeom>
                    <a:noFill/>
                    <a:ln>
                      <a:noFill/>
                    </a:ln>
                  </pic:spPr>
                </pic:pic>
              </a:graphicData>
            </a:graphic>
          </wp:inline>
        </w:drawing>
      </w:r>
      <w:r>
        <w:rPr>
          <w:rFonts w:ascii="Arial" w:cs="Arial" w:eastAsia="Arial" w:hAnsi="Arial"/>
          <w:sz w:val="16"/>
          <w:szCs w:val="16"/>
          <w:color w:val="auto"/>
        </w:rPr>
        <w:t xml:space="preserve"> Oversees the management, development and functioning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60960</wp:posOffset>
            </wp:positionV>
            <wp:extent cx="565785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sz w:val="1"/>
          <w:szCs w:val="1"/>
          <w:color w:val="auto"/>
        </w:rPr>
        <w:drawing>
          <wp:inline distT="0" distB="0" distL="0" distR="0">
            <wp:extent cx="128905" cy="171450"/>
            <wp:effectExtent l="0" t="0" r="0" b="0"/>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8905" cy="171450"/>
                    </a:xfrm>
                    <a:prstGeom prst="rect">
                      <a:avLst/>
                    </a:prstGeom>
                    <a:noFill/>
                    <a:ln>
                      <a:noFill/>
                    </a:ln>
                  </pic:spPr>
                </pic:pic>
              </a:graphicData>
            </a:graphic>
          </wp:inline>
        </w:drawing>
      </w:r>
      <w:r>
        <w:rPr>
          <w:rFonts w:ascii="Arial" w:cs="Arial" w:eastAsia="Arial" w:hAnsi="Arial"/>
          <w:sz w:val="16"/>
          <w:szCs w:val="16"/>
          <w:color w:val="auto"/>
        </w:rPr>
        <w:t xml:space="preserve"> Plans and organizes the schedule of board meetings and establishes the agendas for 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60960</wp:posOffset>
            </wp:positionV>
            <wp:extent cx="565785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89" w:lineRule="exact"/>
        <w:rPr>
          <w:sz w:val="20"/>
          <w:szCs w:val="20"/>
          <w:color w:val="auto"/>
        </w:rPr>
      </w:pPr>
    </w:p>
    <w:p>
      <w:pPr>
        <w:ind w:left="280" w:right="800"/>
        <w:spacing w:after="0" w:line="268" w:lineRule="auto"/>
        <w:rPr>
          <w:sz w:val="20"/>
          <w:szCs w:val="20"/>
          <w:color w:val="auto"/>
        </w:rPr>
      </w:pPr>
      <w:r>
        <w:rPr>
          <w:rFonts w:ascii="Arial" w:cs="Arial" w:eastAsia="Arial" w:hAnsi="Arial"/>
          <w:sz w:val="16"/>
          <w:szCs w:val="16"/>
          <w:color w:val="auto"/>
        </w:rPr>
        <w:t>Presides at meetings of the Board at which the Chairman is not present, including executive sessions of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5080</wp:posOffset>
            </wp:positionV>
            <wp:extent cx="565785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-242570</wp:posOffset>
            </wp:positionV>
            <wp:extent cx="128905" cy="17145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8905" cy="171450"/>
                    </a:xfrm>
                    <a:prstGeom prst="rect">
                      <a:avLst/>
                    </a:prstGeom>
                    <a:noFill/>
                  </pic:spPr>
                </pic:pic>
              </a:graphicData>
            </a:graphic>
          </wp:anchor>
        </w:drawing>
      </w:r>
    </w:p>
    <w:p>
      <w:pPr>
        <w:spacing w:after="0"/>
        <w:rPr>
          <w:sz w:val="20"/>
          <w:szCs w:val="20"/>
          <w:color w:val="auto"/>
        </w:rPr>
      </w:pPr>
      <w:r>
        <w:rPr>
          <w:sz w:val="1"/>
          <w:szCs w:val="1"/>
          <w:color w:val="auto"/>
        </w:rPr>
        <w:drawing>
          <wp:inline distT="0" distB="0" distL="0" distR="0">
            <wp:extent cx="128905" cy="17145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8905" cy="171450"/>
                    </a:xfrm>
                    <a:prstGeom prst="rect">
                      <a:avLst/>
                    </a:prstGeom>
                    <a:noFill/>
                    <a:ln>
                      <a:noFill/>
                    </a:ln>
                  </pic:spPr>
                </pic:pic>
              </a:graphicData>
            </a:graphic>
          </wp:inline>
        </w:drawing>
      </w:r>
      <w:r>
        <w:rPr>
          <w:rFonts w:ascii="Arial" w:cs="Arial" w:eastAsia="Arial" w:hAnsi="Arial"/>
          <w:sz w:val="16"/>
          <w:szCs w:val="16"/>
          <w:color w:val="auto"/>
        </w:rPr>
        <w:t xml:space="preserve"> Serves as a liaison between the Chairman and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61595</wp:posOffset>
            </wp:positionV>
            <wp:extent cx="565785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sz w:val="1"/>
          <w:szCs w:val="1"/>
          <w:color w:val="auto"/>
        </w:rPr>
        <w:drawing>
          <wp:inline distT="0" distB="0" distL="0" distR="0">
            <wp:extent cx="128905" cy="171450"/>
            <wp:effectExtent l="0" t="0" r="0" b="0"/>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8905" cy="171450"/>
                    </a:xfrm>
                    <a:prstGeom prst="rect">
                      <a:avLst/>
                    </a:prstGeom>
                    <a:noFill/>
                    <a:ln>
                      <a:noFill/>
                    </a:ln>
                  </pic:spPr>
                </pic:pic>
              </a:graphicData>
            </a:graphic>
          </wp:inline>
        </w:drawing>
      </w:r>
      <w:r>
        <w:rPr>
          <w:rFonts w:ascii="Arial" w:cs="Arial" w:eastAsia="Arial" w:hAnsi="Arial"/>
          <w:sz w:val="16"/>
          <w:szCs w:val="16"/>
          <w:color w:val="auto"/>
        </w:rPr>
        <w:t xml:space="preserve"> Works with the Chairman to facilitate timely and appropriate information flow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61595</wp:posOffset>
            </wp:positionV>
            <wp:extent cx="56578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sz w:val="1"/>
          <w:szCs w:val="1"/>
          <w:color w:val="auto"/>
        </w:rPr>
        <w:drawing>
          <wp:inline distT="0" distB="0" distL="0" distR="0">
            <wp:extent cx="128905" cy="171450"/>
            <wp:effectExtent l="0" t="0" r="0" b="0"/>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8905" cy="171450"/>
                    </a:xfrm>
                    <a:prstGeom prst="rect">
                      <a:avLst/>
                    </a:prstGeom>
                    <a:noFill/>
                    <a:ln>
                      <a:noFill/>
                    </a:ln>
                  </pic:spPr>
                </pic:pic>
              </a:graphicData>
            </a:graphic>
          </wp:inline>
        </w:drawing>
      </w:r>
      <w:r>
        <w:rPr>
          <w:rFonts w:ascii="Arial" w:cs="Arial" w:eastAsia="Arial" w:hAnsi="Arial"/>
          <w:sz w:val="16"/>
          <w:szCs w:val="16"/>
          <w:color w:val="auto"/>
        </w:rPr>
        <w:t xml:space="preserve"> Authorized to call meetings and executive sessions of the 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60960</wp:posOffset>
            </wp:positionV>
            <wp:extent cx="565785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sz w:val="1"/>
          <w:szCs w:val="1"/>
          <w:color w:val="auto"/>
        </w:rPr>
        <w:drawing>
          <wp:inline distT="0" distB="0" distL="0" distR="0">
            <wp:extent cx="128905" cy="171450"/>
            <wp:effectExtent l="0" t="0" r="0" b="0"/>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8905" cy="171450"/>
                    </a:xfrm>
                    <a:prstGeom prst="rect">
                      <a:avLst/>
                    </a:prstGeom>
                    <a:noFill/>
                    <a:ln>
                      <a:noFill/>
                    </a:ln>
                  </pic:spPr>
                </pic:pic>
              </a:graphicData>
            </a:graphic>
          </wp:inline>
        </w:drawing>
      </w:r>
      <w:r>
        <w:rPr>
          <w:rFonts w:ascii="Arial" w:cs="Arial" w:eastAsia="Arial" w:hAnsi="Arial"/>
          <w:sz w:val="16"/>
          <w:szCs w:val="16"/>
          <w:color w:val="auto"/>
        </w:rPr>
        <w:t xml:space="preserve"> Meets with significant stockholders, as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60960</wp:posOffset>
            </wp:positionV>
            <wp:extent cx="565785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657850" cy="8890"/>
                    </a:xfrm>
                    <a:prstGeom prst="rect">
                      <a:avLst/>
                    </a:prstGeom>
                    <a:noFill/>
                  </pic:spPr>
                </pic:pic>
              </a:graphicData>
            </a:graphic>
          </wp:anchor>
        </w:drawing>
      </w:r>
    </w:p>
    <w:p>
      <w:pPr>
        <w:spacing w:after="0" w:line="81" w:lineRule="exact"/>
        <w:rPr>
          <w:sz w:val="20"/>
          <w:szCs w:val="20"/>
          <w:color w:val="auto"/>
        </w:rPr>
      </w:pPr>
    </w:p>
    <w:p>
      <w:pPr>
        <w:spacing w:after="0"/>
        <w:rPr>
          <w:sz w:val="20"/>
          <w:szCs w:val="20"/>
          <w:color w:val="auto"/>
        </w:rPr>
      </w:pPr>
      <w:r>
        <w:rPr>
          <w:sz w:val="1"/>
          <w:szCs w:val="1"/>
          <w:color w:val="auto"/>
        </w:rPr>
        <w:drawing>
          <wp:inline distT="0" distB="0" distL="0" distR="0">
            <wp:extent cx="128905" cy="171450"/>
            <wp:effectExtent l="0" t="0" r="0" b="0"/>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8905" cy="171450"/>
                    </a:xfrm>
                    <a:prstGeom prst="rect">
                      <a:avLst/>
                    </a:prstGeom>
                    <a:noFill/>
                    <a:ln>
                      <a:noFill/>
                    </a:ln>
                  </pic:spPr>
                </pic:pic>
              </a:graphicData>
            </a:graphic>
          </wp:inline>
        </w:drawing>
      </w:r>
      <w:r>
        <w:rPr>
          <w:rFonts w:ascii="Arial" w:cs="Arial" w:eastAsia="Arial" w:hAnsi="Arial"/>
          <w:sz w:val="16"/>
          <w:szCs w:val="16"/>
          <w:color w:val="auto"/>
        </w:rPr>
        <w:t xml:space="preserve"> Approves agendas and schedules for meetings of the board to ensure there is sufficient time for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60960</wp:posOffset>
            </wp:positionV>
            <wp:extent cx="565785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109" w:lineRule="exact"/>
        <w:rPr>
          <w:sz w:val="20"/>
          <w:szCs w:val="20"/>
          <w:color w:val="auto"/>
        </w:rPr>
      </w:pPr>
    </w:p>
    <w:p>
      <w:pPr>
        <w:sectPr>
          <w:pgSz w:w="11900" w:h="16838" w:orient="portrait"/>
          <w:cols w:equalWidth="0" w:num="2">
            <w:col w:w="1780" w:space="640"/>
            <w:col w:w="8780"/>
          </w:cols>
          <w:pgMar w:left="320" w:top="122" w:right="379" w:bottom="1440" w:gutter="0" w:footer="0" w:header="0"/>
          <w:type w:val="continuous"/>
        </w:sectPr>
      </w:pPr>
    </w:p>
    <w:p>
      <w:pPr>
        <w:ind w:left="2700" w:right="420"/>
        <w:spacing w:after="0" w:line="268" w:lineRule="auto"/>
        <w:rPr>
          <w:sz w:val="20"/>
          <w:szCs w:val="20"/>
          <w:color w:val="auto"/>
        </w:rPr>
      </w:pPr>
      <w:r>
        <w:rPr>
          <w:rFonts w:ascii="Arial" w:cs="Arial" w:eastAsia="Arial" w:hAnsi="Arial"/>
          <w:sz w:val="16"/>
          <w:szCs w:val="16"/>
          <w:color w:val="auto"/>
        </w:rPr>
        <w:t>Solicits comments and feedback from each director on the operation of the Board and its committees for areas of improvement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1479550</wp:posOffset>
            </wp:positionH>
            <wp:positionV relativeFrom="paragraph">
              <wp:posOffset>5080</wp:posOffset>
            </wp:positionV>
            <wp:extent cx="565785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1530985</wp:posOffset>
            </wp:positionH>
            <wp:positionV relativeFrom="paragraph">
              <wp:posOffset>-242570</wp:posOffset>
            </wp:positionV>
            <wp:extent cx="128905" cy="17145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8905" cy="171450"/>
                    </a:xfrm>
                    <a:prstGeom prst="rect">
                      <a:avLst/>
                    </a:prstGeom>
                    <a:noFill/>
                  </pic:spPr>
                </pic:pic>
              </a:graphicData>
            </a:graphic>
          </wp:anchor>
        </w:drawing>
      </w:r>
    </w:p>
    <w:p>
      <w:pPr>
        <w:spacing w:after="0" w:line="200" w:lineRule="exact"/>
        <w:rPr>
          <w:sz w:val="20"/>
          <w:szCs w:val="20"/>
          <w:color w:val="auto"/>
        </w:rPr>
      </w:pPr>
    </w:p>
    <w:p>
      <w:pPr>
        <w:spacing w:after="0" w:line="25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16</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2" w:right="379" w:bottom="1440" w:gutter="0" w:footer="0" w:header="0"/>
          <w:type w:val="continuous"/>
        </w:sectPr>
      </w:pPr>
    </w:p>
    <w:bookmarkStart w:id="19" w:name="page20"/>
    <w:bookmarkEnd w:id="1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Corporate Governance</w:t>
      </w: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Committees</w:t>
      </w:r>
    </w:p>
    <w:p>
      <w:pPr>
        <w:spacing w:after="0" w:line="16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1323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6" w:lineRule="exact"/>
        <w:rPr>
          <w:sz w:val="20"/>
          <w:szCs w:val="20"/>
          <w:color w:val="auto"/>
        </w:rPr>
      </w:pPr>
    </w:p>
    <w:p>
      <w:pPr>
        <w:ind w:left="20"/>
        <w:spacing w:after="0"/>
        <w:tabs>
          <w:tab w:leader="none" w:pos="2700" w:val="left"/>
        </w:tabs>
        <w:rPr>
          <w:sz w:val="20"/>
          <w:szCs w:val="20"/>
          <w:color w:val="auto"/>
        </w:rPr>
      </w:pPr>
      <w:r>
        <w:rPr>
          <w:rFonts w:ascii="Arial" w:cs="Arial" w:eastAsia="Arial" w:hAnsi="Arial"/>
          <w:sz w:val="16"/>
          <w:szCs w:val="16"/>
          <w:b w:val="1"/>
          <w:bCs w:val="1"/>
          <w:color w:val="004A98"/>
        </w:rPr>
        <w:t>Members</w:t>
      </w:r>
      <w:r>
        <w:rPr>
          <w:sz w:val="20"/>
          <w:szCs w:val="20"/>
          <w:color w:val="auto"/>
        </w:rPr>
        <w:tab/>
      </w:r>
      <w:r>
        <w:rPr>
          <w:rFonts w:ascii="Arial" w:cs="Arial" w:eastAsia="Arial" w:hAnsi="Arial"/>
          <w:sz w:val="16"/>
          <w:szCs w:val="16"/>
          <w:b w:val="1"/>
          <w:bCs w:val="1"/>
          <w:color w:val="004A98"/>
        </w:rPr>
        <w:t>Principal Responsibilities</w:t>
      </w:r>
    </w:p>
    <w:p>
      <w:pPr>
        <w:sectPr>
          <w:pgSz w:w="11900" w:h="16838" w:orient="portrait"/>
          <w:cols w:equalWidth="0" w:num="1">
            <w:col w:w="11240"/>
          </w:cols>
          <w:pgMar w:left="320" w:top="121" w:right="339" w:bottom="1440" w:gutter="0" w:footer="0" w:header="0"/>
        </w:sectPr>
      </w:pPr>
    </w:p>
    <w:p>
      <w:pPr>
        <w:spacing w:after="0" w:line="46" w:lineRule="exact"/>
        <w:rPr>
          <w:sz w:val="20"/>
          <w:szCs w:val="20"/>
          <w:color w:val="auto"/>
        </w:rPr>
      </w:pPr>
    </w:p>
    <w:p>
      <w:pPr>
        <w:ind w:left="20"/>
        <w:spacing w:after="0"/>
        <w:rPr>
          <w:sz w:val="20"/>
          <w:szCs w:val="20"/>
          <w:color w:val="auto"/>
        </w:rPr>
      </w:pPr>
      <w:r>
        <w:rPr>
          <w:rFonts w:ascii="Arial" w:cs="Arial" w:eastAsia="Arial" w:hAnsi="Arial"/>
          <w:sz w:val="16"/>
          <w:szCs w:val="16"/>
          <w:color w:val="auto"/>
        </w:rPr>
        <w:t>Timothy Tomlinson</w:t>
      </w:r>
    </w:p>
    <w:p>
      <w:pPr>
        <w:spacing w:after="0" w:line="31" w:lineRule="exact"/>
        <w:rPr>
          <w:sz w:val="20"/>
          <w:szCs w:val="20"/>
          <w:color w:val="auto"/>
        </w:rPr>
      </w:pPr>
    </w:p>
    <w:p>
      <w:pPr>
        <w:ind w:left="220"/>
        <w:spacing w:after="0"/>
        <w:rPr>
          <w:sz w:val="20"/>
          <w:szCs w:val="20"/>
          <w:color w:val="auto"/>
        </w:rPr>
      </w:pPr>
      <w:r>
        <w:rPr>
          <w:rFonts w:ascii="Arial" w:cs="Arial" w:eastAsia="Arial" w:hAnsi="Arial"/>
          <w:sz w:val="16"/>
          <w:szCs w:val="16"/>
          <w:color w:val="auto"/>
        </w:rPr>
        <w:t>(Chairperson)</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Courtney D. Armstrong</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Kathleen A. Cote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Debra W. McCann</w:t>
      </w:r>
    </w:p>
    <w:p>
      <w:pPr>
        <w:spacing w:after="0" w:line="9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 xml:space="preserve">Meetings in 2024: </w:t>
      </w:r>
      <w:r>
        <w:rPr>
          <w:rFonts w:ascii="Arial" w:cs="Arial" w:eastAsia="Arial" w:hAnsi="Arial"/>
          <w:sz w:val="16"/>
          <w:szCs w:val="16"/>
          <w:b w:val="1"/>
          <w:bCs w:val="1"/>
          <w:color w:val="000000"/>
        </w:rPr>
        <w:t>5</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left="8"/>
        <w:spacing w:after="0"/>
        <w:rPr>
          <w:sz w:val="20"/>
          <w:szCs w:val="20"/>
          <w:color w:val="auto"/>
        </w:rPr>
      </w:pPr>
      <w:r>
        <w:rPr>
          <w:rFonts w:ascii="Arial" w:cs="Arial" w:eastAsia="Arial" w:hAnsi="Arial"/>
          <w:sz w:val="16"/>
          <w:szCs w:val="16"/>
          <w:color w:val="auto"/>
        </w:rPr>
        <w:t>The Board has established an Audit Committee to:</w:t>
      </w:r>
    </w:p>
    <w:p>
      <w:pPr>
        <w:spacing w:after="0" w:line="86" w:lineRule="exact"/>
        <w:rPr>
          <w:sz w:val="20"/>
          <w:szCs w:val="20"/>
          <w:color w:val="auto"/>
        </w:rPr>
      </w:pPr>
    </w:p>
    <w:p>
      <w:pPr>
        <w:ind w:left="188" w:right="200" w:hanging="188"/>
        <w:spacing w:after="0" w:line="265" w:lineRule="auto"/>
        <w:tabs>
          <w:tab w:leader="none" w:pos="158" w:val="left"/>
        </w:tabs>
        <w:numPr>
          <w:ilvl w:val="0"/>
          <w:numId w:val="18"/>
        </w:numPr>
        <w:rPr>
          <w:rFonts w:ascii="Arial" w:cs="Arial" w:eastAsia="Arial" w:hAnsi="Arial"/>
          <w:sz w:val="16"/>
          <w:szCs w:val="16"/>
          <w:color w:val="004A98"/>
        </w:rPr>
      </w:pPr>
      <w:r>
        <w:rPr>
          <w:rFonts w:ascii="Arial" w:cs="Arial" w:eastAsia="Arial" w:hAnsi="Arial"/>
          <w:sz w:val="16"/>
          <w:szCs w:val="16"/>
          <w:color w:val="auto"/>
        </w:rPr>
        <w:t>oversee the accounting and financial reporting processes at the Company, internal control over financial reporting, audits of the Company’s financial statements, the qualifications of the Company’s independent registered public accounting firm, and the performance of the Company’s internal audit department and the independent registered public accounting firm;</w:t>
      </w:r>
    </w:p>
    <w:p>
      <w:pPr>
        <w:spacing w:after="0" w:line="37" w:lineRule="exact"/>
        <w:rPr>
          <w:rFonts w:ascii="Arial" w:cs="Arial" w:eastAsia="Arial" w:hAnsi="Arial"/>
          <w:sz w:val="16"/>
          <w:szCs w:val="16"/>
          <w:color w:val="004A98"/>
        </w:rPr>
      </w:pPr>
    </w:p>
    <w:p>
      <w:pPr>
        <w:ind w:left="188" w:right="780" w:hanging="188"/>
        <w:spacing w:after="0" w:line="286" w:lineRule="auto"/>
        <w:tabs>
          <w:tab w:leader="none" w:pos="158" w:val="left"/>
        </w:tabs>
        <w:numPr>
          <w:ilvl w:val="0"/>
          <w:numId w:val="18"/>
        </w:numPr>
        <w:rPr>
          <w:rFonts w:ascii="Arial" w:cs="Arial" w:eastAsia="Arial" w:hAnsi="Arial"/>
          <w:sz w:val="16"/>
          <w:szCs w:val="16"/>
          <w:color w:val="004A98"/>
        </w:rPr>
      </w:pPr>
      <w:r>
        <w:rPr>
          <w:rFonts w:ascii="Arial" w:cs="Arial" w:eastAsia="Arial" w:hAnsi="Arial"/>
          <w:sz w:val="16"/>
          <w:szCs w:val="16"/>
          <w:color w:val="auto"/>
        </w:rPr>
        <w:t>be responsible for the appointment (subject to stockholder ratification), compensation, and retention of the independent registered public accounting firm, which reports directly to the Audit Committee;</w:t>
      </w:r>
    </w:p>
    <w:p>
      <w:pPr>
        <w:spacing w:after="0" w:line="20" w:lineRule="exact"/>
        <w:rPr>
          <w:rFonts w:ascii="Arial" w:cs="Arial" w:eastAsia="Arial" w:hAnsi="Arial"/>
          <w:sz w:val="16"/>
          <w:szCs w:val="16"/>
          <w:color w:val="004A98"/>
        </w:rPr>
      </w:pPr>
    </w:p>
    <w:p>
      <w:pPr>
        <w:ind w:left="188" w:right="40" w:hanging="188"/>
        <w:spacing w:after="0" w:line="299" w:lineRule="auto"/>
        <w:tabs>
          <w:tab w:leader="none" w:pos="158" w:val="left"/>
        </w:tabs>
        <w:numPr>
          <w:ilvl w:val="0"/>
          <w:numId w:val="18"/>
        </w:numPr>
        <w:rPr>
          <w:rFonts w:ascii="Arial" w:cs="Arial" w:eastAsia="Arial" w:hAnsi="Arial"/>
          <w:sz w:val="16"/>
          <w:szCs w:val="16"/>
          <w:color w:val="004A98"/>
        </w:rPr>
      </w:pPr>
      <w:r>
        <w:rPr>
          <w:rFonts w:ascii="Arial" w:cs="Arial" w:eastAsia="Arial" w:hAnsi="Arial"/>
          <w:sz w:val="16"/>
          <w:szCs w:val="16"/>
          <w:color w:val="auto"/>
        </w:rPr>
        <w:t>oversee the Company’s processes to manage business and financial risk, and compliance with significant applicable legal and regulatory requirements; and</w:t>
      </w:r>
    </w:p>
    <w:p>
      <w:pPr>
        <w:ind w:left="168" w:hanging="168"/>
        <w:spacing w:after="0"/>
        <w:tabs>
          <w:tab w:leader="none" w:pos="168" w:val="left"/>
        </w:tabs>
        <w:numPr>
          <w:ilvl w:val="0"/>
          <w:numId w:val="18"/>
        </w:numPr>
        <w:rPr>
          <w:rFonts w:ascii="Arial" w:cs="Arial" w:eastAsia="Arial" w:hAnsi="Arial"/>
          <w:sz w:val="16"/>
          <w:szCs w:val="16"/>
          <w:color w:val="004A98"/>
        </w:rPr>
      </w:pPr>
      <w:r>
        <w:rPr>
          <w:rFonts w:ascii="Arial" w:cs="Arial" w:eastAsia="Arial" w:hAnsi="Arial"/>
          <w:sz w:val="16"/>
          <w:szCs w:val="16"/>
          <w:color w:val="auto"/>
        </w:rPr>
        <w:t>oversee the Company’s ethics and compliance program.</w:t>
      </w:r>
    </w:p>
    <w:p>
      <w:pPr>
        <w:spacing w:after="0" w:line="127" w:lineRule="exact"/>
        <w:rPr>
          <w:sz w:val="20"/>
          <w:szCs w:val="20"/>
          <w:color w:val="auto"/>
        </w:rPr>
      </w:pPr>
    </w:p>
    <w:p>
      <w:pPr>
        <w:sectPr>
          <w:pgSz w:w="11900" w:h="16838" w:orient="portrait"/>
          <w:cols w:equalWidth="0" w:num="2">
            <w:col w:w="1992" w:space="720"/>
            <w:col w:w="8528"/>
          </w:cols>
          <w:pgMar w:left="320" w:top="121" w:right="339" w:bottom="1440" w:gutter="0" w:footer="0" w:header="0"/>
          <w:type w:val="continuous"/>
        </w:sectPr>
      </w:pPr>
    </w:p>
    <w:p>
      <w:pPr>
        <w:ind w:left="2720"/>
        <w:spacing w:after="0"/>
        <w:rPr>
          <w:sz w:val="20"/>
          <w:szCs w:val="20"/>
          <w:color w:val="auto"/>
        </w:rPr>
      </w:pPr>
      <w:r>
        <w:rPr>
          <w:rFonts w:ascii="Arial" w:cs="Arial" w:eastAsia="Arial" w:hAnsi="Arial"/>
          <w:sz w:val="16"/>
          <w:szCs w:val="16"/>
          <w:b w:val="1"/>
          <w:bCs w:val="1"/>
          <w:color w:val="004A98"/>
        </w:rPr>
        <w:t>Independence</w:t>
      </w:r>
    </w:p>
    <w:p>
      <w:pPr>
        <w:spacing w:after="0" w:line="59" w:lineRule="exact"/>
        <w:rPr>
          <w:sz w:val="20"/>
          <w:szCs w:val="20"/>
          <w:color w:val="auto"/>
        </w:rPr>
      </w:pPr>
    </w:p>
    <w:p>
      <w:pPr>
        <w:ind w:left="2720" w:right="100"/>
        <w:spacing w:after="0" w:line="255" w:lineRule="auto"/>
        <w:rPr>
          <w:sz w:val="20"/>
          <w:szCs w:val="20"/>
          <w:color w:val="auto"/>
        </w:rPr>
      </w:pPr>
      <w:r>
        <w:rPr>
          <w:rFonts w:ascii="Arial" w:cs="Arial" w:eastAsia="Arial" w:hAnsi="Arial"/>
          <w:sz w:val="16"/>
          <w:szCs w:val="16"/>
          <w:color w:val="auto"/>
        </w:rPr>
        <w:t>Each member of the Audit Committee meets the independence criteria of The Nasdaq Stock Market’s and the SEC’s rules. Each Audit Committee member meets The Nasdaq Stock Market’s financial knowledge requirements, and the Board has determined that the Audit Committee has at least one member who has past employment experience in finance or accounting, requisite professional certification in accounting, or any other comparable experience or background which results in the individual’s financial sophistication, including being or having been a chief executive officer, chief financial officer, or other senior officer with financial oversight responsibilities as required by Rule 5605(c)</w:t>
      </w:r>
    </w:p>
    <w:p>
      <w:pPr>
        <w:spacing w:after="0" w:line="4" w:lineRule="exact"/>
        <w:rPr>
          <w:sz w:val="20"/>
          <w:szCs w:val="20"/>
          <w:color w:val="auto"/>
        </w:rPr>
      </w:pPr>
    </w:p>
    <w:p>
      <w:pPr>
        <w:ind w:left="2720" w:right="360" w:hanging="8"/>
        <w:spacing w:after="0" w:line="283" w:lineRule="auto"/>
        <w:tabs>
          <w:tab w:leader="none" w:pos="2963" w:val="left"/>
        </w:tabs>
        <w:numPr>
          <w:ilvl w:val="0"/>
          <w:numId w:val="19"/>
        </w:numPr>
        <w:rPr>
          <w:rFonts w:ascii="Arial" w:cs="Arial" w:eastAsia="Arial" w:hAnsi="Arial"/>
          <w:sz w:val="16"/>
          <w:szCs w:val="16"/>
          <w:color w:val="auto"/>
        </w:rPr>
      </w:pPr>
      <w:r>
        <w:rPr>
          <w:rFonts w:ascii="Arial" w:cs="Arial" w:eastAsia="Arial" w:hAnsi="Arial"/>
          <w:sz w:val="16"/>
          <w:szCs w:val="16"/>
          <w:color w:val="auto"/>
        </w:rPr>
        <w:t>of The Nasdaq Stock Market. Our Board has determined that each member of the Audit Committee is an “audit committee financial expert” as such term is defined in Item 407(d)(5) of Regulation S-K.</w:t>
      </w:r>
    </w:p>
    <w:p>
      <w:pPr>
        <w:spacing w:after="0" w:line="50" w:lineRule="exact"/>
        <w:rPr>
          <w:sz w:val="20"/>
          <w:szCs w:val="20"/>
          <w:color w:val="auto"/>
        </w:rPr>
      </w:pPr>
    </w:p>
    <w:p>
      <w:pPr>
        <w:ind w:left="2720"/>
        <w:spacing w:after="0"/>
        <w:rPr>
          <w:sz w:val="20"/>
          <w:szCs w:val="20"/>
          <w:color w:val="auto"/>
        </w:rPr>
      </w:pPr>
      <w:r>
        <w:rPr>
          <w:rFonts w:ascii="Arial" w:cs="Arial" w:eastAsia="Arial" w:hAnsi="Arial"/>
          <w:sz w:val="16"/>
          <w:szCs w:val="16"/>
          <w:b w:val="1"/>
          <w:bCs w:val="1"/>
          <w:color w:val="004A98"/>
        </w:rPr>
        <w:t>Charter</w:t>
      </w:r>
    </w:p>
    <w:p>
      <w:pPr>
        <w:spacing w:after="0" w:line="73" w:lineRule="exact"/>
        <w:rPr>
          <w:sz w:val="20"/>
          <w:szCs w:val="20"/>
          <w:color w:val="auto"/>
        </w:rPr>
      </w:pPr>
    </w:p>
    <w:p>
      <w:pPr>
        <w:jc w:val="both"/>
        <w:ind w:left="2720" w:right="460"/>
        <w:spacing w:after="0" w:line="266" w:lineRule="auto"/>
        <w:rPr>
          <w:sz w:val="20"/>
          <w:szCs w:val="20"/>
          <w:color w:val="auto"/>
        </w:rPr>
      </w:pPr>
      <w:r>
        <w:rPr>
          <w:rFonts w:ascii="Arial" w:cs="Arial" w:eastAsia="Arial" w:hAnsi="Arial"/>
          <w:sz w:val="16"/>
          <w:szCs w:val="16"/>
          <w:color w:val="auto"/>
        </w:rPr>
        <w:t>The Audit Committee operates pursuant to a written charter, which complies with the applicable provisions of the Sarbanes-Oxley Act of 2002 and related rules of the SEC and The Nasdaq Stock Market. The Audit Committee’s charter is available on our Investor Relations website at https://investor.verisign.com/corporate-governance.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1323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34"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Corporate Governance</w:t>
      </w:r>
    </w:p>
    <w:p>
      <w:pPr>
        <w:spacing w:after="0" w:line="356"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COMPENSATION COMMITTEE</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54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004A98"/>
              </w:rPr>
              <w:t>Members</w:t>
            </w:r>
          </w:p>
        </w:tc>
        <w:tc>
          <w:tcPr>
            <w:tcW w:w="8700" w:type="dxa"/>
            <w:vAlign w:val="bottom"/>
            <w:tcBorders>
              <w:top w:val="single" w:sz="8" w:color="auto"/>
            </w:tcBorders>
          </w:tcPr>
          <w:p>
            <w:pPr>
              <w:ind w:left="180"/>
              <w:spacing w:after="0"/>
              <w:rPr>
                <w:sz w:val="20"/>
                <w:szCs w:val="20"/>
                <w:color w:val="auto"/>
              </w:rPr>
            </w:pPr>
            <w:r>
              <w:rPr>
                <w:rFonts w:ascii="Arial" w:cs="Arial" w:eastAsia="Arial" w:hAnsi="Arial"/>
                <w:sz w:val="16"/>
                <w:szCs w:val="16"/>
                <w:b w:val="1"/>
                <w:bCs w:val="1"/>
                <w:color w:val="004A98"/>
              </w:rPr>
              <w:t>Principal Responsibilities</w:t>
            </w:r>
          </w:p>
        </w:tc>
        <w:tc>
          <w:tcPr>
            <w:tcW w:w="0" w:type="dxa"/>
            <w:vAlign w:val="bottom"/>
          </w:tcPr>
          <w:p>
            <w:pPr>
              <w:spacing w:after="0"/>
              <w:rPr>
                <w:sz w:val="1"/>
                <w:szCs w:val="1"/>
                <w:color w:val="auto"/>
              </w:rPr>
            </w:pPr>
          </w:p>
        </w:tc>
      </w:tr>
      <w:tr>
        <w:trPr>
          <w:trHeight w:val="189"/>
        </w:trPr>
        <w:tc>
          <w:tcPr>
            <w:tcW w:w="2540" w:type="dxa"/>
            <w:vAlign w:val="bottom"/>
          </w:tcPr>
          <w:p>
            <w:pPr>
              <w:ind w:left="20"/>
              <w:spacing w:after="0"/>
              <w:rPr>
                <w:sz w:val="20"/>
                <w:szCs w:val="20"/>
                <w:color w:val="auto"/>
              </w:rPr>
            </w:pPr>
            <w:r>
              <w:rPr>
                <w:rFonts w:ascii="Arial" w:cs="Arial" w:eastAsia="Arial" w:hAnsi="Arial"/>
                <w:sz w:val="16"/>
                <w:szCs w:val="16"/>
                <w:color w:val="auto"/>
              </w:rPr>
              <w:t>Thomas F. Frist III (Chairperson)</w:t>
            </w:r>
          </w:p>
        </w:tc>
        <w:tc>
          <w:tcPr>
            <w:tcW w:w="8700" w:type="dxa"/>
            <w:vAlign w:val="bottom"/>
            <w:vMerge w:val="restart"/>
          </w:tcPr>
          <w:p>
            <w:pPr>
              <w:ind w:left="180"/>
              <w:spacing w:after="0"/>
              <w:rPr>
                <w:sz w:val="20"/>
                <w:szCs w:val="20"/>
                <w:color w:val="auto"/>
              </w:rPr>
            </w:pPr>
            <w:r>
              <w:rPr>
                <w:rFonts w:ascii="Arial" w:cs="Arial" w:eastAsia="Arial" w:hAnsi="Arial"/>
                <w:sz w:val="16"/>
                <w:szCs w:val="16"/>
                <w:color w:val="auto"/>
              </w:rPr>
              <w:t>The Board has established a Compensation Committee to:</w:t>
            </w:r>
          </w:p>
        </w:tc>
        <w:tc>
          <w:tcPr>
            <w:tcW w:w="0" w:type="dxa"/>
            <w:vAlign w:val="bottom"/>
          </w:tcPr>
          <w:p>
            <w:pPr>
              <w:spacing w:after="0"/>
              <w:rPr>
                <w:sz w:val="1"/>
                <w:szCs w:val="1"/>
                <w:color w:val="auto"/>
              </w:rPr>
            </w:pPr>
          </w:p>
        </w:tc>
      </w:tr>
      <w:tr>
        <w:trPr>
          <w:trHeight w:val="134"/>
        </w:trPr>
        <w:tc>
          <w:tcPr>
            <w:tcW w:w="2540" w:type="dxa"/>
            <w:vAlign w:val="bottom"/>
            <w:vMerge w:val="restart"/>
          </w:tcPr>
          <w:p>
            <w:pPr>
              <w:ind w:left="20"/>
              <w:spacing w:after="0"/>
              <w:rPr>
                <w:sz w:val="20"/>
                <w:szCs w:val="20"/>
                <w:color w:val="auto"/>
              </w:rPr>
            </w:pPr>
            <w:r>
              <w:rPr>
                <w:rFonts w:ascii="Arial" w:cs="Arial" w:eastAsia="Arial" w:hAnsi="Arial"/>
                <w:sz w:val="16"/>
                <w:szCs w:val="16"/>
                <w:color w:val="auto"/>
              </w:rPr>
              <w:t>Courtney D. Armstrong</w:t>
            </w:r>
          </w:p>
        </w:tc>
        <w:tc>
          <w:tcPr>
            <w:tcW w:w="87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2540" w:type="dxa"/>
            <w:vAlign w:val="bottom"/>
            <w:vMerge w:val="continue"/>
          </w:tcPr>
          <w:p>
            <w:pPr>
              <w:spacing w:after="0"/>
              <w:rPr>
                <w:sz w:val="5"/>
                <w:szCs w:val="5"/>
                <w:color w:val="auto"/>
              </w:rPr>
            </w:pPr>
          </w:p>
        </w:tc>
        <w:tc>
          <w:tcPr>
            <w:tcW w:w="8700" w:type="dxa"/>
            <w:vAlign w:val="bottom"/>
            <w:vMerge w:val="restart"/>
          </w:tcPr>
          <w:p>
            <w:pPr>
              <w:ind w:left="180"/>
              <w:spacing w:after="0"/>
              <w:rPr>
                <w:sz w:val="20"/>
                <w:szCs w:val="20"/>
                <w:color w:val="auto"/>
              </w:rPr>
            </w:pPr>
            <w:r>
              <w:rPr>
                <w:rFonts w:ascii="Arial" w:cs="Arial" w:eastAsia="Arial" w:hAnsi="Arial"/>
                <w:sz w:val="16"/>
                <w:szCs w:val="16"/>
                <w:color w:val="004A98"/>
              </w:rPr>
              <w:t xml:space="preserve">• </w:t>
            </w:r>
            <w:r>
              <w:rPr>
                <w:rFonts w:ascii="Arial" w:cs="Arial" w:eastAsia="Arial" w:hAnsi="Arial"/>
                <w:sz w:val="16"/>
                <w:szCs w:val="16"/>
                <w:color w:val="000000"/>
              </w:rPr>
              <w:t>discharge the Board’s responsibilities with respect to all forms of compensation of the Company’s directors and</w:t>
            </w:r>
          </w:p>
        </w:tc>
        <w:tc>
          <w:tcPr>
            <w:tcW w:w="0" w:type="dxa"/>
            <w:vAlign w:val="bottom"/>
          </w:tcPr>
          <w:p>
            <w:pPr>
              <w:spacing w:after="0"/>
              <w:rPr>
                <w:sz w:val="1"/>
                <w:szCs w:val="1"/>
                <w:color w:val="auto"/>
              </w:rPr>
            </w:pPr>
          </w:p>
        </w:tc>
      </w:tr>
      <w:tr>
        <w:trPr>
          <w:trHeight w:val="176"/>
        </w:trPr>
        <w:tc>
          <w:tcPr>
            <w:tcW w:w="2540" w:type="dxa"/>
            <w:vAlign w:val="bottom"/>
          </w:tcPr>
          <w:p>
            <w:pPr>
              <w:ind w:left="20"/>
              <w:spacing w:after="0" w:line="175" w:lineRule="exact"/>
              <w:rPr>
                <w:sz w:val="20"/>
                <w:szCs w:val="20"/>
                <w:color w:val="auto"/>
              </w:rPr>
            </w:pPr>
            <w:r>
              <w:rPr>
                <w:rFonts w:ascii="Arial" w:cs="Arial" w:eastAsia="Arial" w:hAnsi="Arial"/>
                <w:sz w:val="16"/>
                <w:szCs w:val="16"/>
                <w:color w:val="auto"/>
              </w:rPr>
              <w:t>Jamie S. Gorelick</w:t>
            </w:r>
          </w:p>
        </w:tc>
        <w:tc>
          <w:tcPr>
            <w:tcW w:w="87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8700" w:type="dxa"/>
            <w:vAlign w:val="bottom"/>
          </w:tcPr>
          <w:p>
            <w:pPr>
              <w:ind w:left="360"/>
              <w:spacing w:after="0"/>
              <w:rPr>
                <w:sz w:val="20"/>
                <w:szCs w:val="20"/>
                <w:color w:val="auto"/>
              </w:rPr>
            </w:pPr>
            <w:r>
              <w:rPr>
                <w:rFonts w:ascii="Arial" w:cs="Arial" w:eastAsia="Arial" w:hAnsi="Arial"/>
                <w:sz w:val="16"/>
                <w:szCs w:val="16"/>
                <w:color w:val="auto"/>
              </w:rPr>
              <w:t>employees, including executive officers;</w:t>
            </w:r>
          </w:p>
        </w:tc>
        <w:tc>
          <w:tcPr>
            <w:tcW w:w="0" w:type="dxa"/>
            <w:vAlign w:val="bottom"/>
          </w:tcPr>
          <w:p>
            <w:pPr>
              <w:spacing w:after="0"/>
              <w:rPr>
                <w:sz w:val="1"/>
                <w:szCs w:val="1"/>
                <w:color w:val="auto"/>
              </w:rPr>
            </w:pPr>
          </w:p>
        </w:tc>
      </w:tr>
      <w:tr>
        <w:trPr>
          <w:trHeight w:val="270"/>
        </w:trPr>
        <w:tc>
          <w:tcPr>
            <w:tcW w:w="2540" w:type="dxa"/>
            <w:vAlign w:val="bottom"/>
            <w:vMerge w:val="restart"/>
          </w:tcPr>
          <w:p>
            <w:pPr>
              <w:ind w:left="20"/>
              <w:spacing w:after="0"/>
              <w:rPr>
                <w:sz w:val="20"/>
                <w:szCs w:val="20"/>
                <w:color w:val="auto"/>
              </w:rPr>
            </w:pPr>
            <w:r>
              <w:rPr>
                <w:rFonts w:ascii="Arial" w:cs="Arial" w:eastAsia="Arial" w:hAnsi="Arial"/>
                <w:sz w:val="16"/>
                <w:szCs w:val="16"/>
                <w:b w:val="1"/>
                <w:bCs w:val="1"/>
                <w:color w:val="004A98"/>
              </w:rPr>
              <w:t xml:space="preserve">Meetings in 2024: </w:t>
            </w:r>
            <w:r>
              <w:rPr>
                <w:rFonts w:ascii="Arial" w:cs="Arial" w:eastAsia="Arial" w:hAnsi="Arial"/>
                <w:sz w:val="16"/>
                <w:szCs w:val="16"/>
                <w:b w:val="1"/>
                <w:bCs w:val="1"/>
                <w:color w:val="000000"/>
              </w:rPr>
              <w:t>5</w:t>
            </w:r>
          </w:p>
        </w:tc>
        <w:tc>
          <w:tcPr>
            <w:tcW w:w="8700" w:type="dxa"/>
            <w:vAlign w:val="bottom"/>
          </w:tcPr>
          <w:p>
            <w:pPr>
              <w:ind w:left="180"/>
              <w:spacing w:after="0"/>
              <w:rPr>
                <w:sz w:val="20"/>
                <w:szCs w:val="20"/>
                <w:color w:val="auto"/>
              </w:rPr>
            </w:pPr>
            <w:r>
              <w:rPr>
                <w:rFonts w:ascii="Arial" w:cs="Arial" w:eastAsia="Arial" w:hAnsi="Arial"/>
                <w:sz w:val="16"/>
                <w:szCs w:val="16"/>
                <w:color w:val="004A98"/>
              </w:rPr>
              <w:t xml:space="preserve">• </w:t>
            </w:r>
            <w:r>
              <w:rPr>
                <w:rFonts w:ascii="Arial" w:cs="Arial" w:eastAsia="Arial" w:hAnsi="Arial"/>
                <w:sz w:val="16"/>
                <w:szCs w:val="16"/>
                <w:color w:val="000000"/>
              </w:rPr>
              <w:t>administer the Company’s equity incentive plans;</w:t>
            </w:r>
          </w:p>
        </w:tc>
        <w:tc>
          <w:tcPr>
            <w:tcW w:w="0" w:type="dxa"/>
            <w:vAlign w:val="bottom"/>
          </w:tcPr>
          <w:p>
            <w:pPr>
              <w:spacing w:after="0"/>
              <w:rPr>
                <w:sz w:val="1"/>
                <w:szCs w:val="1"/>
                <w:color w:val="auto"/>
              </w:rPr>
            </w:pPr>
          </w:p>
        </w:tc>
      </w:tr>
      <w:tr>
        <w:trPr>
          <w:trHeight w:val="103"/>
        </w:trPr>
        <w:tc>
          <w:tcPr>
            <w:tcW w:w="2540" w:type="dxa"/>
            <w:vAlign w:val="bottom"/>
            <w:vMerge w:val="continue"/>
          </w:tcPr>
          <w:p>
            <w:pPr>
              <w:spacing w:after="0"/>
              <w:rPr>
                <w:sz w:val="8"/>
                <w:szCs w:val="8"/>
                <w:color w:val="auto"/>
              </w:rPr>
            </w:pPr>
          </w:p>
        </w:tc>
        <w:tc>
          <w:tcPr>
            <w:tcW w:w="8700" w:type="dxa"/>
            <w:vAlign w:val="bottom"/>
            <w:vMerge w:val="restart"/>
          </w:tcPr>
          <w:p>
            <w:pPr>
              <w:ind w:left="180"/>
              <w:spacing w:after="0"/>
              <w:rPr>
                <w:sz w:val="20"/>
                <w:szCs w:val="20"/>
                <w:color w:val="auto"/>
              </w:rPr>
            </w:pPr>
            <w:r>
              <w:rPr>
                <w:rFonts w:ascii="Arial" w:cs="Arial" w:eastAsia="Arial" w:hAnsi="Arial"/>
                <w:sz w:val="16"/>
                <w:szCs w:val="16"/>
                <w:color w:val="004A98"/>
              </w:rPr>
              <w:t xml:space="preserve">• </w:t>
            </w:r>
            <w:r>
              <w:rPr>
                <w:rFonts w:ascii="Arial" w:cs="Arial" w:eastAsia="Arial" w:hAnsi="Arial"/>
                <w:sz w:val="16"/>
                <w:szCs w:val="16"/>
                <w:color w:val="000000"/>
              </w:rPr>
              <w:t>oversee the Company’s overall compensation philosophy and approve and evaluate executive officer compensation</w:t>
            </w:r>
          </w:p>
        </w:tc>
        <w:tc>
          <w:tcPr>
            <w:tcW w:w="0" w:type="dxa"/>
            <w:vAlign w:val="bottom"/>
          </w:tcPr>
          <w:p>
            <w:pPr>
              <w:spacing w:after="0"/>
              <w:rPr>
                <w:sz w:val="1"/>
                <w:szCs w:val="1"/>
                <w:color w:val="auto"/>
              </w:rPr>
            </w:pPr>
          </w:p>
        </w:tc>
      </w:tr>
      <w:tr>
        <w:trPr>
          <w:trHeight w:val="142"/>
        </w:trPr>
        <w:tc>
          <w:tcPr>
            <w:tcW w:w="2540" w:type="dxa"/>
            <w:vAlign w:val="bottom"/>
          </w:tcPr>
          <w:p>
            <w:pPr>
              <w:spacing w:after="0"/>
              <w:rPr>
                <w:sz w:val="12"/>
                <w:szCs w:val="12"/>
                <w:color w:val="auto"/>
              </w:rPr>
            </w:pPr>
          </w:p>
        </w:tc>
        <w:tc>
          <w:tcPr>
            <w:tcW w:w="87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8700" w:type="dxa"/>
            <w:vAlign w:val="bottom"/>
          </w:tcPr>
          <w:p>
            <w:pPr>
              <w:ind w:left="360"/>
              <w:spacing w:after="0"/>
              <w:rPr>
                <w:sz w:val="20"/>
                <w:szCs w:val="20"/>
                <w:color w:val="auto"/>
              </w:rPr>
            </w:pPr>
            <w:r>
              <w:rPr>
                <w:rFonts w:ascii="Arial" w:cs="Arial" w:eastAsia="Arial" w:hAnsi="Arial"/>
                <w:sz w:val="16"/>
                <w:szCs w:val="16"/>
                <w:color w:val="auto"/>
              </w:rPr>
              <w:t>arrangements, plans, policies, and programs; and</w:t>
            </w:r>
          </w:p>
        </w:tc>
        <w:tc>
          <w:tcPr>
            <w:tcW w:w="0" w:type="dxa"/>
            <w:vAlign w:val="bottom"/>
          </w:tcPr>
          <w:p>
            <w:pPr>
              <w:spacing w:after="0"/>
              <w:rPr>
                <w:sz w:val="1"/>
                <w:szCs w:val="1"/>
                <w:color w:val="auto"/>
              </w:rPr>
            </w:pPr>
          </w:p>
        </w:tc>
      </w:tr>
      <w:tr>
        <w:trPr>
          <w:trHeight w:val="244"/>
        </w:trPr>
        <w:tc>
          <w:tcPr>
            <w:tcW w:w="2540" w:type="dxa"/>
            <w:vAlign w:val="bottom"/>
          </w:tcPr>
          <w:p>
            <w:pPr>
              <w:spacing w:after="0"/>
              <w:rPr>
                <w:sz w:val="21"/>
                <w:szCs w:val="21"/>
                <w:color w:val="auto"/>
              </w:rPr>
            </w:pPr>
          </w:p>
        </w:tc>
        <w:tc>
          <w:tcPr>
            <w:tcW w:w="8700" w:type="dxa"/>
            <w:vAlign w:val="bottom"/>
          </w:tcPr>
          <w:p>
            <w:pPr>
              <w:ind w:left="180"/>
              <w:spacing w:after="0"/>
              <w:rPr>
                <w:sz w:val="20"/>
                <w:szCs w:val="20"/>
                <w:color w:val="auto"/>
              </w:rPr>
            </w:pPr>
            <w:r>
              <w:rPr>
                <w:rFonts w:ascii="Arial" w:cs="Arial" w:eastAsia="Arial" w:hAnsi="Arial"/>
                <w:sz w:val="16"/>
                <w:szCs w:val="16"/>
                <w:color w:val="234B96"/>
              </w:rPr>
              <w:t xml:space="preserve">• </w:t>
            </w:r>
            <w:r>
              <w:rPr>
                <w:rFonts w:ascii="Arial" w:cs="Arial" w:eastAsia="Arial" w:hAnsi="Arial"/>
                <w:sz w:val="16"/>
                <w:szCs w:val="16"/>
                <w:color w:val="000000"/>
              </w:rPr>
              <w:t>oversee the Company’s human capital matters, including a review of various workforce metrics, such as employee</w:t>
            </w:r>
          </w:p>
        </w:tc>
        <w:tc>
          <w:tcPr>
            <w:tcW w:w="0" w:type="dxa"/>
            <w:vAlign w:val="bottom"/>
          </w:tcPr>
          <w:p>
            <w:pPr>
              <w:spacing w:after="0"/>
              <w:rPr>
                <w:sz w:val="1"/>
                <w:szCs w:val="1"/>
                <w:color w:val="auto"/>
              </w:rPr>
            </w:pPr>
          </w:p>
        </w:tc>
      </w:tr>
      <w:tr>
        <w:trPr>
          <w:trHeight w:val="215"/>
        </w:trPr>
        <w:tc>
          <w:tcPr>
            <w:tcW w:w="2540" w:type="dxa"/>
            <w:vAlign w:val="bottom"/>
          </w:tcPr>
          <w:p>
            <w:pPr>
              <w:spacing w:after="0"/>
              <w:rPr>
                <w:sz w:val="18"/>
                <w:szCs w:val="18"/>
                <w:color w:val="auto"/>
              </w:rPr>
            </w:pPr>
          </w:p>
        </w:tc>
        <w:tc>
          <w:tcPr>
            <w:tcW w:w="8700" w:type="dxa"/>
            <w:vAlign w:val="bottom"/>
          </w:tcPr>
          <w:p>
            <w:pPr>
              <w:ind w:left="360"/>
              <w:spacing w:after="0"/>
              <w:rPr>
                <w:sz w:val="20"/>
                <w:szCs w:val="20"/>
                <w:color w:val="auto"/>
              </w:rPr>
            </w:pPr>
            <w:r>
              <w:rPr>
                <w:rFonts w:ascii="Arial" w:cs="Arial" w:eastAsia="Arial" w:hAnsi="Arial"/>
                <w:sz w:val="16"/>
                <w:szCs w:val="16"/>
                <w:color w:val="auto"/>
              </w:rPr>
              <w:t>engagement, workforce demographics, hiring, turnover, and promotion rates.</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2720"/>
        <w:spacing w:after="0"/>
        <w:rPr>
          <w:sz w:val="20"/>
          <w:szCs w:val="20"/>
          <w:color w:val="auto"/>
        </w:rPr>
      </w:pPr>
      <w:r>
        <w:rPr>
          <w:rFonts w:ascii="Arial" w:cs="Arial" w:eastAsia="Arial" w:hAnsi="Arial"/>
          <w:sz w:val="16"/>
          <w:szCs w:val="16"/>
          <w:b w:val="1"/>
          <w:bCs w:val="1"/>
          <w:color w:val="004A98"/>
        </w:rPr>
        <w:t>Independence</w:t>
      </w:r>
    </w:p>
    <w:p>
      <w:pPr>
        <w:spacing w:after="0" w:line="73" w:lineRule="exact"/>
        <w:rPr>
          <w:sz w:val="20"/>
          <w:szCs w:val="20"/>
          <w:color w:val="auto"/>
        </w:rPr>
      </w:pPr>
    </w:p>
    <w:p>
      <w:pPr>
        <w:ind w:left="2720" w:right="140"/>
        <w:spacing w:after="0" w:line="275" w:lineRule="auto"/>
        <w:rPr>
          <w:sz w:val="20"/>
          <w:szCs w:val="20"/>
          <w:color w:val="auto"/>
        </w:rPr>
      </w:pPr>
      <w:r>
        <w:rPr>
          <w:rFonts w:ascii="Arial" w:cs="Arial" w:eastAsia="Arial" w:hAnsi="Arial"/>
          <w:sz w:val="16"/>
          <w:szCs w:val="16"/>
          <w:color w:val="auto"/>
        </w:rPr>
        <w:t>Each Compensation Committee member has been determined to be an “independent director” under the rules of The Nasdaq Stock Market for compensation committee members and a “non-employee director” pursuant to Rule 16b-3 promulgated under Section 16 of the Securities Exchange Act of 1934, as amended (the “Exchange Act”).</w:t>
      </w:r>
    </w:p>
    <w:p>
      <w:pPr>
        <w:spacing w:after="0" w:line="56" w:lineRule="exact"/>
        <w:rPr>
          <w:sz w:val="20"/>
          <w:szCs w:val="20"/>
          <w:color w:val="auto"/>
        </w:rPr>
      </w:pPr>
    </w:p>
    <w:p>
      <w:pPr>
        <w:ind w:left="2720"/>
        <w:spacing w:after="0"/>
        <w:rPr>
          <w:sz w:val="20"/>
          <w:szCs w:val="20"/>
          <w:color w:val="auto"/>
        </w:rPr>
      </w:pPr>
      <w:r>
        <w:rPr>
          <w:rFonts w:ascii="Arial" w:cs="Arial" w:eastAsia="Arial" w:hAnsi="Arial"/>
          <w:sz w:val="16"/>
          <w:szCs w:val="16"/>
          <w:b w:val="1"/>
          <w:bCs w:val="1"/>
          <w:color w:val="004A98"/>
        </w:rPr>
        <w:t>Charter</w:t>
      </w:r>
    </w:p>
    <w:p>
      <w:pPr>
        <w:spacing w:after="0" w:line="59" w:lineRule="exact"/>
        <w:rPr>
          <w:sz w:val="20"/>
          <w:szCs w:val="20"/>
          <w:color w:val="auto"/>
        </w:rPr>
      </w:pPr>
    </w:p>
    <w:p>
      <w:pPr>
        <w:ind w:left="2720" w:right="480"/>
        <w:spacing w:after="0" w:line="304" w:lineRule="auto"/>
        <w:rPr>
          <w:sz w:val="20"/>
          <w:szCs w:val="20"/>
          <w:color w:val="auto"/>
        </w:rPr>
      </w:pPr>
      <w:r>
        <w:rPr>
          <w:rFonts w:ascii="Arial" w:cs="Arial" w:eastAsia="Arial" w:hAnsi="Arial"/>
          <w:sz w:val="16"/>
          <w:szCs w:val="16"/>
          <w:color w:val="auto"/>
        </w:rPr>
        <w:t>The Compensation Committee operates pursuant to a written charter. The Compensation Committee’s charter is available on our Investor Relations website at https://investor.verisign.com/corporate-governance.</w:t>
      </w:r>
    </w:p>
    <w:p>
      <w:pPr>
        <w:spacing w:after="0" w:line="33" w:lineRule="exact"/>
        <w:rPr>
          <w:sz w:val="20"/>
          <w:szCs w:val="20"/>
          <w:color w:val="auto"/>
        </w:rPr>
      </w:pPr>
    </w:p>
    <w:p>
      <w:pPr>
        <w:ind w:left="2720" w:right="240"/>
        <w:spacing w:after="0" w:line="275" w:lineRule="auto"/>
        <w:rPr>
          <w:sz w:val="20"/>
          <w:szCs w:val="20"/>
          <w:color w:val="auto"/>
        </w:rPr>
      </w:pPr>
      <w:r>
        <w:rPr>
          <w:rFonts w:ascii="Arial" w:cs="Arial" w:eastAsia="Arial" w:hAnsi="Arial"/>
          <w:sz w:val="16"/>
          <w:szCs w:val="16"/>
          <w:color w:val="auto"/>
        </w:rPr>
        <w:t>For further information regarding the role of management and the independent compensation consultant in setting executive compensation, see “Executive Compensation—Compensation Discussion and Analysis” elsewhere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95885</wp:posOffset>
            </wp:positionV>
            <wp:extent cx="713232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CORPORATE GOVERNANCE AND NOMINATING COMMITTEE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1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004A98"/>
              </w:rPr>
              <w:t>Members</w:t>
            </w:r>
          </w:p>
        </w:tc>
        <w:tc>
          <w:tcPr>
            <w:tcW w:w="9120" w:type="dxa"/>
            <w:vAlign w:val="bottom"/>
            <w:tcBorders>
              <w:top w:val="single" w:sz="8" w:color="auto"/>
            </w:tcBorders>
          </w:tcPr>
          <w:p>
            <w:pPr>
              <w:ind w:left="600"/>
              <w:spacing w:after="0"/>
              <w:rPr>
                <w:sz w:val="20"/>
                <w:szCs w:val="20"/>
                <w:color w:val="auto"/>
              </w:rPr>
            </w:pPr>
            <w:r>
              <w:rPr>
                <w:rFonts w:ascii="Arial" w:cs="Arial" w:eastAsia="Arial" w:hAnsi="Arial"/>
                <w:sz w:val="16"/>
                <w:szCs w:val="16"/>
                <w:b w:val="1"/>
                <w:bCs w:val="1"/>
                <w:color w:val="004A98"/>
              </w:rPr>
              <w:t>Principal Responsibilities</w:t>
            </w:r>
          </w:p>
        </w:tc>
        <w:tc>
          <w:tcPr>
            <w:tcW w:w="0" w:type="dxa"/>
            <w:vAlign w:val="bottom"/>
          </w:tcPr>
          <w:p>
            <w:pPr>
              <w:spacing w:after="0"/>
              <w:rPr>
                <w:sz w:val="1"/>
                <w:szCs w:val="1"/>
                <w:color w:val="auto"/>
              </w:rPr>
            </w:pPr>
          </w:p>
        </w:tc>
      </w:tr>
      <w:tr>
        <w:trPr>
          <w:trHeight w:val="195"/>
        </w:trPr>
        <w:tc>
          <w:tcPr>
            <w:tcW w:w="2120" w:type="dxa"/>
            <w:vAlign w:val="bottom"/>
          </w:tcPr>
          <w:p>
            <w:pPr>
              <w:ind w:left="20"/>
              <w:spacing w:after="0"/>
              <w:rPr>
                <w:sz w:val="20"/>
                <w:szCs w:val="20"/>
                <w:color w:val="auto"/>
              </w:rPr>
            </w:pPr>
            <w:r>
              <w:rPr>
                <w:rFonts w:ascii="Arial" w:cs="Arial" w:eastAsia="Arial" w:hAnsi="Arial"/>
                <w:sz w:val="16"/>
                <w:szCs w:val="16"/>
                <w:color w:val="auto"/>
              </w:rPr>
              <w:t>Jamie S. Gorelick</w:t>
            </w:r>
          </w:p>
        </w:tc>
        <w:tc>
          <w:tcPr>
            <w:tcW w:w="9120" w:type="dxa"/>
            <w:vAlign w:val="bottom"/>
            <w:vMerge w:val="restart"/>
          </w:tcPr>
          <w:p>
            <w:pPr>
              <w:ind w:left="600"/>
              <w:spacing w:after="0"/>
              <w:rPr>
                <w:sz w:val="20"/>
                <w:szCs w:val="20"/>
                <w:color w:val="auto"/>
              </w:rPr>
            </w:pPr>
            <w:r>
              <w:rPr>
                <w:rFonts w:ascii="Arial" w:cs="Arial" w:eastAsia="Arial" w:hAnsi="Arial"/>
                <w:sz w:val="16"/>
                <w:szCs w:val="16"/>
                <w:color w:val="auto"/>
              </w:rPr>
              <w:t>The Board has established a Corporate Governance and Nominating Committee to:</w:t>
            </w:r>
          </w:p>
        </w:tc>
        <w:tc>
          <w:tcPr>
            <w:tcW w:w="0" w:type="dxa"/>
            <w:vAlign w:val="bottom"/>
          </w:tcPr>
          <w:p>
            <w:pPr>
              <w:spacing w:after="0"/>
              <w:rPr>
                <w:sz w:val="1"/>
                <w:szCs w:val="1"/>
                <w:color w:val="auto"/>
              </w:rPr>
            </w:pPr>
          </w:p>
        </w:tc>
      </w:tr>
      <w:tr>
        <w:trPr>
          <w:trHeight w:val="134"/>
        </w:trPr>
        <w:tc>
          <w:tcPr>
            <w:tcW w:w="2120" w:type="dxa"/>
            <w:vAlign w:val="bottom"/>
            <w:vMerge w:val="restart"/>
          </w:tcPr>
          <w:p>
            <w:pPr>
              <w:ind w:left="220"/>
              <w:spacing w:after="0"/>
              <w:rPr>
                <w:sz w:val="20"/>
                <w:szCs w:val="20"/>
                <w:color w:val="auto"/>
              </w:rPr>
            </w:pPr>
            <w:r>
              <w:rPr>
                <w:rFonts w:ascii="Arial" w:cs="Arial" w:eastAsia="Arial" w:hAnsi="Arial"/>
                <w:sz w:val="16"/>
                <w:szCs w:val="16"/>
                <w:color w:val="auto"/>
              </w:rPr>
              <w:t>(Chairperson)</w:t>
            </w:r>
          </w:p>
        </w:tc>
        <w:tc>
          <w:tcPr>
            <w:tcW w:w="9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69"/>
        </w:trPr>
        <w:tc>
          <w:tcPr>
            <w:tcW w:w="2120" w:type="dxa"/>
            <w:vAlign w:val="bottom"/>
            <w:vMerge w:val="continue"/>
          </w:tcPr>
          <w:p>
            <w:pPr>
              <w:spacing w:after="0"/>
              <w:rPr>
                <w:sz w:val="5"/>
                <w:szCs w:val="5"/>
                <w:color w:val="auto"/>
              </w:rPr>
            </w:pPr>
          </w:p>
        </w:tc>
        <w:tc>
          <w:tcPr>
            <w:tcW w:w="9120" w:type="dxa"/>
            <w:vAlign w:val="bottom"/>
            <w:vMerge w:val="restart"/>
          </w:tcPr>
          <w:p>
            <w:pPr>
              <w:ind w:left="600"/>
              <w:spacing w:after="0"/>
              <w:rPr>
                <w:sz w:val="20"/>
                <w:szCs w:val="20"/>
                <w:color w:val="auto"/>
              </w:rPr>
            </w:pPr>
            <w:r>
              <w:rPr>
                <w:rFonts w:ascii="Arial" w:cs="Arial" w:eastAsia="Arial" w:hAnsi="Arial"/>
                <w:sz w:val="16"/>
                <w:szCs w:val="16"/>
                <w:color w:val="004A98"/>
              </w:rPr>
              <w:t xml:space="preserve">• </w:t>
            </w:r>
            <w:r>
              <w:rPr>
                <w:rFonts w:ascii="Arial" w:cs="Arial" w:eastAsia="Arial" w:hAnsi="Arial"/>
                <w:sz w:val="16"/>
                <w:szCs w:val="16"/>
                <w:color w:val="000000"/>
              </w:rPr>
              <w:t>recruit, evaluate, and nominate candidates for appointment or election to serve as members of the Board;</w:t>
            </w:r>
          </w:p>
        </w:tc>
        <w:tc>
          <w:tcPr>
            <w:tcW w:w="0" w:type="dxa"/>
            <w:vAlign w:val="bottom"/>
          </w:tcPr>
          <w:p>
            <w:pPr>
              <w:spacing w:after="0"/>
              <w:rPr>
                <w:sz w:val="1"/>
                <w:szCs w:val="1"/>
                <w:color w:val="auto"/>
              </w:rPr>
            </w:pPr>
          </w:p>
        </w:tc>
      </w:tr>
      <w:tr>
        <w:trPr>
          <w:trHeight w:val="189"/>
        </w:trPr>
        <w:tc>
          <w:tcPr>
            <w:tcW w:w="2120" w:type="dxa"/>
            <w:vAlign w:val="bottom"/>
          </w:tcPr>
          <w:p>
            <w:pPr>
              <w:ind w:left="20"/>
              <w:spacing w:after="0"/>
              <w:rPr>
                <w:sz w:val="20"/>
                <w:szCs w:val="20"/>
                <w:color w:val="auto"/>
              </w:rPr>
            </w:pPr>
            <w:r>
              <w:rPr>
                <w:rFonts w:ascii="Arial" w:cs="Arial" w:eastAsia="Arial" w:hAnsi="Arial"/>
                <w:sz w:val="16"/>
                <w:szCs w:val="16"/>
                <w:color w:val="auto"/>
              </w:rPr>
              <w:t>Yehuda Ari Buchalter</w:t>
            </w:r>
          </w:p>
        </w:tc>
        <w:tc>
          <w:tcPr>
            <w:tcW w:w="91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120" w:type="dxa"/>
            <w:vAlign w:val="bottom"/>
          </w:tcPr>
          <w:p>
            <w:pPr>
              <w:ind w:left="20"/>
              <w:spacing w:after="0"/>
              <w:rPr>
                <w:sz w:val="20"/>
                <w:szCs w:val="20"/>
                <w:color w:val="auto"/>
              </w:rPr>
            </w:pPr>
            <w:r>
              <w:rPr>
                <w:rFonts w:ascii="Arial" w:cs="Arial" w:eastAsia="Arial" w:hAnsi="Arial"/>
                <w:sz w:val="16"/>
                <w:szCs w:val="16"/>
                <w:color w:val="auto"/>
              </w:rPr>
              <w:t>Thomas F. Frist III</w:t>
            </w:r>
          </w:p>
        </w:tc>
        <w:tc>
          <w:tcPr>
            <w:tcW w:w="9120" w:type="dxa"/>
            <w:vAlign w:val="bottom"/>
            <w:vMerge w:val="restart"/>
          </w:tcPr>
          <w:p>
            <w:pPr>
              <w:ind w:left="600"/>
              <w:spacing w:after="0"/>
              <w:rPr>
                <w:sz w:val="20"/>
                <w:szCs w:val="20"/>
                <w:color w:val="auto"/>
              </w:rPr>
            </w:pPr>
            <w:r>
              <w:rPr>
                <w:rFonts w:ascii="Arial" w:cs="Arial" w:eastAsia="Arial" w:hAnsi="Arial"/>
                <w:sz w:val="16"/>
                <w:szCs w:val="16"/>
                <w:color w:val="004A98"/>
              </w:rPr>
              <w:t xml:space="preserve">• </w:t>
            </w:r>
            <w:r>
              <w:rPr>
                <w:rFonts w:ascii="Arial" w:cs="Arial" w:eastAsia="Arial" w:hAnsi="Arial"/>
                <w:sz w:val="16"/>
                <w:szCs w:val="16"/>
                <w:color w:val="000000"/>
              </w:rPr>
              <w:t>recommend nominees for committees of the Board;</w:t>
            </w:r>
          </w:p>
        </w:tc>
        <w:tc>
          <w:tcPr>
            <w:tcW w:w="0" w:type="dxa"/>
            <w:vAlign w:val="bottom"/>
          </w:tcPr>
          <w:p>
            <w:pPr>
              <w:spacing w:after="0"/>
              <w:rPr>
                <w:sz w:val="1"/>
                <w:szCs w:val="1"/>
                <w:color w:val="auto"/>
              </w:rPr>
            </w:pPr>
          </w:p>
        </w:tc>
      </w:tr>
      <w:tr>
        <w:trPr>
          <w:trHeight w:val="54"/>
        </w:trPr>
        <w:tc>
          <w:tcPr>
            <w:tcW w:w="2120" w:type="dxa"/>
            <w:vAlign w:val="bottom"/>
          </w:tcPr>
          <w:p>
            <w:pPr>
              <w:spacing w:after="0"/>
              <w:rPr>
                <w:sz w:val="4"/>
                <w:szCs w:val="4"/>
                <w:color w:val="auto"/>
              </w:rPr>
            </w:pPr>
          </w:p>
        </w:tc>
        <w:tc>
          <w:tcPr>
            <w:tcW w:w="9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3"/>
                <w:szCs w:val="23"/>
                <w:color w:val="auto"/>
              </w:rPr>
            </w:pPr>
          </w:p>
        </w:tc>
        <w:tc>
          <w:tcPr>
            <w:tcW w:w="9120" w:type="dxa"/>
            <w:vAlign w:val="bottom"/>
          </w:tcPr>
          <w:p>
            <w:pPr>
              <w:ind w:left="600"/>
              <w:spacing w:after="0"/>
              <w:rPr>
                <w:sz w:val="20"/>
                <w:szCs w:val="20"/>
                <w:color w:val="auto"/>
              </w:rPr>
            </w:pPr>
            <w:r>
              <w:rPr>
                <w:rFonts w:ascii="Arial" w:cs="Arial" w:eastAsia="Arial" w:hAnsi="Arial"/>
                <w:sz w:val="16"/>
                <w:szCs w:val="16"/>
                <w:color w:val="004A98"/>
              </w:rPr>
              <w:t xml:space="preserve">• </w:t>
            </w:r>
            <w:r>
              <w:rPr>
                <w:rFonts w:ascii="Arial" w:cs="Arial" w:eastAsia="Arial" w:hAnsi="Arial"/>
                <w:sz w:val="16"/>
                <w:szCs w:val="16"/>
                <w:color w:val="000000"/>
              </w:rPr>
              <w:t>assess contributions and independence of incumbent directors;</w:t>
            </w:r>
          </w:p>
        </w:tc>
        <w:tc>
          <w:tcPr>
            <w:tcW w:w="0" w:type="dxa"/>
            <w:vAlign w:val="bottom"/>
          </w:tcPr>
          <w:p>
            <w:pPr>
              <w:spacing w:after="0"/>
              <w:rPr>
                <w:sz w:val="1"/>
                <w:szCs w:val="1"/>
                <w:color w:val="auto"/>
              </w:rPr>
            </w:pPr>
          </w:p>
        </w:tc>
      </w:tr>
      <w:tr>
        <w:trPr>
          <w:trHeight w:val="270"/>
        </w:trPr>
        <w:tc>
          <w:tcPr>
            <w:tcW w:w="2120" w:type="dxa"/>
            <w:vAlign w:val="bottom"/>
          </w:tcPr>
          <w:p>
            <w:pPr>
              <w:ind w:left="20"/>
              <w:spacing w:after="0"/>
              <w:rPr>
                <w:sz w:val="20"/>
                <w:szCs w:val="20"/>
                <w:color w:val="auto"/>
              </w:rPr>
            </w:pPr>
            <w:r>
              <w:rPr>
                <w:rFonts w:ascii="Arial" w:cs="Arial" w:eastAsia="Arial" w:hAnsi="Arial"/>
                <w:sz w:val="16"/>
                <w:szCs w:val="16"/>
                <w:b w:val="1"/>
                <w:bCs w:val="1"/>
                <w:color w:val="004A98"/>
              </w:rPr>
              <w:t xml:space="preserve">Meetings in 2024: </w:t>
            </w:r>
            <w:r>
              <w:rPr>
                <w:rFonts w:ascii="Arial" w:cs="Arial" w:eastAsia="Arial" w:hAnsi="Arial"/>
                <w:sz w:val="16"/>
                <w:szCs w:val="16"/>
                <w:b w:val="1"/>
                <w:bCs w:val="1"/>
                <w:color w:val="000000"/>
              </w:rPr>
              <w:t>4</w:t>
            </w:r>
          </w:p>
        </w:tc>
        <w:tc>
          <w:tcPr>
            <w:tcW w:w="9120" w:type="dxa"/>
            <w:vAlign w:val="bottom"/>
          </w:tcPr>
          <w:p>
            <w:pPr>
              <w:ind w:left="600"/>
              <w:spacing w:after="0"/>
              <w:rPr>
                <w:sz w:val="20"/>
                <w:szCs w:val="20"/>
                <w:color w:val="auto"/>
              </w:rPr>
            </w:pPr>
            <w:r>
              <w:rPr>
                <w:rFonts w:ascii="Arial" w:cs="Arial" w:eastAsia="Arial" w:hAnsi="Arial"/>
                <w:sz w:val="16"/>
                <w:szCs w:val="16"/>
                <w:color w:val="004A98"/>
              </w:rPr>
              <w:t xml:space="preserve">• </w:t>
            </w:r>
            <w:r>
              <w:rPr>
                <w:rFonts w:ascii="Arial" w:cs="Arial" w:eastAsia="Arial" w:hAnsi="Arial"/>
                <w:sz w:val="16"/>
                <w:szCs w:val="16"/>
                <w:color w:val="000000"/>
              </w:rPr>
              <w:t>review and make recommendations regarding the Board’s leadership structure;</w:t>
            </w:r>
          </w:p>
        </w:tc>
        <w:tc>
          <w:tcPr>
            <w:tcW w:w="0" w:type="dxa"/>
            <w:vAlign w:val="bottom"/>
          </w:tcPr>
          <w:p>
            <w:pPr>
              <w:spacing w:after="0"/>
              <w:rPr>
                <w:sz w:val="1"/>
                <w:szCs w:val="1"/>
                <w:color w:val="auto"/>
              </w:rPr>
            </w:pPr>
          </w:p>
        </w:tc>
      </w:tr>
      <w:tr>
        <w:trPr>
          <w:trHeight w:val="244"/>
        </w:trPr>
        <w:tc>
          <w:tcPr>
            <w:tcW w:w="2120" w:type="dxa"/>
            <w:vAlign w:val="bottom"/>
          </w:tcPr>
          <w:p>
            <w:pPr>
              <w:spacing w:after="0"/>
              <w:rPr>
                <w:sz w:val="21"/>
                <w:szCs w:val="21"/>
                <w:color w:val="auto"/>
              </w:rPr>
            </w:pPr>
          </w:p>
        </w:tc>
        <w:tc>
          <w:tcPr>
            <w:tcW w:w="9120" w:type="dxa"/>
            <w:vAlign w:val="bottom"/>
          </w:tcPr>
          <w:p>
            <w:pPr>
              <w:ind w:left="600"/>
              <w:spacing w:after="0"/>
              <w:rPr>
                <w:sz w:val="20"/>
                <w:szCs w:val="20"/>
                <w:color w:val="auto"/>
              </w:rPr>
            </w:pPr>
            <w:r>
              <w:rPr>
                <w:rFonts w:ascii="Arial" w:cs="Arial" w:eastAsia="Arial" w:hAnsi="Arial"/>
                <w:sz w:val="16"/>
                <w:szCs w:val="16"/>
                <w:color w:val="004A98"/>
              </w:rPr>
              <w:t xml:space="preserve">• </w:t>
            </w:r>
            <w:r>
              <w:rPr>
                <w:rFonts w:ascii="Arial" w:cs="Arial" w:eastAsia="Arial" w:hAnsi="Arial"/>
                <w:sz w:val="16"/>
                <w:szCs w:val="16"/>
                <w:color w:val="000000"/>
              </w:rPr>
              <w:t>develop the Board’s CEO succession planning and evaluation process and oversee succession planning for</w:t>
            </w:r>
          </w:p>
        </w:tc>
        <w:tc>
          <w:tcPr>
            <w:tcW w:w="0" w:type="dxa"/>
            <w:vAlign w:val="bottom"/>
          </w:tcPr>
          <w:p>
            <w:pPr>
              <w:spacing w:after="0"/>
              <w:rPr>
                <w:sz w:val="1"/>
                <w:szCs w:val="1"/>
                <w:color w:val="auto"/>
              </w:rPr>
            </w:pPr>
          </w:p>
        </w:tc>
      </w:tr>
      <w:tr>
        <w:trPr>
          <w:trHeight w:val="215"/>
        </w:trPr>
        <w:tc>
          <w:tcPr>
            <w:tcW w:w="2120" w:type="dxa"/>
            <w:vAlign w:val="bottom"/>
          </w:tcPr>
          <w:p>
            <w:pPr>
              <w:spacing w:after="0"/>
              <w:rPr>
                <w:sz w:val="18"/>
                <w:szCs w:val="18"/>
                <w:color w:val="auto"/>
              </w:rPr>
            </w:pPr>
          </w:p>
        </w:tc>
        <w:tc>
          <w:tcPr>
            <w:tcW w:w="9120" w:type="dxa"/>
            <w:vAlign w:val="bottom"/>
          </w:tcPr>
          <w:p>
            <w:pPr>
              <w:ind w:left="780"/>
              <w:spacing w:after="0"/>
              <w:rPr>
                <w:sz w:val="20"/>
                <w:szCs w:val="20"/>
                <w:color w:val="auto"/>
              </w:rPr>
            </w:pPr>
            <w:r>
              <w:rPr>
                <w:rFonts w:ascii="Arial" w:cs="Arial" w:eastAsia="Arial" w:hAnsi="Arial"/>
                <w:sz w:val="16"/>
                <w:szCs w:val="16"/>
                <w:color w:val="auto"/>
              </w:rPr>
              <w:t>positions held by senior management;</w:t>
            </w:r>
          </w:p>
        </w:tc>
        <w:tc>
          <w:tcPr>
            <w:tcW w:w="0" w:type="dxa"/>
            <w:vAlign w:val="bottom"/>
          </w:tcPr>
          <w:p>
            <w:pPr>
              <w:spacing w:after="0"/>
              <w:rPr>
                <w:sz w:val="1"/>
                <w:szCs w:val="1"/>
                <w:color w:val="auto"/>
              </w:rPr>
            </w:pPr>
          </w:p>
        </w:tc>
      </w:tr>
      <w:tr>
        <w:trPr>
          <w:trHeight w:val="244"/>
        </w:trPr>
        <w:tc>
          <w:tcPr>
            <w:tcW w:w="2120" w:type="dxa"/>
            <w:vAlign w:val="bottom"/>
          </w:tcPr>
          <w:p>
            <w:pPr>
              <w:spacing w:after="0"/>
              <w:rPr>
                <w:sz w:val="21"/>
                <w:szCs w:val="21"/>
                <w:color w:val="auto"/>
              </w:rPr>
            </w:pPr>
          </w:p>
        </w:tc>
        <w:tc>
          <w:tcPr>
            <w:tcW w:w="9120" w:type="dxa"/>
            <w:vAlign w:val="bottom"/>
          </w:tcPr>
          <w:p>
            <w:pPr>
              <w:ind w:left="600"/>
              <w:spacing w:after="0"/>
              <w:rPr>
                <w:sz w:val="20"/>
                <w:szCs w:val="20"/>
                <w:color w:val="auto"/>
              </w:rPr>
            </w:pPr>
            <w:r>
              <w:rPr>
                <w:rFonts w:ascii="Arial" w:cs="Arial" w:eastAsia="Arial" w:hAnsi="Arial"/>
                <w:sz w:val="16"/>
                <w:szCs w:val="16"/>
                <w:color w:val="004A98"/>
              </w:rPr>
              <w:t xml:space="preserve">• </w:t>
            </w:r>
            <w:r>
              <w:rPr>
                <w:rFonts w:ascii="Arial" w:cs="Arial" w:eastAsia="Arial" w:hAnsi="Arial"/>
                <w:sz w:val="16"/>
                <w:szCs w:val="16"/>
                <w:color w:val="000000"/>
              </w:rPr>
              <w:t>recommend changes to corporate governance principles and committee charters and periodically review and assess</w:t>
            </w:r>
          </w:p>
        </w:tc>
        <w:tc>
          <w:tcPr>
            <w:tcW w:w="0" w:type="dxa"/>
            <w:vAlign w:val="bottom"/>
          </w:tcPr>
          <w:p>
            <w:pPr>
              <w:spacing w:after="0"/>
              <w:rPr>
                <w:sz w:val="1"/>
                <w:szCs w:val="1"/>
                <w:color w:val="auto"/>
              </w:rPr>
            </w:pPr>
          </w:p>
        </w:tc>
      </w:tr>
      <w:tr>
        <w:trPr>
          <w:trHeight w:val="215"/>
        </w:trPr>
        <w:tc>
          <w:tcPr>
            <w:tcW w:w="2120" w:type="dxa"/>
            <w:vAlign w:val="bottom"/>
          </w:tcPr>
          <w:p>
            <w:pPr>
              <w:spacing w:after="0"/>
              <w:rPr>
                <w:sz w:val="18"/>
                <w:szCs w:val="18"/>
                <w:color w:val="auto"/>
              </w:rPr>
            </w:pPr>
          </w:p>
        </w:tc>
        <w:tc>
          <w:tcPr>
            <w:tcW w:w="9120" w:type="dxa"/>
            <w:vAlign w:val="bottom"/>
          </w:tcPr>
          <w:p>
            <w:pPr>
              <w:ind w:left="780"/>
              <w:spacing w:after="0"/>
              <w:rPr>
                <w:sz w:val="20"/>
                <w:szCs w:val="20"/>
                <w:color w:val="auto"/>
              </w:rPr>
            </w:pPr>
            <w:r>
              <w:rPr>
                <w:rFonts w:ascii="Arial" w:cs="Arial" w:eastAsia="Arial" w:hAnsi="Arial"/>
                <w:sz w:val="16"/>
                <w:szCs w:val="16"/>
                <w:color w:val="auto"/>
              </w:rPr>
              <w:t>the adequacy of these documents;</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3"/>
                <w:szCs w:val="23"/>
                <w:color w:val="auto"/>
              </w:rPr>
            </w:pPr>
          </w:p>
        </w:tc>
        <w:tc>
          <w:tcPr>
            <w:tcW w:w="9120" w:type="dxa"/>
            <w:vAlign w:val="bottom"/>
          </w:tcPr>
          <w:p>
            <w:pPr>
              <w:ind w:left="600"/>
              <w:spacing w:after="0"/>
              <w:rPr>
                <w:sz w:val="20"/>
                <w:szCs w:val="20"/>
                <w:color w:val="auto"/>
              </w:rPr>
            </w:pPr>
            <w:r>
              <w:rPr>
                <w:rFonts w:ascii="Arial" w:cs="Arial" w:eastAsia="Arial" w:hAnsi="Arial"/>
                <w:sz w:val="16"/>
                <w:szCs w:val="16"/>
                <w:color w:val="234B96"/>
              </w:rPr>
              <w:t xml:space="preserve">• </w:t>
            </w:r>
            <w:r>
              <w:rPr>
                <w:rFonts w:ascii="Arial" w:cs="Arial" w:eastAsia="Arial" w:hAnsi="Arial"/>
                <w:sz w:val="16"/>
                <w:szCs w:val="16"/>
                <w:color w:val="000000"/>
              </w:rPr>
              <w:t>oversee the Company’s Corporate Stewardship and Responsibility initiatives; and</w:t>
            </w:r>
          </w:p>
        </w:tc>
        <w:tc>
          <w:tcPr>
            <w:tcW w:w="0" w:type="dxa"/>
            <w:vAlign w:val="bottom"/>
          </w:tcPr>
          <w:p>
            <w:pPr>
              <w:spacing w:after="0"/>
              <w:rPr>
                <w:sz w:val="1"/>
                <w:szCs w:val="1"/>
                <w:color w:val="auto"/>
              </w:rPr>
            </w:pPr>
          </w:p>
        </w:tc>
      </w:tr>
      <w:tr>
        <w:trPr>
          <w:trHeight w:val="270"/>
        </w:trPr>
        <w:tc>
          <w:tcPr>
            <w:tcW w:w="2120" w:type="dxa"/>
            <w:vAlign w:val="bottom"/>
          </w:tcPr>
          <w:p>
            <w:pPr>
              <w:spacing w:after="0"/>
              <w:rPr>
                <w:sz w:val="23"/>
                <w:szCs w:val="23"/>
                <w:color w:val="auto"/>
              </w:rPr>
            </w:pPr>
          </w:p>
        </w:tc>
        <w:tc>
          <w:tcPr>
            <w:tcW w:w="9120" w:type="dxa"/>
            <w:vAlign w:val="bottom"/>
          </w:tcPr>
          <w:p>
            <w:pPr>
              <w:ind w:left="600"/>
              <w:spacing w:after="0"/>
              <w:rPr>
                <w:sz w:val="20"/>
                <w:szCs w:val="20"/>
                <w:color w:val="auto"/>
              </w:rPr>
            </w:pPr>
            <w:r>
              <w:rPr>
                <w:rFonts w:ascii="Arial" w:cs="Arial" w:eastAsia="Arial" w:hAnsi="Arial"/>
                <w:sz w:val="16"/>
                <w:szCs w:val="16"/>
                <w:color w:val="234B96"/>
              </w:rPr>
              <w:t xml:space="preserve">• </w:t>
            </w:r>
            <w:r>
              <w:rPr>
                <w:rFonts w:ascii="Arial" w:cs="Arial" w:eastAsia="Arial" w:hAnsi="Arial"/>
                <w:sz w:val="16"/>
                <w:szCs w:val="16"/>
                <w:color w:val="000000"/>
              </w:rPr>
              <w:t>review annually the performance of the Board.</w:t>
            </w:r>
          </w:p>
        </w:tc>
        <w:tc>
          <w:tcPr>
            <w:tcW w:w="0" w:type="dxa"/>
            <w:vAlign w:val="bottom"/>
          </w:tcPr>
          <w:p>
            <w:pPr>
              <w:spacing w:after="0"/>
              <w:rPr>
                <w:sz w:val="1"/>
                <w:szCs w:val="1"/>
                <w:color w:val="auto"/>
              </w:rPr>
            </w:pPr>
          </w:p>
        </w:tc>
      </w:tr>
    </w:tbl>
    <w:p>
      <w:pPr>
        <w:spacing w:after="0" w:line="82" w:lineRule="exact"/>
        <w:rPr>
          <w:sz w:val="20"/>
          <w:szCs w:val="20"/>
          <w:color w:val="auto"/>
        </w:rPr>
      </w:pPr>
    </w:p>
    <w:p>
      <w:pPr>
        <w:ind w:left="2720"/>
        <w:spacing w:after="0"/>
        <w:rPr>
          <w:sz w:val="20"/>
          <w:szCs w:val="20"/>
          <w:color w:val="auto"/>
        </w:rPr>
      </w:pPr>
      <w:r>
        <w:rPr>
          <w:rFonts w:ascii="Arial" w:cs="Arial" w:eastAsia="Arial" w:hAnsi="Arial"/>
          <w:sz w:val="16"/>
          <w:szCs w:val="16"/>
          <w:b w:val="1"/>
          <w:bCs w:val="1"/>
          <w:color w:val="004A98"/>
        </w:rPr>
        <w:t>Independence</w:t>
      </w:r>
    </w:p>
    <w:p>
      <w:pPr>
        <w:spacing w:after="0" w:line="59" w:lineRule="exact"/>
        <w:rPr>
          <w:sz w:val="20"/>
          <w:szCs w:val="20"/>
          <w:color w:val="auto"/>
        </w:rPr>
      </w:pPr>
    </w:p>
    <w:p>
      <w:pPr>
        <w:ind w:left="2720" w:right="660"/>
        <w:spacing w:after="0" w:line="304" w:lineRule="auto"/>
        <w:rPr>
          <w:sz w:val="20"/>
          <w:szCs w:val="20"/>
          <w:color w:val="auto"/>
        </w:rPr>
      </w:pPr>
      <w:r>
        <w:rPr>
          <w:rFonts w:ascii="Arial" w:cs="Arial" w:eastAsia="Arial" w:hAnsi="Arial"/>
          <w:sz w:val="16"/>
          <w:szCs w:val="16"/>
          <w:color w:val="auto"/>
        </w:rPr>
        <w:t>Each Corporate Governance and Nominating Committee member has been determined by the Board to be an “independent director” under the rules of The Nasdaq Stock Market.</w:t>
      </w:r>
    </w:p>
    <w:p>
      <w:pPr>
        <w:spacing w:after="0" w:line="33" w:lineRule="exact"/>
        <w:rPr>
          <w:sz w:val="20"/>
          <w:szCs w:val="20"/>
          <w:color w:val="auto"/>
        </w:rPr>
      </w:pPr>
    </w:p>
    <w:p>
      <w:pPr>
        <w:ind w:left="2720"/>
        <w:spacing w:after="0"/>
        <w:rPr>
          <w:sz w:val="20"/>
          <w:szCs w:val="20"/>
          <w:color w:val="auto"/>
        </w:rPr>
      </w:pPr>
      <w:r>
        <w:rPr>
          <w:rFonts w:ascii="Arial" w:cs="Arial" w:eastAsia="Arial" w:hAnsi="Arial"/>
          <w:sz w:val="16"/>
          <w:szCs w:val="16"/>
          <w:b w:val="1"/>
          <w:bCs w:val="1"/>
          <w:color w:val="004A98"/>
        </w:rPr>
        <w:t>Charter</w:t>
      </w:r>
    </w:p>
    <w:p>
      <w:pPr>
        <w:spacing w:after="0" w:line="59" w:lineRule="exact"/>
        <w:rPr>
          <w:sz w:val="20"/>
          <w:szCs w:val="20"/>
          <w:color w:val="auto"/>
        </w:rPr>
      </w:pPr>
    </w:p>
    <w:p>
      <w:pPr>
        <w:ind w:left="2720" w:right="680"/>
        <w:spacing w:after="0" w:line="275" w:lineRule="auto"/>
        <w:rPr>
          <w:sz w:val="20"/>
          <w:szCs w:val="20"/>
          <w:color w:val="auto"/>
        </w:rPr>
      </w:pPr>
      <w:r>
        <w:rPr>
          <w:rFonts w:ascii="Arial" w:cs="Arial" w:eastAsia="Arial" w:hAnsi="Arial"/>
          <w:sz w:val="16"/>
          <w:szCs w:val="16"/>
          <w:color w:val="auto"/>
        </w:rPr>
        <w:t>The Corporate Governance and Nominating Committee operates pursuant to a written charter. The Corporate Governance and Nominating Committee’s charter is available on our Investor Relations website at https://investor.verisign.com/corporate-governance.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104775</wp:posOffset>
            </wp:positionV>
            <wp:extent cx="71323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18</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ind w:left="9600"/>
        <w:spacing w:after="0"/>
        <w:rPr>
          <w:sz w:val="20"/>
          <w:szCs w:val="20"/>
          <w:color w:val="auto"/>
        </w:rPr>
      </w:pPr>
      <w:r>
        <w:rPr>
          <w:rFonts w:ascii="Arial" w:cs="Arial" w:eastAsia="Arial" w:hAnsi="Arial"/>
          <w:sz w:val="16"/>
          <w:szCs w:val="16"/>
          <w:color w:val="004A98"/>
        </w:rPr>
        <w:t>Corporate Governance</w:t>
      </w:r>
    </w:p>
    <w:p>
      <w:pPr>
        <w:spacing w:after="0" w:line="24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CYBERSECURITY COMMITTEE</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2120" w:type="dxa"/>
            <w:vAlign w:val="bottom"/>
            <w:tcBorders>
              <w:top w:val="single" w:sz="8" w:color="auto"/>
            </w:tcBorders>
          </w:tcPr>
          <w:p>
            <w:pPr>
              <w:ind w:left="20"/>
              <w:spacing w:after="0"/>
              <w:rPr>
                <w:sz w:val="20"/>
                <w:szCs w:val="20"/>
                <w:color w:val="auto"/>
              </w:rPr>
            </w:pPr>
            <w:r>
              <w:rPr>
                <w:rFonts w:ascii="Arial" w:cs="Arial" w:eastAsia="Arial" w:hAnsi="Arial"/>
                <w:sz w:val="16"/>
                <w:szCs w:val="16"/>
                <w:b w:val="1"/>
                <w:bCs w:val="1"/>
                <w:color w:val="004A98"/>
              </w:rPr>
              <w:t>Members</w:t>
            </w:r>
          </w:p>
        </w:tc>
        <w:tc>
          <w:tcPr>
            <w:tcW w:w="9120" w:type="dxa"/>
            <w:vAlign w:val="bottom"/>
            <w:tcBorders>
              <w:top w:val="single" w:sz="8" w:color="auto"/>
            </w:tcBorders>
          </w:tcPr>
          <w:p>
            <w:pPr>
              <w:ind w:left="600"/>
              <w:spacing w:after="0"/>
              <w:rPr>
                <w:sz w:val="20"/>
                <w:szCs w:val="20"/>
                <w:color w:val="auto"/>
              </w:rPr>
            </w:pPr>
            <w:r>
              <w:rPr>
                <w:rFonts w:ascii="Arial" w:cs="Arial" w:eastAsia="Arial" w:hAnsi="Arial"/>
                <w:sz w:val="16"/>
                <w:szCs w:val="16"/>
                <w:b w:val="1"/>
                <w:bCs w:val="1"/>
                <w:color w:val="004A98"/>
              </w:rPr>
              <w:t>Principal Responsibilities</w:t>
            </w:r>
          </w:p>
        </w:tc>
        <w:tc>
          <w:tcPr>
            <w:tcW w:w="0" w:type="dxa"/>
            <w:vAlign w:val="bottom"/>
          </w:tcPr>
          <w:p>
            <w:pPr>
              <w:spacing w:after="0"/>
              <w:rPr>
                <w:sz w:val="1"/>
                <w:szCs w:val="1"/>
                <w:color w:val="auto"/>
              </w:rPr>
            </w:pPr>
          </w:p>
        </w:tc>
      </w:tr>
      <w:tr>
        <w:trPr>
          <w:trHeight w:val="195"/>
        </w:trPr>
        <w:tc>
          <w:tcPr>
            <w:tcW w:w="2120" w:type="dxa"/>
            <w:vAlign w:val="bottom"/>
          </w:tcPr>
          <w:p>
            <w:pPr>
              <w:ind w:left="20"/>
              <w:spacing w:after="0"/>
              <w:rPr>
                <w:sz w:val="20"/>
                <w:szCs w:val="20"/>
                <w:color w:val="auto"/>
              </w:rPr>
            </w:pPr>
            <w:r>
              <w:rPr>
                <w:rFonts w:ascii="Arial" w:cs="Arial" w:eastAsia="Arial" w:hAnsi="Arial"/>
                <w:sz w:val="16"/>
                <w:szCs w:val="16"/>
                <w:color w:val="auto"/>
              </w:rPr>
              <w:t>Yehuda Ari Buchalter</w:t>
            </w:r>
          </w:p>
        </w:tc>
        <w:tc>
          <w:tcPr>
            <w:tcW w:w="9120" w:type="dxa"/>
            <w:vAlign w:val="bottom"/>
            <w:vMerge w:val="restart"/>
          </w:tcPr>
          <w:p>
            <w:pPr>
              <w:ind w:left="600"/>
              <w:spacing w:after="0"/>
              <w:rPr>
                <w:sz w:val="20"/>
                <w:szCs w:val="20"/>
                <w:color w:val="auto"/>
              </w:rPr>
            </w:pPr>
            <w:r>
              <w:rPr>
                <w:rFonts w:ascii="Arial" w:cs="Arial" w:eastAsia="Arial" w:hAnsi="Arial"/>
                <w:sz w:val="16"/>
                <w:szCs w:val="16"/>
                <w:color w:val="auto"/>
              </w:rPr>
              <w:t>The Board has established a Cybersecurity Committee to:</w:t>
            </w:r>
          </w:p>
        </w:tc>
        <w:tc>
          <w:tcPr>
            <w:tcW w:w="0" w:type="dxa"/>
            <w:vAlign w:val="bottom"/>
          </w:tcPr>
          <w:p>
            <w:pPr>
              <w:spacing w:after="0"/>
              <w:rPr>
                <w:sz w:val="1"/>
                <w:szCs w:val="1"/>
                <w:color w:val="auto"/>
              </w:rPr>
            </w:pPr>
          </w:p>
        </w:tc>
      </w:tr>
      <w:tr>
        <w:trPr>
          <w:trHeight w:val="134"/>
        </w:trPr>
        <w:tc>
          <w:tcPr>
            <w:tcW w:w="2120" w:type="dxa"/>
            <w:vAlign w:val="bottom"/>
            <w:vMerge w:val="restart"/>
          </w:tcPr>
          <w:p>
            <w:pPr>
              <w:ind w:left="220"/>
              <w:spacing w:after="0"/>
              <w:rPr>
                <w:sz w:val="20"/>
                <w:szCs w:val="20"/>
                <w:color w:val="auto"/>
              </w:rPr>
            </w:pPr>
            <w:r>
              <w:rPr>
                <w:rFonts w:ascii="Arial" w:cs="Arial" w:eastAsia="Arial" w:hAnsi="Arial"/>
                <w:sz w:val="16"/>
                <w:szCs w:val="16"/>
                <w:color w:val="auto"/>
              </w:rPr>
              <w:t>(Chairperson)</w:t>
            </w:r>
          </w:p>
        </w:tc>
        <w:tc>
          <w:tcPr>
            <w:tcW w:w="9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120" w:type="dxa"/>
            <w:vAlign w:val="bottom"/>
            <w:vMerge w:val="continue"/>
          </w:tcPr>
          <w:p>
            <w:pPr>
              <w:spacing w:after="0"/>
              <w:rPr>
                <w:sz w:val="6"/>
                <w:szCs w:val="6"/>
                <w:color w:val="auto"/>
              </w:rPr>
            </w:pPr>
          </w:p>
        </w:tc>
        <w:tc>
          <w:tcPr>
            <w:tcW w:w="912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ind w:left="20"/>
        <w:spacing w:after="0"/>
        <w:rPr>
          <w:sz w:val="20"/>
          <w:szCs w:val="20"/>
          <w:color w:val="auto"/>
        </w:rPr>
      </w:pPr>
      <w:r>
        <w:rPr>
          <w:rFonts w:ascii="Arial" w:cs="Arial" w:eastAsia="Arial" w:hAnsi="Arial"/>
          <w:sz w:val="16"/>
          <w:szCs w:val="16"/>
          <w:color w:val="auto"/>
        </w:rPr>
        <w:t>D. James Bidzos</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6"/>
          <w:szCs w:val="16"/>
          <w:color w:val="auto"/>
        </w:rPr>
        <w:t>Roger H. Moore</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6"/>
          <w:szCs w:val="16"/>
          <w:color w:val="auto"/>
        </w:rPr>
        <w:t>Timothy Tomlinson</w:t>
      </w:r>
    </w:p>
    <w:p>
      <w:pPr>
        <w:spacing w:after="0" w:line="101"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 xml:space="preserve">Meetings in 2024: </w:t>
      </w:r>
      <w:r>
        <w:rPr>
          <w:rFonts w:ascii="Arial" w:cs="Arial" w:eastAsia="Arial" w:hAnsi="Arial"/>
          <w:sz w:val="16"/>
          <w:szCs w:val="16"/>
          <w:b w:val="1"/>
          <w:bCs w:val="1"/>
          <w:color w:val="000000"/>
        </w:rPr>
        <w:t>4</w:t>
      </w:r>
    </w:p>
    <w:p>
      <w:pPr>
        <w:spacing w:after="0" w:line="20" w:lineRule="exact"/>
        <w:rPr>
          <w:sz w:val="20"/>
          <w:szCs w:val="20"/>
          <w:color w:val="auto"/>
        </w:rPr>
      </w:pPr>
      <w:r>
        <w:rPr>
          <w:sz w:val="20"/>
          <w:szCs w:val="20"/>
          <w:color w:val="auto"/>
        </w:rPr>
        <w:br w:type="column"/>
      </w:r>
    </w:p>
    <w:p>
      <w:pPr>
        <w:ind w:left="168" w:hanging="168"/>
        <w:spacing w:after="0"/>
        <w:tabs>
          <w:tab w:leader="none" w:pos="168" w:val="left"/>
        </w:tabs>
        <w:numPr>
          <w:ilvl w:val="0"/>
          <w:numId w:val="20"/>
        </w:numPr>
        <w:rPr>
          <w:rFonts w:ascii="Arial" w:cs="Arial" w:eastAsia="Arial" w:hAnsi="Arial"/>
          <w:sz w:val="16"/>
          <w:szCs w:val="16"/>
          <w:color w:val="004A98"/>
        </w:rPr>
      </w:pPr>
      <w:r>
        <w:rPr>
          <w:rFonts w:ascii="Arial" w:cs="Arial" w:eastAsia="Arial" w:hAnsi="Arial"/>
          <w:sz w:val="16"/>
          <w:szCs w:val="16"/>
          <w:color w:val="auto"/>
        </w:rPr>
        <w:t>assist the Board with its oversight of the Company’s cybersecurity program and risks</w:t>
      </w:r>
    </w:p>
    <w:p>
      <w:pPr>
        <w:spacing w:after="0" w:line="56" w:lineRule="exact"/>
        <w:rPr>
          <w:rFonts w:ascii="Arial" w:cs="Arial" w:eastAsia="Arial" w:hAnsi="Arial"/>
          <w:sz w:val="16"/>
          <w:szCs w:val="16"/>
          <w:color w:val="004A98"/>
        </w:rPr>
      </w:pPr>
    </w:p>
    <w:p>
      <w:pPr>
        <w:ind w:left="168" w:hanging="168"/>
        <w:spacing w:after="0"/>
        <w:tabs>
          <w:tab w:leader="none" w:pos="168" w:val="left"/>
        </w:tabs>
        <w:numPr>
          <w:ilvl w:val="0"/>
          <w:numId w:val="20"/>
        </w:numPr>
        <w:rPr>
          <w:rFonts w:ascii="Arial" w:cs="Arial" w:eastAsia="Arial" w:hAnsi="Arial"/>
          <w:sz w:val="16"/>
          <w:szCs w:val="16"/>
          <w:color w:val="004A98"/>
        </w:rPr>
      </w:pPr>
      <w:r>
        <w:rPr>
          <w:rFonts w:ascii="Arial" w:cs="Arial" w:eastAsia="Arial" w:hAnsi="Arial"/>
          <w:sz w:val="16"/>
          <w:szCs w:val="16"/>
          <w:color w:val="auto"/>
        </w:rPr>
        <w:t>oversee the effectiveness of the cybersecurity program;</w:t>
      </w:r>
    </w:p>
    <w:p>
      <w:pPr>
        <w:spacing w:after="0" w:line="86" w:lineRule="exact"/>
        <w:rPr>
          <w:rFonts w:ascii="Arial" w:cs="Arial" w:eastAsia="Arial" w:hAnsi="Arial"/>
          <w:sz w:val="16"/>
          <w:szCs w:val="16"/>
          <w:color w:val="004A98"/>
        </w:rPr>
      </w:pPr>
    </w:p>
    <w:p>
      <w:pPr>
        <w:ind w:left="188" w:right="480" w:hanging="188"/>
        <w:spacing w:after="0" w:line="299" w:lineRule="auto"/>
        <w:tabs>
          <w:tab w:leader="none" w:pos="158" w:val="left"/>
        </w:tabs>
        <w:numPr>
          <w:ilvl w:val="0"/>
          <w:numId w:val="20"/>
        </w:numPr>
        <w:rPr>
          <w:rFonts w:ascii="Arial" w:cs="Arial" w:eastAsia="Arial" w:hAnsi="Arial"/>
          <w:sz w:val="16"/>
          <w:szCs w:val="16"/>
          <w:color w:val="004A98"/>
        </w:rPr>
      </w:pPr>
      <w:r>
        <w:rPr>
          <w:rFonts w:ascii="Arial" w:cs="Arial" w:eastAsia="Arial" w:hAnsi="Arial"/>
          <w:sz w:val="16"/>
          <w:szCs w:val="16"/>
          <w:color w:val="auto"/>
        </w:rPr>
        <w:t>review the Company’s adoption and implementation of systems, controls and procedures designed to prevent, detect and respond to cyber-attacks or security breaches involving the Company;</w:t>
      </w:r>
    </w:p>
    <w:p>
      <w:pPr>
        <w:ind w:left="168" w:hanging="168"/>
        <w:spacing w:after="0"/>
        <w:tabs>
          <w:tab w:leader="none" w:pos="168" w:val="left"/>
        </w:tabs>
        <w:numPr>
          <w:ilvl w:val="0"/>
          <w:numId w:val="20"/>
        </w:numPr>
        <w:rPr>
          <w:rFonts w:ascii="Arial" w:cs="Arial" w:eastAsia="Arial" w:hAnsi="Arial"/>
          <w:sz w:val="16"/>
          <w:szCs w:val="16"/>
          <w:color w:val="004A98"/>
        </w:rPr>
      </w:pPr>
      <w:r>
        <w:rPr>
          <w:rFonts w:ascii="Arial" w:cs="Arial" w:eastAsia="Arial" w:hAnsi="Arial"/>
          <w:sz w:val="16"/>
          <w:szCs w:val="16"/>
          <w:color w:val="auto"/>
        </w:rPr>
        <w:t>review the activities of management’s Safety and Security Council;</w:t>
      </w:r>
    </w:p>
    <w:p>
      <w:pPr>
        <w:spacing w:after="0" w:line="86" w:lineRule="exact"/>
        <w:rPr>
          <w:rFonts w:ascii="Arial" w:cs="Arial" w:eastAsia="Arial" w:hAnsi="Arial"/>
          <w:sz w:val="16"/>
          <w:szCs w:val="16"/>
          <w:color w:val="004A98"/>
        </w:rPr>
      </w:pPr>
    </w:p>
    <w:p>
      <w:pPr>
        <w:ind w:left="188" w:right="120" w:hanging="188"/>
        <w:spacing w:after="0" w:line="286" w:lineRule="auto"/>
        <w:tabs>
          <w:tab w:leader="none" w:pos="158" w:val="left"/>
        </w:tabs>
        <w:numPr>
          <w:ilvl w:val="0"/>
          <w:numId w:val="20"/>
        </w:numPr>
        <w:rPr>
          <w:rFonts w:ascii="Arial" w:cs="Arial" w:eastAsia="Arial" w:hAnsi="Arial"/>
          <w:sz w:val="16"/>
          <w:szCs w:val="16"/>
          <w:color w:val="004A98"/>
        </w:rPr>
      </w:pPr>
      <w:r>
        <w:rPr>
          <w:rFonts w:ascii="Arial" w:cs="Arial" w:eastAsia="Arial" w:hAnsi="Arial"/>
          <w:sz w:val="16"/>
          <w:szCs w:val="16"/>
          <w:color w:val="auto"/>
        </w:rPr>
        <w:t>review the effectiveness of information security incident response, business continuity, and disaster recovery plans, including escalation protocols;</w:t>
      </w:r>
    </w:p>
    <w:p>
      <w:pPr>
        <w:spacing w:after="0" w:line="20" w:lineRule="exact"/>
        <w:rPr>
          <w:rFonts w:ascii="Arial" w:cs="Arial" w:eastAsia="Arial" w:hAnsi="Arial"/>
          <w:sz w:val="16"/>
          <w:szCs w:val="16"/>
          <w:color w:val="004A98"/>
        </w:rPr>
      </w:pPr>
    </w:p>
    <w:p>
      <w:pPr>
        <w:ind w:left="188" w:right="600" w:hanging="188"/>
        <w:spacing w:after="0" w:line="263" w:lineRule="auto"/>
        <w:tabs>
          <w:tab w:leader="none" w:pos="158" w:val="left"/>
        </w:tabs>
        <w:numPr>
          <w:ilvl w:val="0"/>
          <w:numId w:val="20"/>
        </w:numPr>
        <w:rPr>
          <w:rFonts w:ascii="Arial" w:cs="Arial" w:eastAsia="Arial" w:hAnsi="Arial"/>
          <w:sz w:val="16"/>
          <w:szCs w:val="16"/>
          <w:color w:val="004A98"/>
        </w:rPr>
      </w:pPr>
      <w:r>
        <w:rPr>
          <w:rFonts w:ascii="Arial" w:cs="Arial" w:eastAsia="Arial" w:hAnsi="Arial"/>
          <w:sz w:val="16"/>
          <w:szCs w:val="16"/>
          <w:color w:val="auto"/>
        </w:rPr>
        <w:t>review the Company’s compliance with applicable global data protection and security regulations and the Company’s adoption and implementation of systems, controls and procedures designed to comply with such</w:t>
      </w:r>
    </w:p>
    <w:p>
      <w:pPr>
        <w:spacing w:after="0" w:line="1" w:lineRule="exact"/>
        <w:rPr>
          <w:sz w:val="20"/>
          <w:szCs w:val="20"/>
          <w:color w:val="auto"/>
        </w:rPr>
      </w:pPr>
    </w:p>
    <w:p>
      <w:pPr>
        <w:sectPr>
          <w:pgSz w:w="11900" w:h="16838" w:orient="portrait"/>
          <w:cols w:equalWidth="0" w:num="2">
            <w:col w:w="1992" w:space="720"/>
            <w:col w:w="8528"/>
          </w:cols>
          <w:pgMar w:left="320" w:top="121" w:right="339" w:bottom="1440" w:gutter="0" w:footer="0" w:header="0"/>
          <w:type w:val="continuous"/>
        </w:sectPr>
      </w:pPr>
    </w:p>
    <w:p>
      <w:pPr>
        <w:ind w:left="2900"/>
        <w:spacing w:after="0"/>
        <w:rPr>
          <w:sz w:val="20"/>
          <w:szCs w:val="20"/>
          <w:color w:val="auto"/>
        </w:rPr>
      </w:pPr>
      <w:r>
        <w:rPr>
          <w:rFonts w:ascii="Arial" w:cs="Arial" w:eastAsia="Arial" w:hAnsi="Arial"/>
          <w:sz w:val="16"/>
          <w:szCs w:val="16"/>
          <w:color w:val="auto"/>
        </w:rPr>
        <w:t>regulations;</w:t>
      </w:r>
    </w:p>
    <w:p>
      <w:pPr>
        <w:spacing w:after="0" w:line="74" w:lineRule="exact"/>
        <w:rPr>
          <w:sz w:val="20"/>
          <w:szCs w:val="20"/>
          <w:color w:val="auto"/>
        </w:rPr>
      </w:pPr>
    </w:p>
    <w:p>
      <w:pPr>
        <w:ind w:left="2880" w:hanging="168"/>
        <w:spacing w:after="0"/>
        <w:tabs>
          <w:tab w:leader="none" w:pos="2880" w:val="left"/>
        </w:tabs>
        <w:numPr>
          <w:ilvl w:val="0"/>
          <w:numId w:val="21"/>
        </w:numPr>
        <w:rPr>
          <w:rFonts w:ascii="Arial" w:cs="Arial" w:eastAsia="Arial" w:hAnsi="Arial"/>
          <w:sz w:val="16"/>
          <w:szCs w:val="16"/>
          <w:color w:val="004A98"/>
        </w:rPr>
      </w:pPr>
      <w:r>
        <w:rPr>
          <w:rFonts w:ascii="Arial" w:cs="Arial" w:eastAsia="Arial" w:hAnsi="Arial"/>
          <w:sz w:val="16"/>
          <w:szCs w:val="16"/>
          <w:color w:val="auto"/>
        </w:rPr>
        <w:t>review the budget and resources allocated for the cybersecurity program; and</w:t>
      </w:r>
    </w:p>
    <w:p>
      <w:pPr>
        <w:spacing w:after="0" w:line="72" w:lineRule="exact"/>
        <w:rPr>
          <w:rFonts w:ascii="Arial" w:cs="Arial" w:eastAsia="Arial" w:hAnsi="Arial"/>
          <w:sz w:val="16"/>
          <w:szCs w:val="16"/>
          <w:color w:val="004A98"/>
        </w:rPr>
      </w:pPr>
    </w:p>
    <w:p>
      <w:pPr>
        <w:ind w:left="2880" w:hanging="168"/>
        <w:spacing w:after="0"/>
        <w:tabs>
          <w:tab w:leader="none" w:pos="2880" w:val="left"/>
        </w:tabs>
        <w:numPr>
          <w:ilvl w:val="0"/>
          <w:numId w:val="21"/>
        </w:numPr>
        <w:rPr>
          <w:rFonts w:ascii="Arial" w:cs="Arial" w:eastAsia="Arial" w:hAnsi="Arial"/>
          <w:sz w:val="16"/>
          <w:szCs w:val="16"/>
          <w:color w:val="004A98"/>
        </w:rPr>
      </w:pPr>
      <w:r>
        <w:rPr>
          <w:rFonts w:ascii="Arial" w:cs="Arial" w:eastAsia="Arial" w:hAnsi="Arial"/>
          <w:sz w:val="16"/>
          <w:szCs w:val="16"/>
          <w:color w:val="auto"/>
        </w:rPr>
        <w:t>review the cybersecurity insurance program.</w:t>
      </w:r>
    </w:p>
    <w:p>
      <w:pPr>
        <w:spacing w:after="0" w:line="127" w:lineRule="exact"/>
        <w:rPr>
          <w:sz w:val="20"/>
          <w:szCs w:val="20"/>
          <w:color w:val="auto"/>
        </w:rPr>
      </w:pPr>
    </w:p>
    <w:p>
      <w:pPr>
        <w:ind w:left="2720"/>
        <w:spacing w:after="0"/>
        <w:rPr>
          <w:sz w:val="20"/>
          <w:szCs w:val="20"/>
          <w:color w:val="auto"/>
        </w:rPr>
      </w:pPr>
      <w:r>
        <w:rPr>
          <w:rFonts w:ascii="Arial" w:cs="Arial" w:eastAsia="Arial" w:hAnsi="Arial"/>
          <w:sz w:val="16"/>
          <w:szCs w:val="16"/>
          <w:b w:val="1"/>
          <w:bCs w:val="1"/>
          <w:color w:val="004A98"/>
        </w:rPr>
        <w:t>Independence</w:t>
      </w:r>
    </w:p>
    <w:p>
      <w:pPr>
        <w:spacing w:after="0" w:line="59" w:lineRule="exact"/>
        <w:rPr>
          <w:sz w:val="20"/>
          <w:szCs w:val="20"/>
          <w:color w:val="auto"/>
        </w:rPr>
      </w:pPr>
    </w:p>
    <w:p>
      <w:pPr>
        <w:ind w:left="2720" w:right="460"/>
        <w:spacing w:after="0" w:line="286" w:lineRule="auto"/>
        <w:rPr>
          <w:sz w:val="20"/>
          <w:szCs w:val="20"/>
          <w:color w:val="auto"/>
        </w:rPr>
      </w:pPr>
      <w:r>
        <w:rPr>
          <w:rFonts w:ascii="Arial" w:cs="Arial" w:eastAsia="Arial" w:hAnsi="Arial"/>
          <w:sz w:val="16"/>
          <w:szCs w:val="16"/>
          <w:color w:val="auto"/>
        </w:rPr>
        <w:t>Each member of the Cybersecurity Committee other than Mr. Bidzos has been determined by the Board to be an “independent director” under the rules of The Nasdaq Stock Market.</w:t>
      </w:r>
    </w:p>
    <w:p>
      <w:pPr>
        <w:spacing w:after="0" w:line="61" w:lineRule="exact"/>
        <w:rPr>
          <w:sz w:val="20"/>
          <w:szCs w:val="20"/>
          <w:color w:val="auto"/>
        </w:rPr>
      </w:pPr>
    </w:p>
    <w:p>
      <w:pPr>
        <w:ind w:left="2720"/>
        <w:spacing w:after="0"/>
        <w:rPr>
          <w:sz w:val="20"/>
          <w:szCs w:val="20"/>
          <w:color w:val="auto"/>
        </w:rPr>
      </w:pPr>
      <w:r>
        <w:rPr>
          <w:rFonts w:ascii="Arial" w:cs="Arial" w:eastAsia="Arial" w:hAnsi="Arial"/>
          <w:sz w:val="16"/>
          <w:szCs w:val="16"/>
          <w:b w:val="1"/>
          <w:bCs w:val="1"/>
          <w:color w:val="004A98"/>
        </w:rPr>
        <w:t>Charter</w:t>
      </w:r>
    </w:p>
    <w:p>
      <w:pPr>
        <w:spacing w:after="0" w:line="59" w:lineRule="exact"/>
        <w:rPr>
          <w:sz w:val="20"/>
          <w:szCs w:val="20"/>
          <w:color w:val="auto"/>
        </w:rPr>
      </w:pPr>
    </w:p>
    <w:p>
      <w:pPr>
        <w:ind w:left="2720" w:right="600"/>
        <w:spacing w:after="0" w:line="304" w:lineRule="auto"/>
        <w:rPr>
          <w:sz w:val="20"/>
          <w:szCs w:val="20"/>
          <w:color w:val="auto"/>
        </w:rPr>
      </w:pPr>
      <w:r>
        <w:rPr>
          <w:rFonts w:ascii="Arial" w:cs="Arial" w:eastAsia="Arial" w:hAnsi="Arial"/>
          <w:sz w:val="16"/>
          <w:szCs w:val="16"/>
          <w:color w:val="auto"/>
        </w:rPr>
        <w:t>The Cybersecurity Committee operates pursuant to a written charter. The Cybersecurity Committee’s charter is available on our Investor Relations website at https://investor.verisign.com/corporate-governance.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81915</wp:posOffset>
            </wp:positionV>
            <wp:extent cx="713232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0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Nominations and Succession Planning</w:t>
      </w:r>
    </w:p>
    <w:p>
      <w:pPr>
        <w:spacing w:after="0" w:line="128" w:lineRule="exact"/>
        <w:rPr>
          <w:sz w:val="20"/>
          <w:szCs w:val="20"/>
          <w:color w:val="auto"/>
        </w:rPr>
      </w:pPr>
    </w:p>
    <w:p>
      <w:pPr>
        <w:ind w:right="120"/>
        <w:spacing w:after="0" w:line="259" w:lineRule="auto"/>
        <w:rPr>
          <w:sz w:val="20"/>
          <w:szCs w:val="20"/>
          <w:color w:val="auto"/>
        </w:rPr>
      </w:pPr>
      <w:r>
        <w:rPr>
          <w:rFonts w:ascii="Arial" w:cs="Arial" w:eastAsia="Arial" w:hAnsi="Arial"/>
          <w:sz w:val="16"/>
          <w:szCs w:val="16"/>
          <w:color w:val="auto"/>
        </w:rPr>
        <w:t>In recommending candidates for election to the Board, the Corporate Governance and Nominating Committee considers the performance and qualifications of each potential nominee or candidate, not only for his or her individual strengths but also for his or her potential contribution to the Board as a group. In carrying out this responsibility, the Corporate Governance and Nominating Committee also considers additional factors, such as business experience, including international experience, personal and professional ethics, integrity and values, and expertise within industries and markets tangential or complementary to the Company’s industry. Additionally, pursuant to the Corporate Governance Principles and its charter, the Corporate Governance and Nominating Committee evaluates and reviews with the Board the criteria for selecting new directors, including skills, background, perspective and other characteristics in the context of the current composition and needs of the Board and its committees.</w:t>
      </w:r>
    </w:p>
    <w:p>
      <w:pPr>
        <w:spacing w:after="0" w:line="82"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The Corporate Governance and Nominating Committee considers candidates for director nominees proposed by directors and stockholders. The Corporate Governance and Nominating Committee may also from time to time retain one or more third-party search firms to identify suitable candidates.</w:t>
      </w:r>
    </w:p>
    <w:p>
      <w:pPr>
        <w:spacing w:after="0" w:line="61"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If you would like to recommend to the Corporate Governance and Nominating Committee a prospective candidate, please submit the candidate’s name and qualifications to: Thomas C. Indelicarto, Secretary, VeriSign, Inc., 12061 Bluemont Way, Reston, Virginia 20190.</w:t>
      </w:r>
    </w:p>
    <w:p>
      <w:pPr>
        <w:spacing w:after="0" w:line="48" w:lineRule="exact"/>
        <w:rPr>
          <w:sz w:val="20"/>
          <w:szCs w:val="20"/>
          <w:color w:val="auto"/>
        </w:rPr>
      </w:pPr>
    </w:p>
    <w:p>
      <w:pPr>
        <w:ind w:right="300"/>
        <w:spacing w:after="0" w:line="275" w:lineRule="auto"/>
        <w:rPr>
          <w:sz w:val="20"/>
          <w:szCs w:val="20"/>
          <w:color w:val="auto"/>
        </w:rPr>
      </w:pPr>
      <w:r>
        <w:rPr>
          <w:rFonts w:ascii="Arial" w:cs="Arial" w:eastAsia="Arial" w:hAnsi="Arial"/>
          <w:sz w:val="16"/>
          <w:szCs w:val="16"/>
          <w:color w:val="auto"/>
        </w:rPr>
        <w:t>The Corporate Governance and Nominating Committee will consider all candidates identified by the directors, the chief executive officer, stockholders, or third-party search firms through the processes described above, and will evaluate each of them, including incumbents and candidates nominated by stockholders, based on the same criteria.</w:t>
      </w:r>
    </w:p>
    <w:p>
      <w:pPr>
        <w:spacing w:after="0" w:line="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Board Evaluation Process</w:t>
      </w:r>
    </w:p>
    <w:p>
      <w:pPr>
        <w:spacing w:after="0" w:line="128"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The Corporate Governance and Nominating Committee oversees the annual performance review of the Board and its committees. Each year, the Corporate Governance and Nominating Committee determines the format for the annual performance reviews, and the Chairperson of each Board committee is responsible for leading that committee’s performance review and the Lead Independent Director is responsible for leading the Board’s performance review. The results of the reviews are reported to the Chairperson of the Corporate Governance and Nominating Committee, who in turn reports the results of the reviews to the entire Board. In addition to these reviews, the Lead Independent Director solicits comments and feedback from each director on the operation of the Board and the committees and areas for improvement.</w:t>
      </w:r>
    </w:p>
    <w:p>
      <w:pPr>
        <w:spacing w:after="0" w:line="303"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Corporate Governance</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Board Responsibilities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Board and Committee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40575" cy="111442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0575" cy="1114425"/>
                    </a:xfrm>
                    <a:prstGeom prst="rect">
                      <a:avLst/>
                    </a:prstGeom>
                    <a:noFill/>
                  </pic:spPr>
                </pic:pic>
              </a:graphicData>
            </a:graphic>
          </wp:anchor>
        </w:drawing>
      </w:r>
    </w:p>
    <w:p>
      <w:pPr>
        <w:spacing w:after="0" w:line="277" w:lineRule="exact"/>
        <w:rPr>
          <w:sz w:val="20"/>
          <w:szCs w:val="20"/>
          <w:color w:val="auto"/>
        </w:rPr>
      </w:pPr>
    </w:p>
    <w:p>
      <w:pPr>
        <w:ind w:left="220"/>
        <w:spacing w:after="0"/>
        <w:rPr>
          <w:sz w:val="20"/>
          <w:szCs w:val="20"/>
          <w:color w:val="auto"/>
        </w:rPr>
      </w:pPr>
      <w:r>
        <w:rPr>
          <w:rFonts w:ascii="Arial" w:cs="Arial" w:eastAsia="Arial" w:hAnsi="Arial"/>
          <w:sz w:val="18"/>
          <w:szCs w:val="18"/>
          <w:b w:val="1"/>
          <w:bCs w:val="1"/>
          <w:color w:val="004A98"/>
        </w:rPr>
        <w:t>2024 MEETING ACTIVITY</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shd w:val="clear" w:color="auto" w:fill="E5E5E5"/>
          </w:tcPr>
          <w:p>
            <w:pPr>
              <w:ind w:left="220"/>
              <w:spacing w:after="0"/>
              <w:rPr>
                <w:sz w:val="20"/>
                <w:szCs w:val="20"/>
                <w:color w:val="auto"/>
              </w:rPr>
            </w:pPr>
            <w:r>
              <w:rPr>
                <w:rFonts w:ascii="Arial" w:cs="Arial" w:eastAsia="Arial" w:hAnsi="Arial"/>
                <w:sz w:val="16"/>
                <w:szCs w:val="16"/>
                <w:b w:val="1"/>
                <w:bCs w:val="1"/>
                <w:color w:val="auto"/>
              </w:rPr>
              <w:t>BOARD</w:t>
            </w:r>
          </w:p>
        </w:tc>
        <w:tc>
          <w:tcPr>
            <w:tcW w:w="5620" w:type="dxa"/>
            <w:vAlign w:val="bottom"/>
            <w:shd w:val="clear" w:color="auto" w:fill="E5E5E5"/>
          </w:tcPr>
          <w:p>
            <w:pPr>
              <w:ind w:left="20"/>
              <w:spacing w:after="0"/>
              <w:rPr>
                <w:sz w:val="20"/>
                <w:szCs w:val="20"/>
                <w:color w:val="auto"/>
              </w:rPr>
            </w:pPr>
            <w:r>
              <w:rPr>
                <w:rFonts w:ascii="Arial" w:cs="Arial" w:eastAsia="Arial" w:hAnsi="Arial"/>
                <w:sz w:val="16"/>
                <w:szCs w:val="16"/>
                <w:b w:val="1"/>
                <w:bCs w:val="1"/>
                <w:color w:val="auto"/>
              </w:rPr>
              <w:t>COMMITTEES</w:t>
            </w:r>
          </w:p>
        </w:tc>
      </w:tr>
      <w:tr>
        <w:trPr>
          <w:trHeight w:val="216"/>
        </w:trPr>
        <w:tc>
          <w:tcPr>
            <w:tcW w:w="5620" w:type="dxa"/>
            <w:vAlign w:val="bottom"/>
            <w:shd w:val="clear" w:color="auto" w:fill="E5E5E5"/>
          </w:tcPr>
          <w:p>
            <w:pPr>
              <w:ind w:left="220"/>
              <w:spacing w:after="0"/>
              <w:rPr>
                <w:sz w:val="20"/>
                <w:szCs w:val="20"/>
                <w:color w:val="auto"/>
              </w:rPr>
            </w:pPr>
            <w:r>
              <w:rPr>
                <w:rFonts w:ascii="Arial" w:cs="Arial" w:eastAsia="Arial" w:hAnsi="Arial"/>
                <w:sz w:val="16"/>
                <w:szCs w:val="16"/>
                <w:color w:val="auto"/>
              </w:rPr>
              <w:t>6 MEETINGS</w:t>
            </w:r>
          </w:p>
        </w:tc>
        <w:tc>
          <w:tcPr>
            <w:tcW w:w="5620" w:type="dxa"/>
            <w:vAlign w:val="bottom"/>
            <w:shd w:val="clear" w:color="auto" w:fill="E5E5E5"/>
          </w:tcPr>
          <w:p>
            <w:pPr>
              <w:ind w:left="20"/>
              <w:spacing w:after="0"/>
              <w:rPr>
                <w:sz w:val="20"/>
                <w:szCs w:val="20"/>
                <w:color w:val="auto"/>
              </w:rPr>
            </w:pPr>
            <w:r>
              <w:rPr>
                <w:rFonts w:ascii="Arial" w:cs="Arial" w:eastAsia="Arial" w:hAnsi="Arial"/>
                <w:sz w:val="16"/>
                <w:szCs w:val="16"/>
                <w:color w:val="auto"/>
              </w:rPr>
              <w:t>18 MEETINGS COLLECTIVELY</w:t>
            </w:r>
          </w:p>
        </w:tc>
      </w:tr>
      <w:tr>
        <w:trPr>
          <w:trHeight w:val="223"/>
        </w:trPr>
        <w:tc>
          <w:tcPr>
            <w:tcW w:w="5620" w:type="dxa"/>
            <w:vAlign w:val="bottom"/>
          </w:tcPr>
          <w:p>
            <w:pPr>
              <w:ind w:left="220"/>
              <w:spacing w:after="0"/>
              <w:rPr>
                <w:sz w:val="20"/>
                <w:szCs w:val="20"/>
                <w:color w:val="auto"/>
              </w:rPr>
            </w:pPr>
            <w:r>
              <w:rPr>
                <w:rFonts w:ascii="Arial" w:cs="Arial" w:eastAsia="Arial" w:hAnsi="Arial"/>
                <w:sz w:val="16"/>
                <w:szCs w:val="16"/>
                <w:b w:val="1"/>
                <w:bCs w:val="1"/>
                <w:color w:val="auto"/>
              </w:rPr>
              <w:t>ATTENDANCE</w:t>
            </w:r>
          </w:p>
        </w:tc>
        <w:tc>
          <w:tcPr>
            <w:tcW w:w="5620" w:type="dxa"/>
            <w:vAlign w:val="bottom"/>
          </w:tcPr>
          <w:p>
            <w:pPr>
              <w:spacing w:after="0"/>
              <w:rPr>
                <w:sz w:val="19"/>
                <w:szCs w:val="19"/>
                <w:color w:val="auto"/>
              </w:rPr>
            </w:pPr>
          </w:p>
        </w:tc>
      </w:tr>
    </w:tbl>
    <w:p>
      <w:pPr>
        <w:spacing w:after="0" w:line="6" w:lineRule="exact"/>
        <w:rPr>
          <w:sz w:val="20"/>
          <w:szCs w:val="20"/>
          <w:color w:val="auto"/>
        </w:rPr>
      </w:pPr>
    </w:p>
    <w:p>
      <w:pPr>
        <w:ind w:left="220" w:right="500"/>
        <w:spacing w:after="0" w:line="286" w:lineRule="auto"/>
        <w:rPr>
          <w:sz w:val="20"/>
          <w:szCs w:val="20"/>
          <w:color w:val="auto"/>
        </w:rPr>
      </w:pPr>
      <w:r>
        <w:rPr>
          <w:rFonts w:ascii="Arial" w:cs="Arial" w:eastAsia="Arial" w:hAnsi="Arial"/>
          <w:sz w:val="16"/>
          <w:szCs w:val="16"/>
          <w:color w:val="auto"/>
        </w:rPr>
        <w:t>During 2024, no director attended fewer than 90% of the aggregate of (i) the total number of meetings held by the Board and (ii) the total number of meetings held by all committees on which he or she served.</w:t>
      </w:r>
    </w:p>
    <w:p>
      <w:pPr>
        <w:spacing w:after="0" w:line="357"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Board Members’ Attendance at the Annual Meeting</w:t>
      </w:r>
    </w:p>
    <w:p>
      <w:pPr>
        <w:spacing w:after="0" w:line="112" w:lineRule="exact"/>
        <w:rPr>
          <w:sz w:val="20"/>
          <w:szCs w:val="20"/>
          <w:color w:val="auto"/>
        </w:rPr>
      </w:pPr>
    </w:p>
    <w:p>
      <w:pPr>
        <w:jc w:val="both"/>
        <w:ind w:right="100"/>
        <w:spacing w:after="0" w:line="286" w:lineRule="auto"/>
        <w:rPr>
          <w:sz w:val="20"/>
          <w:szCs w:val="20"/>
          <w:color w:val="auto"/>
        </w:rPr>
      </w:pPr>
      <w:r>
        <w:rPr>
          <w:rFonts w:ascii="Arial" w:cs="Arial" w:eastAsia="Arial" w:hAnsi="Arial"/>
          <w:sz w:val="16"/>
          <w:szCs w:val="16"/>
          <w:color w:val="auto"/>
        </w:rPr>
        <w:t>We do not have a formal policy regarding attendance by members of the Board at our annual meetings of stockholders. One member of the Board attended our 2024 Annual Meeting of Stockholders.</w:t>
      </w:r>
    </w:p>
    <w:p>
      <w:pPr>
        <w:spacing w:after="0" w:line="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Risk Oversight</w:t>
      </w:r>
    </w:p>
    <w:p>
      <w:pPr>
        <w:spacing w:after="0" w:line="128" w:lineRule="exact"/>
        <w:rPr>
          <w:sz w:val="20"/>
          <w:szCs w:val="20"/>
          <w:color w:val="auto"/>
        </w:rPr>
      </w:pPr>
    </w:p>
    <w:p>
      <w:pPr>
        <w:jc w:val="both"/>
        <w:ind w:right="120"/>
        <w:spacing w:after="0" w:line="275" w:lineRule="auto"/>
        <w:rPr>
          <w:sz w:val="20"/>
          <w:szCs w:val="20"/>
          <w:color w:val="auto"/>
        </w:rPr>
      </w:pPr>
      <w:r>
        <w:rPr>
          <w:rFonts w:ascii="Arial" w:cs="Arial" w:eastAsia="Arial" w:hAnsi="Arial"/>
          <w:sz w:val="16"/>
          <w:szCs w:val="16"/>
          <w:color w:val="auto"/>
        </w:rPr>
        <w:t>The Board is actively engaged in risk oversight for the Company. Throughout the year, the Board and senior management discuss the areas of material risk to the Company. Risks are identified and evaluated quarterly as part of the Company’s disclosure controls and procedures, and, if material, disclosed in our Annual Reports on Form 10-K and Quarterly Reports on Form 10-Q.</w:t>
      </w:r>
    </w:p>
    <w:p>
      <w:pPr>
        <w:spacing w:after="0" w:line="56" w:lineRule="exact"/>
        <w:rPr>
          <w:sz w:val="20"/>
          <w:szCs w:val="20"/>
          <w:color w:val="auto"/>
        </w:rPr>
      </w:pPr>
    </w:p>
    <w:p>
      <w:pPr>
        <w:ind w:right="100"/>
        <w:spacing w:after="0" w:line="304" w:lineRule="auto"/>
        <w:rPr>
          <w:sz w:val="20"/>
          <w:szCs w:val="20"/>
          <w:color w:val="auto"/>
        </w:rPr>
      </w:pPr>
      <w:r>
        <w:rPr>
          <w:rFonts w:ascii="Arial" w:cs="Arial" w:eastAsia="Arial" w:hAnsi="Arial"/>
          <w:sz w:val="16"/>
          <w:szCs w:val="16"/>
          <w:color w:val="auto"/>
        </w:rPr>
        <w:t>Our Board and its committees also engage third-party experts from time to time to help evaluate risks. For example, the Compensation Committee engages an independent compensation consultant to assist with the Company’s Compensation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5725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32320" cy="857250"/>
                    </a:xfrm>
                    <a:prstGeom prst="rect">
                      <a:avLst/>
                    </a:prstGeom>
                    <a:noFill/>
                  </pic:spPr>
                </pic:pic>
              </a:graphicData>
            </a:graphic>
          </wp:anchor>
        </w:drawing>
      </w:r>
    </w:p>
    <w:p>
      <w:pPr>
        <w:spacing w:after="0" w:line="256"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0C3B5E"/>
        </w:rPr>
        <w:t>Board</w:t>
      </w:r>
    </w:p>
    <w:p>
      <w:pPr>
        <w:spacing w:after="0" w:line="86" w:lineRule="exact"/>
        <w:rPr>
          <w:sz w:val="20"/>
          <w:szCs w:val="20"/>
          <w:color w:val="auto"/>
        </w:rPr>
      </w:pPr>
    </w:p>
    <w:p>
      <w:pPr>
        <w:jc w:val="center"/>
        <w:ind w:left="360" w:right="340"/>
        <w:spacing w:after="0" w:line="292" w:lineRule="auto"/>
        <w:rPr>
          <w:sz w:val="20"/>
          <w:szCs w:val="20"/>
          <w:color w:val="auto"/>
        </w:rPr>
      </w:pPr>
      <w:r>
        <w:rPr>
          <w:rFonts w:ascii="Arial" w:cs="Arial" w:eastAsia="Arial" w:hAnsi="Arial"/>
          <w:sz w:val="16"/>
          <w:szCs w:val="16"/>
          <w:color w:val="auto"/>
        </w:rPr>
        <w:t>The full Board (or the appropriate committee in the case of risks that are under the purview of a particular committee) receives reports from the appropriate member of senior management responsible for mitigating these risks within the organization to enable the Board to understand our risk identification, risk management, and risk mitigation strategies.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7132320" cy="124333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32320" cy="1243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2A549D"/>
        </w:rPr>
        <w:t>Committees</w:t>
      </w:r>
    </w:p>
    <w:p>
      <w:pPr>
        <w:spacing w:after="0" w:line="86" w:lineRule="exact"/>
        <w:rPr>
          <w:sz w:val="20"/>
          <w:szCs w:val="20"/>
          <w:color w:val="auto"/>
        </w:rPr>
      </w:pPr>
    </w:p>
    <w:p>
      <w:pPr>
        <w:jc w:val="center"/>
        <w:ind w:left="360" w:right="200"/>
        <w:spacing w:after="0" w:line="289" w:lineRule="auto"/>
        <w:rPr>
          <w:sz w:val="20"/>
          <w:szCs w:val="20"/>
          <w:color w:val="auto"/>
        </w:rPr>
      </w:pPr>
      <w:r>
        <w:rPr>
          <w:rFonts w:ascii="Arial" w:cs="Arial" w:eastAsia="Arial" w:hAnsi="Arial"/>
          <w:sz w:val="16"/>
          <w:szCs w:val="16"/>
          <w:color w:val="auto"/>
        </w:rPr>
        <w:t>The Chairpersons of the relevant committees brief the full Board on the committees’ oversight of risks within their purview during the committee reports portion of each regular Board meeting. This enables the Board and its committees to coordinate the risk oversight role, particularly with respect to risk interrelationships, and enables the full Board to provide input on the Company’s risk assessment and risk management efforts. All of our Board members have experience with enterprise 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128587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32320" cy="128587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440"/>
        <w:spacing w:after="0"/>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Audit Committee</w:t>
      </w:r>
      <w:r>
        <w:rPr>
          <w:rFonts w:ascii="Arial" w:cs="Arial" w:eastAsia="Arial" w:hAnsi="Arial"/>
          <w:sz w:val="16"/>
          <w:szCs w:val="16"/>
          <w:color w:val="auto"/>
        </w:rPr>
        <w:t xml:space="preserve"> oversees the</w:t>
      </w:r>
    </w:p>
    <w:p>
      <w:pPr>
        <w:spacing w:after="0" w:line="3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Company’s processes to manage business</w:t>
      </w:r>
    </w:p>
    <w:p>
      <w:pPr>
        <w:spacing w:after="0" w:line="24" w:lineRule="exact"/>
        <w:rPr>
          <w:sz w:val="20"/>
          <w:szCs w:val="20"/>
          <w:color w:val="auto"/>
        </w:rPr>
      </w:pPr>
    </w:p>
    <w:p>
      <w:pPr>
        <w:jc w:val="center"/>
        <w:ind w:left="140"/>
        <w:spacing w:after="0"/>
        <w:rPr>
          <w:sz w:val="20"/>
          <w:szCs w:val="20"/>
          <w:color w:val="auto"/>
        </w:rPr>
      </w:pPr>
      <w:r>
        <w:rPr>
          <w:rFonts w:ascii="Arial" w:cs="Arial" w:eastAsia="Arial" w:hAnsi="Arial"/>
          <w:sz w:val="16"/>
          <w:szCs w:val="16"/>
          <w:color w:val="auto"/>
        </w:rPr>
        <w:t>and financial risk and compliance with</w:t>
      </w:r>
    </w:p>
    <w:p>
      <w:pPr>
        <w:spacing w:after="0" w:line="20" w:lineRule="exact"/>
        <w:rPr>
          <w:sz w:val="20"/>
          <w:szCs w:val="20"/>
          <w:color w:val="auto"/>
        </w:rPr>
      </w:pPr>
    </w:p>
    <w:p>
      <w:pPr>
        <w:jc w:val="center"/>
        <w:ind w:left="140"/>
        <w:spacing w:after="0"/>
        <w:rPr>
          <w:sz w:val="20"/>
          <w:szCs w:val="20"/>
          <w:color w:val="auto"/>
        </w:rPr>
      </w:pPr>
      <w:r>
        <w:rPr>
          <w:rFonts w:ascii="Arial" w:cs="Arial" w:eastAsia="Arial" w:hAnsi="Arial"/>
          <w:sz w:val="16"/>
          <w:szCs w:val="16"/>
          <w:color w:val="auto"/>
        </w:rPr>
        <w:t>applicable legal and regulatory</w:t>
      </w:r>
    </w:p>
    <w:p>
      <w:pPr>
        <w:spacing w:after="0" w:line="31" w:lineRule="exact"/>
        <w:rPr>
          <w:sz w:val="20"/>
          <w:szCs w:val="20"/>
          <w:color w:val="auto"/>
        </w:rPr>
      </w:pPr>
    </w:p>
    <w:p>
      <w:pPr>
        <w:jc w:val="both"/>
        <w:ind w:left="400" w:right="200" w:hanging="47"/>
        <w:spacing w:after="0" w:line="305" w:lineRule="auto"/>
        <w:rPr>
          <w:sz w:val="20"/>
          <w:szCs w:val="20"/>
          <w:color w:val="auto"/>
        </w:rPr>
      </w:pPr>
      <w:r>
        <w:rPr>
          <w:rFonts w:ascii="Arial" w:cs="Arial" w:eastAsia="Arial" w:hAnsi="Arial"/>
          <w:sz w:val="16"/>
          <w:szCs w:val="16"/>
          <w:color w:val="auto"/>
        </w:rPr>
        <w:t>requirements, including the Company’s enterprise risk management program.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right="100" w:firstLine="9"/>
        <w:spacing w:after="0" w:line="28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Compensation Committee</w:t>
      </w:r>
      <w:r>
        <w:rPr>
          <w:rFonts w:ascii="Arial" w:cs="Arial" w:eastAsia="Arial" w:hAnsi="Arial"/>
          <w:sz w:val="16"/>
          <w:szCs w:val="16"/>
          <w:color w:val="auto"/>
        </w:rPr>
        <w:t xml:space="preserve"> oversees the Company’s risk assessment and risk management relative to the Company’s compensation programs, policies, and practices and human capital management.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20"/>
        <w:spacing w:after="0" w:line="292" w:lineRule="auto"/>
        <w:rPr>
          <w:sz w:val="20"/>
          <w:szCs w:val="20"/>
          <w:color w:val="auto"/>
        </w:rPr>
      </w:pPr>
      <w:r>
        <w:rPr>
          <w:rFonts w:ascii="Arial" w:cs="Arial" w:eastAsia="Arial" w:hAnsi="Arial"/>
          <w:sz w:val="16"/>
          <w:szCs w:val="16"/>
          <w:color w:val="auto"/>
        </w:rPr>
        <w:t xml:space="preserve">The </w:t>
      </w:r>
      <w:r>
        <w:rPr>
          <w:rFonts w:ascii="Arial" w:cs="Arial" w:eastAsia="Arial" w:hAnsi="Arial"/>
          <w:sz w:val="16"/>
          <w:szCs w:val="16"/>
          <w:b w:val="1"/>
          <w:bCs w:val="1"/>
          <w:color w:val="auto"/>
        </w:rPr>
        <w:t>Cybersecurity Committee</w:t>
      </w:r>
      <w:r>
        <w:rPr>
          <w:rFonts w:ascii="Arial" w:cs="Arial" w:eastAsia="Arial" w:hAnsi="Arial"/>
          <w:sz w:val="16"/>
          <w:szCs w:val="16"/>
          <w:color w:val="auto"/>
        </w:rPr>
        <w:t xml:space="preserve"> assists the Board with its oversight of the Company’s cybersecurity program and risks.</w:t>
      </w:r>
    </w:p>
    <w:p>
      <w:pPr>
        <w:spacing w:after="0" w:line="845" w:lineRule="exact"/>
        <w:rPr>
          <w:sz w:val="20"/>
          <w:szCs w:val="20"/>
          <w:color w:val="auto"/>
        </w:rPr>
      </w:pPr>
    </w:p>
    <w:p>
      <w:pPr>
        <w:sectPr>
          <w:pgSz w:w="11900" w:h="16838" w:orient="portrait"/>
          <w:cols w:equalWidth="0" w:num="3">
            <w:col w:w="3340" w:space="720"/>
            <w:col w:w="3140" w:space="720"/>
            <w:col w:w="3320"/>
          </w:cols>
          <w:pgMar w:left="320" w:top="121" w:right="339" w:bottom="1440" w:gutter="0" w:footer="0" w:header="0"/>
          <w:type w:val="continuous"/>
        </w:sectPr>
      </w:pPr>
    </w:p>
    <w:p>
      <w:pPr>
        <w:spacing w:after="0" w:line="200" w:lineRule="exact"/>
        <w:rPr>
          <w:sz w:val="20"/>
          <w:szCs w:val="20"/>
          <w:color w:val="auto"/>
        </w:rPr>
      </w:pPr>
    </w:p>
    <w:p>
      <w:pPr>
        <w:spacing w:after="0" w:line="300"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20</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3" w:name="page24"/>
    <w:bookmarkEnd w:id="2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Corporate Governance</w:t>
      </w: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Risk Reporting to the Board and its Committees</w:t>
      </w:r>
    </w:p>
    <w:p>
      <w:pPr>
        <w:spacing w:after="0" w:line="128" w:lineRule="exact"/>
        <w:rPr>
          <w:sz w:val="20"/>
          <w:szCs w:val="20"/>
          <w:color w:val="auto"/>
        </w:rPr>
      </w:pPr>
    </w:p>
    <w:p>
      <w:pPr>
        <w:ind w:right="740"/>
        <w:spacing w:after="0" w:line="304" w:lineRule="auto"/>
        <w:rPr>
          <w:sz w:val="20"/>
          <w:szCs w:val="20"/>
          <w:color w:val="auto"/>
        </w:rPr>
      </w:pPr>
      <w:r>
        <w:rPr>
          <w:rFonts w:ascii="Arial" w:cs="Arial" w:eastAsia="Arial" w:hAnsi="Arial"/>
          <w:sz w:val="16"/>
          <w:szCs w:val="16"/>
          <w:color w:val="auto"/>
        </w:rPr>
        <w:t>The chart below shows selected areas of risk and which of the Board committees or the full Board receives regularly scheduled reports from senior management with respect to such area of risk.</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52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6"/>
              </w:rPr>
              <w:t>FULL</w:t>
            </w:r>
          </w:p>
        </w:tc>
        <w:tc>
          <w:tcPr>
            <w:tcW w:w="100" w:type="dxa"/>
            <w:vAlign w:val="bottom"/>
            <w:tcBorders>
              <w:right w:val="single" w:sz="8" w:color="auto"/>
            </w:tcBorders>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5"/>
              </w:rPr>
              <w:t>AUDIT</w:t>
            </w:r>
          </w:p>
        </w:tc>
        <w:tc>
          <w:tcPr>
            <w:tcW w:w="120" w:type="dxa"/>
            <w:vAlign w:val="bottom"/>
            <w:tcBorders>
              <w:right w:val="single" w:sz="8" w:color="auto"/>
            </w:tcBorders>
          </w:tcPr>
          <w:p>
            <w:pPr>
              <w:spacing w:after="0"/>
              <w:rPr>
                <w:sz w:val="13"/>
                <w:szCs w:val="13"/>
                <w:color w:val="auto"/>
              </w:rPr>
            </w:pPr>
          </w:p>
        </w:tc>
        <w:tc>
          <w:tcPr>
            <w:tcW w:w="1380" w:type="dxa"/>
            <w:vAlign w:val="bottom"/>
          </w:tcPr>
          <w:p>
            <w:pPr>
              <w:jc w:val="center"/>
              <w:spacing w:after="0"/>
              <w:rPr>
                <w:sz w:val="20"/>
                <w:szCs w:val="20"/>
                <w:color w:val="auto"/>
              </w:rPr>
            </w:pPr>
            <w:r>
              <w:rPr>
                <w:rFonts w:ascii="Arial" w:cs="Arial" w:eastAsia="Arial" w:hAnsi="Arial"/>
                <w:sz w:val="13"/>
                <w:szCs w:val="13"/>
                <w:b w:val="1"/>
                <w:bCs w:val="1"/>
                <w:color w:val="auto"/>
                <w:w w:val="96"/>
              </w:rPr>
              <w:t>COMPENSATION</w:t>
            </w:r>
          </w:p>
        </w:tc>
        <w:tc>
          <w:tcPr>
            <w:tcW w:w="100" w:type="dxa"/>
            <w:vAlign w:val="bottom"/>
            <w:tcBorders>
              <w:right w:val="single" w:sz="8" w:color="auto"/>
            </w:tcBorders>
          </w:tcPr>
          <w:p>
            <w:pPr>
              <w:spacing w:after="0"/>
              <w:rPr>
                <w:sz w:val="13"/>
                <w:szCs w:val="13"/>
                <w:color w:val="auto"/>
              </w:rPr>
            </w:pPr>
          </w:p>
        </w:tc>
        <w:tc>
          <w:tcPr>
            <w:tcW w:w="1400" w:type="dxa"/>
            <w:vAlign w:val="bottom"/>
          </w:tcPr>
          <w:p>
            <w:pPr>
              <w:jc w:val="center"/>
              <w:spacing w:after="0"/>
              <w:rPr>
                <w:sz w:val="20"/>
                <w:szCs w:val="20"/>
                <w:color w:val="auto"/>
              </w:rPr>
            </w:pPr>
            <w:r>
              <w:rPr>
                <w:rFonts w:ascii="Arial" w:cs="Arial" w:eastAsia="Arial" w:hAnsi="Arial"/>
                <w:sz w:val="13"/>
                <w:szCs w:val="13"/>
                <w:b w:val="1"/>
                <w:bCs w:val="1"/>
                <w:color w:val="auto"/>
                <w:w w:val="97"/>
              </w:rPr>
              <w:t>CYBERSECURITY</w:t>
            </w:r>
          </w:p>
        </w:tc>
      </w:tr>
      <w:tr>
        <w:trPr>
          <w:trHeight w:val="189"/>
        </w:trPr>
        <w:tc>
          <w:tcPr>
            <w:tcW w:w="52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RISK AREA</w:t>
            </w:r>
          </w:p>
        </w:tc>
        <w:tc>
          <w:tcPr>
            <w:tcW w:w="120" w:type="dxa"/>
            <w:vAlign w:val="bottom"/>
            <w:tcBorders>
              <w:right w:val="single" w:sz="8" w:color="auto"/>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6"/>
              </w:rPr>
              <w:t>BOARD</w:t>
            </w:r>
          </w:p>
        </w:tc>
        <w:tc>
          <w:tcPr>
            <w:tcW w:w="100" w:type="dxa"/>
            <w:vAlign w:val="bottom"/>
            <w:tcBorders>
              <w:right w:val="single" w:sz="8" w:color="auto"/>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COMMITTEE</w:t>
            </w:r>
          </w:p>
        </w:tc>
        <w:tc>
          <w:tcPr>
            <w:tcW w:w="120" w:type="dxa"/>
            <w:vAlign w:val="bottom"/>
            <w:tcBorders>
              <w:right w:val="single" w:sz="8" w:color="auto"/>
            </w:tcBorders>
          </w:tcPr>
          <w:p>
            <w:pPr>
              <w:spacing w:after="0"/>
              <w:rPr>
                <w:sz w:val="16"/>
                <w:szCs w:val="16"/>
                <w:color w:val="auto"/>
              </w:rPr>
            </w:pPr>
          </w:p>
        </w:tc>
        <w:tc>
          <w:tcPr>
            <w:tcW w:w="138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COMMITTEE</w:t>
            </w:r>
          </w:p>
        </w:tc>
        <w:tc>
          <w:tcPr>
            <w:tcW w:w="100" w:type="dxa"/>
            <w:vAlign w:val="bottom"/>
            <w:tcBorders>
              <w:right w:val="single" w:sz="8" w:color="auto"/>
            </w:tcBorders>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7"/>
              </w:rPr>
              <w:t>COMMITTEE</w:t>
            </w:r>
          </w:p>
        </w:tc>
      </w:tr>
      <w:tr>
        <w:trPr>
          <w:trHeight w:val="213"/>
        </w:trPr>
        <w:tc>
          <w:tcPr>
            <w:tcW w:w="5240" w:type="dxa"/>
            <w:vAlign w:val="bottom"/>
            <w:tcBorders>
              <w:bottom w:val="single" w:sz="8" w:color="939598"/>
            </w:tcBorders>
            <w:shd w:val="clear" w:color="auto" w:fill="E6E7E8"/>
          </w:tcPr>
          <w:p>
            <w:pPr>
              <w:ind w:left="20"/>
              <w:spacing w:after="0"/>
              <w:rPr>
                <w:sz w:val="20"/>
                <w:szCs w:val="20"/>
                <w:color w:val="auto"/>
              </w:rPr>
            </w:pPr>
            <w:r>
              <w:rPr>
                <w:rFonts w:ascii="Arial" w:cs="Arial" w:eastAsia="Arial" w:hAnsi="Arial"/>
                <w:sz w:val="16"/>
                <w:szCs w:val="16"/>
                <w:color w:val="auto"/>
              </w:rPr>
              <w:t>Cybersecurity/Technology</w:t>
            </w:r>
          </w:p>
        </w:tc>
        <w:tc>
          <w:tcPr>
            <w:tcW w:w="120" w:type="dxa"/>
            <w:vAlign w:val="bottom"/>
            <w:tcBorders>
              <w:right w:val="single" w:sz="8" w:color="E6E7E8"/>
            </w:tcBorders>
          </w:tcPr>
          <w:p>
            <w:pPr>
              <w:spacing w:after="0"/>
              <w:rPr>
                <w:sz w:val="18"/>
                <w:szCs w:val="18"/>
                <w:color w:val="auto"/>
              </w:rPr>
            </w:pPr>
          </w:p>
        </w:tc>
        <w:tc>
          <w:tcPr>
            <w:tcW w:w="1380" w:type="dxa"/>
            <w:vAlign w:val="bottom"/>
            <w:tcBorders>
              <w:bottom w:val="single" w:sz="8" w:color="939598"/>
            </w:tcBorders>
            <w:shd w:val="clear" w:color="auto" w:fill="E6E7E8"/>
          </w:tcPr>
          <w:p>
            <w:pPr>
              <w:jc w:val="center"/>
              <w:spacing w:after="0"/>
              <w:rPr>
                <w:sz w:val="20"/>
                <w:szCs w:val="20"/>
                <w:color w:val="auto"/>
              </w:rPr>
            </w:pPr>
            <w:r>
              <w:rPr>
                <w:rFonts w:ascii="Wingdings" w:cs="Wingdings" w:eastAsia="Wingdings" w:hAnsi="Wingdings"/>
                <w:sz w:val="16"/>
                <w:szCs w:val="16"/>
                <w:b w:val="1"/>
                <w:bCs w:val="1"/>
                <w:color w:val="004A98"/>
                <w:w w:val="99"/>
              </w:rPr>
              <w:t>l</w:t>
            </w:r>
          </w:p>
        </w:tc>
        <w:tc>
          <w:tcPr>
            <w:tcW w:w="100" w:type="dxa"/>
            <w:vAlign w:val="bottom"/>
            <w:tcBorders>
              <w:right w:val="single" w:sz="8" w:color="E6E7E8"/>
            </w:tcBorders>
          </w:tcPr>
          <w:p>
            <w:pPr>
              <w:spacing w:after="0"/>
              <w:rPr>
                <w:sz w:val="18"/>
                <w:szCs w:val="18"/>
                <w:color w:val="auto"/>
              </w:rPr>
            </w:pPr>
          </w:p>
        </w:tc>
        <w:tc>
          <w:tcPr>
            <w:tcW w:w="1380" w:type="dxa"/>
            <w:vAlign w:val="bottom"/>
            <w:tcBorders>
              <w:bottom w:val="single" w:sz="8" w:color="939598"/>
            </w:tcBorders>
            <w:shd w:val="clear" w:color="auto" w:fill="E6E7E8"/>
          </w:tcPr>
          <w:p>
            <w:pPr>
              <w:spacing w:after="0"/>
              <w:rPr>
                <w:sz w:val="18"/>
                <w:szCs w:val="18"/>
                <w:color w:val="auto"/>
              </w:rPr>
            </w:pPr>
          </w:p>
        </w:tc>
        <w:tc>
          <w:tcPr>
            <w:tcW w:w="120" w:type="dxa"/>
            <w:vAlign w:val="bottom"/>
            <w:tcBorders>
              <w:right w:val="single" w:sz="8" w:color="E6E7E8"/>
            </w:tcBorders>
          </w:tcPr>
          <w:p>
            <w:pPr>
              <w:spacing w:after="0"/>
              <w:rPr>
                <w:sz w:val="18"/>
                <w:szCs w:val="18"/>
                <w:color w:val="auto"/>
              </w:rPr>
            </w:pPr>
          </w:p>
        </w:tc>
        <w:tc>
          <w:tcPr>
            <w:tcW w:w="1380" w:type="dxa"/>
            <w:vAlign w:val="bottom"/>
            <w:tcBorders>
              <w:bottom w:val="single" w:sz="8" w:color="939598"/>
            </w:tcBorders>
            <w:shd w:val="clear" w:color="auto" w:fill="E6E7E8"/>
          </w:tcPr>
          <w:p>
            <w:pPr>
              <w:spacing w:after="0"/>
              <w:rPr>
                <w:sz w:val="18"/>
                <w:szCs w:val="18"/>
                <w:color w:val="auto"/>
              </w:rPr>
            </w:pPr>
          </w:p>
        </w:tc>
        <w:tc>
          <w:tcPr>
            <w:tcW w:w="100" w:type="dxa"/>
            <w:vAlign w:val="bottom"/>
            <w:tcBorders>
              <w:right w:val="single" w:sz="8" w:color="E6E7E8"/>
            </w:tcBorders>
          </w:tcPr>
          <w:p>
            <w:pPr>
              <w:spacing w:after="0"/>
              <w:rPr>
                <w:sz w:val="18"/>
                <w:szCs w:val="18"/>
                <w:color w:val="auto"/>
              </w:rPr>
            </w:pPr>
          </w:p>
        </w:tc>
        <w:tc>
          <w:tcPr>
            <w:tcW w:w="1400" w:type="dxa"/>
            <w:vAlign w:val="bottom"/>
            <w:tcBorders>
              <w:bottom w:val="single" w:sz="8" w:color="939598"/>
            </w:tcBorders>
            <w:shd w:val="clear" w:color="auto" w:fill="E6E7E8"/>
          </w:tcPr>
          <w:p>
            <w:pPr>
              <w:jc w:val="center"/>
              <w:spacing w:after="0"/>
              <w:rPr>
                <w:sz w:val="20"/>
                <w:szCs w:val="20"/>
                <w:color w:val="auto"/>
              </w:rPr>
            </w:pPr>
            <w:r>
              <w:rPr>
                <w:rFonts w:ascii="Wingdings" w:cs="Wingdings" w:eastAsia="Wingdings" w:hAnsi="Wingdings"/>
                <w:sz w:val="16"/>
                <w:szCs w:val="16"/>
                <w:b w:val="1"/>
                <w:bCs w:val="1"/>
                <w:color w:val="004A98"/>
                <w:w w:val="99"/>
              </w:rPr>
              <w:t>l</w:t>
            </w:r>
          </w:p>
        </w:tc>
      </w:tr>
      <w:tr>
        <w:trPr>
          <w:trHeight w:val="209"/>
        </w:trPr>
        <w:tc>
          <w:tcPr>
            <w:tcW w:w="524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Financial</w:t>
            </w:r>
          </w:p>
        </w:tc>
        <w:tc>
          <w:tcPr>
            <w:tcW w:w="120" w:type="dxa"/>
            <w:vAlign w:val="bottom"/>
          </w:tcPr>
          <w:p>
            <w:pPr>
              <w:spacing w:after="0"/>
              <w:rPr>
                <w:sz w:val="18"/>
                <w:szCs w:val="18"/>
                <w:color w:val="auto"/>
              </w:rPr>
            </w:pPr>
          </w:p>
        </w:tc>
        <w:tc>
          <w:tcPr>
            <w:tcW w:w="1380" w:type="dxa"/>
            <w:vAlign w:val="bottom"/>
            <w:tcBorders>
              <w:bottom w:val="single" w:sz="8" w:color="939598"/>
            </w:tcBorders>
          </w:tcPr>
          <w:p>
            <w:pPr>
              <w:jc w:val="center"/>
              <w:spacing w:after="0"/>
              <w:rPr>
                <w:sz w:val="20"/>
                <w:szCs w:val="20"/>
                <w:color w:val="auto"/>
              </w:rPr>
            </w:pPr>
            <w:r>
              <w:rPr>
                <w:rFonts w:ascii="Wingdings" w:cs="Wingdings" w:eastAsia="Wingdings" w:hAnsi="Wingdings"/>
                <w:sz w:val="16"/>
                <w:szCs w:val="16"/>
                <w:b w:val="1"/>
                <w:bCs w:val="1"/>
                <w:color w:val="004A98"/>
                <w:w w:val="99"/>
              </w:rPr>
              <w:t>l</w:t>
            </w:r>
          </w:p>
        </w:tc>
        <w:tc>
          <w:tcPr>
            <w:tcW w:w="100" w:type="dxa"/>
            <w:vAlign w:val="bottom"/>
          </w:tcPr>
          <w:p>
            <w:pPr>
              <w:spacing w:after="0"/>
              <w:rPr>
                <w:sz w:val="18"/>
                <w:szCs w:val="18"/>
                <w:color w:val="auto"/>
              </w:rPr>
            </w:pPr>
          </w:p>
        </w:tc>
        <w:tc>
          <w:tcPr>
            <w:tcW w:w="1380" w:type="dxa"/>
            <w:vAlign w:val="bottom"/>
            <w:tcBorders>
              <w:bottom w:val="single" w:sz="8" w:color="939598"/>
            </w:tcBorders>
          </w:tcPr>
          <w:p>
            <w:pPr>
              <w:jc w:val="center"/>
              <w:spacing w:after="0"/>
              <w:rPr>
                <w:sz w:val="20"/>
                <w:szCs w:val="20"/>
                <w:color w:val="auto"/>
              </w:rPr>
            </w:pPr>
            <w:r>
              <w:rPr>
                <w:rFonts w:ascii="Wingdings" w:cs="Wingdings" w:eastAsia="Wingdings" w:hAnsi="Wingdings"/>
                <w:sz w:val="16"/>
                <w:szCs w:val="16"/>
                <w:b w:val="1"/>
                <w:bCs w:val="1"/>
                <w:color w:val="004A98"/>
                <w:w w:val="99"/>
              </w:rPr>
              <w:t>l</w:t>
            </w:r>
          </w:p>
        </w:tc>
        <w:tc>
          <w:tcPr>
            <w:tcW w:w="120" w:type="dxa"/>
            <w:vAlign w:val="bottom"/>
          </w:tcPr>
          <w:p>
            <w:pPr>
              <w:spacing w:after="0"/>
              <w:rPr>
                <w:sz w:val="18"/>
                <w:szCs w:val="18"/>
                <w:color w:val="auto"/>
              </w:rPr>
            </w:pPr>
          </w:p>
        </w:tc>
        <w:tc>
          <w:tcPr>
            <w:tcW w:w="1380" w:type="dxa"/>
            <w:vAlign w:val="bottom"/>
            <w:tcBorders>
              <w:bottom w:val="single" w:sz="8" w:color="939598"/>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bottom w:val="single" w:sz="8" w:color="939598"/>
            </w:tcBorders>
          </w:tcPr>
          <w:p>
            <w:pPr>
              <w:spacing w:after="0"/>
              <w:rPr>
                <w:sz w:val="18"/>
                <w:szCs w:val="18"/>
                <w:color w:val="auto"/>
              </w:rPr>
            </w:pPr>
          </w:p>
        </w:tc>
      </w:tr>
      <w:tr>
        <w:trPr>
          <w:trHeight w:val="209"/>
        </w:trPr>
        <w:tc>
          <w:tcPr>
            <w:tcW w:w="5240" w:type="dxa"/>
            <w:vAlign w:val="bottom"/>
            <w:tcBorders>
              <w:bottom w:val="single" w:sz="8" w:color="939598"/>
            </w:tcBorders>
            <w:shd w:val="clear" w:color="auto" w:fill="E6E7E8"/>
          </w:tcPr>
          <w:p>
            <w:pPr>
              <w:ind w:left="20"/>
              <w:spacing w:after="0"/>
              <w:rPr>
                <w:sz w:val="20"/>
                <w:szCs w:val="20"/>
                <w:color w:val="auto"/>
              </w:rPr>
            </w:pPr>
            <w:r>
              <w:rPr>
                <w:rFonts w:ascii="Arial" w:cs="Arial" w:eastAsia="Arial" w:hAnsi="Arial"/>
                <w:sz w:val="16"/>
                <w:szCs w:val="16"/>
                <w:color w:val="auto"/>
              </w:rPr>
              <w:t>Litigation</w:t>
            </w:r>
          </w:p>
        </w:tc>
        <w:tc>
          <w:tcPr>
            <w:tcW w:w="120" w:type="dxa"/>
            <w:vAlign w:val="bottom"/>
            <w:tcBorders>
              <w:right w:val="single" w:sz="8" w:color="E6E7E8"/>
            </w:tcBorders>
          </w:tcPr>
          <w:p>
            <w:pPr>
              <w:spacing w:after="0"/>
              <w:rPr>
                <w:sz w:val="18"/>
                <w:szCs w:val="18"/>
                <w:color w:val="auto"/>
              </w:rPr>
            </w:pPr>
          </w:p>
        </w:tc>
        <w:tc>
          <w:tcPr>
            <w:tcW w:w="1380" w:type="dxa"/>
            <w:vAlign w:val="bottom"/>
            <w:tcBorders>
              <w:bottom w:val="single" w:sz="8" w:color="939598"/>
            </w:tcBorders>
            <w:shd w:val="clear" w:color="auto" w:fill="E6E7E8"/>
          </w:tcPr>
          <w:p>
            <w:pPr>
              <w:spacing w:after="0"/>
              <w:rPr>
                <w:sz w:val="18"/>
                <w:szCs w:val="18"/>
                <w:color w:val="auto"/>
              </w:rPr>
            </w:pPr>
          </w:p>
        </w:tc>
        <w:tc>
          <w:tcPr>
            <w:tcW w:w="100" w:type="dxa"/>
            <w:vAlign w:val="bottom"/>
            <w:tcBorders>
              <w:right w:val="single" w:sz="8" w:color="E6E7E8"/>
            </w:tcBorders>
          </w:tcPr>
          <w:p>
            <w:pPr>
              <w:spacing w:after="0"/>
              <w:rPr>
                <w:sz w:val="18"/>
                <w:szCs w:val="18"/>
                <w:color w:val="auto"/>
              </w:rPr>
            </w:pPr>
          </w:p>
        </w:tc>
        <w:tc>
          <w:tcPr>
            <w:tcW w:w="1380" w:type="dxa"/>
            <w:vAlign w:val="bottom"/>
            <w:tcBorders>
              <w:bottom w:val="single" w:sz="8" w:color="939598"/>
            </w:tcBorders>
            <w:shd w:val="clear" w:color="auto" w:fill="E6E7E8"/>
          </w:tcPr>
          <w:p>
            <w:pPr>
              <w:jc w:val="center"/>
              <w:spacing w:after="0"/>
              <w:rPr>
                <w:sz w:val="20"/>
                <w:szCs w:val="20"/>
                <w:color w:val="auto"/>
              </w:rPr>
            </w:pPr>
            <w:r>
              <w:rPr>
                <w:rFonts w:ascii="Wingdings" w:cs="Wingdings" w:eastAsia="Wingdings" w:hAnsi="Wingdings"/>
                <w:sz w:val="16"/>
                <w:szCs w:val="16"/>
                <w:b w:val="1"/>
                <w:bCs w:val="1"/>
                <w:color w:val="004A98"/>
                <w:w w:val="99"/>
              </w:rPr>
              <w:t>l</w:t>
            </w:r>
          </w:p>
        </w:tc>
        <w:tc>
          <w:tcPr>
            <w:tcW w:w="120" w:type="dxa"/>
            <w:vAlign w:val="bottom"/>
            <w:tcBorders>
              <w:right w:val="single" w:sz="8" w:color="E6E7E8"/>
            </w:tcBorders>
          </w:tcPr>
          <w:p>
            <w:pPr>
              <w:spacing w:after="0"/>
              <w:rPr>
                <w:sz w:val="18"/>
                <w:szCs w:val="18"/>
                <w:color w:val="auto"/>
              </w:rPr>
            </w:pPr>
          </w:p>
        </w:tc>
        <w:tc>
          <w:tcPr>
            <w:tcW w:w="1380" w:type="dxa"/>
            <w:vAlign w:val="bottom"/>
            <w:tcBorders>
              <w:bottom w:val="single" w:sz="8" w:color="939598"/>
            </w:tcBorders>
            <w:shd w:val="clear" w:color="auto" w:fill="E6E7E8"/>
          </w:tcPr>
          <w:p>
            <w:pPr>
              <w:spacing w:after="0"/>
              <w:rPr>
                <w:sz w:val="18"/>
                <w:szCs w:val="18"/>
                <w:color w:val="auto"/>
              </w:rPr>
            </w:pPr>
          </w:p>
        </w:tc>
        <w:tc>
          <w:tcPr>
            <w:tcW w:w="100" w:type="dxa"/>
            <w:vAlign w:val="bottom"/>
            <w:tcBorders>
              <w:right w:val="single" w:sz="8" w:color="E6E7E8"/>
            </w:tcBorders>
          </w:tcPr>
          <w:p>
            <w:pPr>
              <w:spacing w:after="0"/>
              <w:rPr>
                <w:sz w:val="18"/>
                <w:szCs w:val="18"/>
                <w:color w:val="auto"/>
              </w:rPr>
            </w:pPr>
          </w:p>
        </w:tc>
        <w:tc>
          <w:tcPr>
            <w:tcW w:w="1400" w:type="dxa"/>
            <w:vAlign w:val="bottom"/>
            <w:tcBorders>
              <w:bottom w:val="single" w:sz="8" w:color="939598"/>
            </w:tcBorders>
            <w:shd w:val="clear" w:color="auto" w:fill="E6E7E8"/>
          </w:tcPr>
          <w:p>
            <w:pPr>
              <w:spacing w:after="0"/>
              <w:rPr>
                <w:sz w:val="18"/>
                <w:szCs w:val="18"/>
                <w:color w:val="auto"/>
              </w:rPr>
            </w:pPr>
          </w:p>
        </w:tc>
      </w:tr>
      <w:tr>
        <w:trPr>
          <w:trHeight w:val="209"/>
        </w:trPr>
        <w:tc>
          <w:tcPr>
            <w:tcW w:w="524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Enterprise (ERM)</w:t>
            </w:r>
          </w:p>
        </w:tc>
        <w:tc>
          <w:tcPr>
            <w:tcW w:w="120" w:type="dxa"/>
            <w:vAlign w:val="bottom"/>
          </w:tcPr>
          <w:p>
            <w:pPr>
              <w:spacing w:after="0"/>
              <w:rPr>
                <w:sz w:val="18"/>
                <w:szCs w:val="18"/>
                <w:color w:val="auto"/>
              </w:rPr>
            </w:pPr>
          </w:p>
        </w:tc>
        <w:tc>
          <w:tcPr>
            <w:tcW w:w="1380" w:type="dxa"/>
            <w:vAlign w:val="bottom"/>
            <w:tcBorders>
              <w:bottom w:val="single" w:sz="8" w:color="939598"/>
            </w:tcBorders>
          </w:tcPr>
          <w:p>
            <w:pPr>
              <w:jc w:val="center"/>
              <w:spacing w:after="0"/>
              <w:rPr>
                <w:sz w:val="20"/>
                <w:szCs w:val="20"/>
                <w:color w:val="auto"/>
              </w:rPr>
            </w:pPr>
            <w:r>
              <w:rPr>
                <w:rFonts w:ascii="Wingdings" w:cs="Wingdings" w:eastAsia="Wingdings" w:hAnsi="Wingdings"/>
                <w:sz w:val="16"/>
                <w:szCs w:val="16"/>
                <w:b w:val="1"/>
                <w:bCs w:val="1"/>
                <w:color w:val="004A98"/>
                <w:w w:val="99"/>
              </w:rPr>
              <w:t>l</w:t>
            </w:r>
          </w:p>
        </w:tc>
        <w:tc>
          <w:tcPr>
            <w:tcW w:w="100" w:type="dxa"/>
            <w:vAlign w:val="bottom"/>
          </w:tcPr>
          <w:p>
            <w:pPr>
              <w:spacing w:after="0"/>
              <w:rPr>
                <w:sz w:val="18"/>
                <w:szCs w:val="18"/>
                <w:color w:val="auto"/>
              </w:rPr>
            </w:pPr>
          </w:p>
        </w:tc>
        <w:tc>
          <w:tcPr>
            <w:tcW w:w="1380" w:type="dxa"/>
            <w:vAlign w:val="bottom"/>
            <w:tcBorders>
              <w:bottom w:val="single" w:sz="8" w:color="939598"/>
            </w:tcBorders>
          </w:tcPr>
          <w:p>
            <w:pPr>
              <w:jc w:val="center"/>
              <w:spacing w:after="0"/>
              <w:rPr>
                <w:sz w:val="20"/>
                <w:szCs w:val="20"/>
                <w:color w:val="auto"/>
              </w:rPr>
            </w:pPr>
            <w:r>
              <w:rPr>
                <w:rFonts w:ascii="Wingdings" w:cs="Wingdings" w:eastAsia="Wingdings" w:hAnsi="Wingdings"/>
                <w:sz w:val="16"/>
                <w:szCs w:val="16"/>
                <w:b w:val="1"/>
                <w:bCs w:val="1"/>
                <w:color w:val="004A98"/>
                <w:w w:val="99"/>
              </w:rPr>
              <w:t>l</w:t>
            </w:r>
          </w:p>
        </w:tc>
        <w:tc>
          <w:tcPr>
            <w:tcW w:w="120" w:type="dxa"/>
            <w:vAlign w:val="bottom"/>
          </w:tcPr>
          <w:p>
            <w:pPr>
              <w:spacing w:after="0"/>
              <w:rPr>
                <w:sz w:val="18"/>
                <w:szCs w:val="18"/>
                <w:color w:val="auto"/>
              </w:rPr>
            </w:pPr>
          </w:p>
        </w:tc>
        <w:tc>
          <w:tcPr>
            <w:tcW w:w="1380" w:type="dxa"/>
            <w:vAlign w:val="bottom"/>
            <w:tcBorders>
              <w:bottom w:val="single" w:sz="8" w:color="939598"/>
            </w:tcBorders>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bottom w:val="single" w:sz="8" w:color="939598"/>
            </w:tcBorders>
          </w:tcPr>
          <w:p>
            <w:pPr>
              <w:spacing w:after="0"/>
              <w:rPr>
                <w:sz w:val="18"/>
                <w:szCs w:val="18"/>
                <w:color w:val="auto"/>
              </w:rPr>
            </w:pPr>
          </w:p>
        </w:tc>
      </w:tr>
      <w:tr>
        <w:trPr>
          <w:trHeight w:val="210"/>
        </w:trPr>
        <w:tc>
          <w:tcPr>
            <w:tcW w:w="5240" w:type="dxa"/>
            <w:vAlign w:val="bottom"/>
            <w:tcBorders>
              <w:bottom w:val="single" w:sz="8" w:color="939598"/>
            </w:tcBorders>
            <w:shd w:val="clear" w:color="auto" w:fill="E6E7E8"/>
          </w:tcPr>
          <w:p>
            <w:pPr>
              <w:ind w:left="20"/>
              <w:spacing w:after="0"/>
              <w:rPr>
                <w:sz w:val="20"/>
                <w:szCs w:val="20"/>
                <w:color w:val="auto"/>
              </w:rPr>
            </w:pPr>
            <w:r>
              <w:rPr>
                <w:rFonts w:ascii="Arial" w:cs="Arial" w:eastAsia="Arial" w:hAnsi="Arial"/>
                <w:sz w:val="16"/>
                <w:szCs w:val="16"/>
                <w:color w:val="auto"/>
              </w:rPr>
              <w:t>Legal and Compliance</w:t>
            </w:r>
          </w:p>
        </w:tc>
        <w:tc>
          <w:tcPr>
            <w:tcW w:w="120" w:type="dxa"/>
            <w:vAlign w:val="bottom"/>
            <w:tcBorders>
              <w:right w:val="single" w:sz="8" w:color="E6E7E8"/>
            </w:tcBorders>
          </w:tcPr>
          <w:p>
            <w:pPr>
              <w:spacing w:after="0"/>
              <w:rPr>
                <w:sz w:val="18"/>
                <w:szCs w:val="18"/>
                <w:color w:val="auto"/>
              </w:rPr>
            </w:pPr>
          </w:p>
        </w:tc>
        <w:tc>
          <w:tcPr>
            <w:tcW w:w="1380" w:type="dxa"/>
            <w:vAlign w:val="bottom"/>
            <w:tcBorders>
              <w:bottom w:val="single" w:sz="8" w:color="939598"/>
            </w:tcBorders>
            <w:shd w:val="clear" w:color="auto" w:fill="E6E7E8"/>
          </w:tcPr>
          <w:p>
            <w:pPr>
              <w:spacing w:after="0"/>
              <w:rPr>
                <w:sz w:val="18"/>
                <w:szCs w:val="18"/>
                <w:color w:val="auto"/>
              </w:rPr>
            </w:pPr>
          </w:p>
        </w:tc>
        <w:tc>
          <w:tcPr>
            <w:tcW w:w="100" w:type="dxa"/>
            <w:vAlign w:val="bottom"/>
            <w:tcBorders>
              <w:right w:val="single" w:sz="8" w:color="E6E7E8"/>
            </w:tcBorders>
          </w:tcPr>
          <w:p>
            <w:pPr>
              <w:spacing w:after="0"/>
              <w:rPr>
                <w:sz w:val="18"/>
                <w:szCs w:val="18"/>
                <w:color w:val="auto"/>
              </w:rPr>
            </w:pPr>
          </w:p>
        </w:tc>
        <w:tc>
          <w:tcPr>
            <w:tcW w:w="1380" w:type="dxa"/>
            <w:vAlign w:val="bottom"/>
            <w:tcBorders>
              <w:bottom w:val="single" w:sz="8" w:color="939598"/>
            </w:tcBorders>
            <w:shd w:val="clear" w:color="auto" w:fill="E6E7E8"/>
          </w:tcPr>
          <w:p>
            <w:pPr>
              <w:jc w:val="center"/>
              <w:spacing w:after="0"/>
              <w:rPr>
                <w:sz w:val="20"/>
                <w:szCs w:val="20"/>
                <w:color w:val="auto"/>
              </w:rPr>
            </w:pPr>
            <w:r>
              <w:rPr>
                <w:rFonts w:ascii="Wingdings" w:cs="Wingdings" w:eastAsia="Wingdings" w:hAnsi="Wingdings"/>
                <w:sz w:val="16"/>
                <w:szCs w:val="16"/>
                <w:b w:val="1"/>
                <w:bCs w:val="1"/>
                <w:color w:val="004A98"/>
                <w:w w:val="99"/>
              </w:rPr>
              <w:t>l</w:t>
            </w:r>
          </w:p>
        </w:tc>
        <w:tc>
          <w:tcPr>
            <w:tcW w:w="120" w:type="dxa"/>
            <w:vAlign w:val="bottom"/>
            <w:tcBorders>
              <w:right w:val="single" w:sz="8" w:color="E6E7E8"/>
            </w:tcBorders>
          </w:tcPr>
          <w:p>
            <w:pPr>
              <w:spacing w:after="0"/>
              <w:rPr>
                <w:sz w:val="18"/>
                <w:szCs w:val="18"/>
                <w:color w:val="auto"/>
              </w:rPr>
            </w:pPr>
          </w:p>
        </w:tc>
        <w:tc>
          <w:tcPr>
            <w:tcW w:w="1380" w:type="dxa"/>
            <w:vAlign w:val="bottom"/>
            <w:tcBorders>
              <w:bottom w:val="single" w:sz="8" w:color="939598"/>
            </w:tcBorders>
            <w:shd w:val="clear" w:color="auto" w:fill="E6E7E8"/>
          </w:tcPr>
          <w:p>
            <w:pPr>
              <w:spacing w:after="0"/>
              <w:rPr>
                <w:sz w:val="18"/>
                <w:szCs w:val="18"/>
                <w:color w:val="auto"/>
              </w:rPr>
            </w:pPr>
          </w:p>
        </w:tc>
        <w:tc>
          <w:tcPr>
            <w:tcW w:w="100" w:type="dxa"/>
            <w:vAlign w:val="bottom"/>
            <w:tcBorders>
              <w:right w:val="single" w:sz="8" w:color="E6E7E8"/>
            </w:tcBorders>
          </w:tcPr>
          <w:p>
            <w:pPr>
              <w:spacing w:after="0"/>
              <w:rPr>
                <w:sz w:val="18"/>
                <w:szCs w:val="18"/>
                <w:color w:val="auto"/>
              </w:rPr>
            </w:pPr>
          </w:p>
        </w:tc>
        <w:tc>
          <w:tcPr>
            <w:tcW w:w="1400" w:type="dxa"/>
            <w:vAlign w:val="bottom"/>
            <w:tcBorders>
              <w:bottom w:val="single" w:sz="8" w:color="939598"/>
            </w:tcBorders>
            <w:shd w:val="clear" w:color="auto" w:fill="E6E7E8"/>
          </w:tcPr>
          <w:p>
            <w:pPr>
              <w:spacing w:after="0"/>
              <w:rPr>
                <w:sz w:val="18"/>
                <w:szCs w:val="18"/>
                <w:color w:val="auto"/>
              </w:rPr>
            </w:pPr>
          </w:p>
        </w:tc>
      </w:tr>
      <w:tr>
        <w:trPr>
          <w:trHeight w:val="209"/>
        </w:trPr>
        <w:tc>
          <w:tcPr>
            <w:tcW w:w="524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Compensation/Human Capital Management</w:t>
            </w:r>
          </w:p>
        </w:tc>
        <w:tc>
          <w:tcPr>
            <w:tcW w:w="120" w:type="dxa"/>
            <w:vAlign w:val="bottom"/>
          </w:tcPr>
          <w:p>
            <w:pPr>
              <w:spacing w:after="0"/>
              <w:rPr>
                <w:sz w:val="18"/>
                <w:szCs w:val="18"/>
                <w:color w:val="auto"/>
              </w:rPr>
            </w:pPr>
          </w:p>
        </w:tc>
        <w:tc>
          <w:tcPr>
            <w:tcW w:w="1380" w:type="dxa"/>
            <w:vAlign w:val="bottom"/>
            <w:tcBorders>
              <w:bottom w:val="single" w:sz="8" w:color="939598"/>
            </w:tcBorders>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tcBorders>
              <w:bottom w:val="single" w:sz="8" w:color="939598"/>
            </w:tcBorders>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Borders>
              <w:bottom w:val="single" w:sz="8" w:color="939598"/>
            </w:tcBorders>
          </w:tcPr>
          <w:p>
            <w:pPr>
              <w:jc w:val="center"/>
              <w:spacing w:after="0"/>
              <w:rPr>
                <w:sz w:val="20"/>
                <w:szCs w:val="20"/>
                <w:color w:val="auto"/>
              </w:rPr>
            </w:pPr>
            <w:r>
              <w:rPr>
                <w:rFonts w:ascii="Wingdings" w:cs="Wingdings" w:eastAsia="Wingdings" w:hAnsi="Wingdings"/>
                <w:sz w:val="16"/>
                <w:szCs w:val="16"/>
                <w:b w:val="1"/>
                <w:bCs w:val="1"/>
                <w:color w:val="004A98"/>
                <w:w w:val="99"/>
              </w:rPr>
              <w:t>l</w:t>
            </w:r>
          </w:p>
        </w:tc>
        <w:tc>
          <w:tcPr>
            <w:tcW w:w="100" w:type="dxa"/>
            <w:vAlign w:val="bottom"/>
          </w:tcPr>
          <w:p>
            <w:pPr>
              <w:spacing w:after="0"/>
              <w:rPr>
                <w:sz w:val="18"/>
                <w:szCs w:val="18"/>
                <w:color w:val="auto"/>
              </w:rPr>
            </w:pPr>
          </w:p>
        </w:tc>
        <w:tc>
          <w:tcPr>
            <w:tcW w:w="1400" w:type="dxa"/>
            <w:vAlign w:val="bottom"/>
            <w:tcBorders>
              <w:bottom w:val="single" w:sz="8" w:color="939598"/>
            </w:tcBorders>
          </w:tcPr>
          <w:p>
            <w:pPr>
              <w:spacing w:after="0"/>
              <w:rPr>
                <w:sz w:val="18"/>
                <w:szCs w:val="18"/>
                <w:color w:val="auto"/>
              </w:rPr>
            </w:pPr>
          </w:p>
        </w:tc>
      </w:tr>
      <w:tr>
        <w:trPr>
          <w:trHeight w:val="209"/>
        </w:trPr>
        <w:tc>
          <w:tcPr>
            <w:tcW w:w="5240" w:type="dxa"/>
            <w:vAlign w:val="bottom"/>
            <w:tcBorders>
              <w:bottom w:val="single" w:sz="8" w:color="939598"/>
            </w:tcBorders>
            <w:shd w:val="clear" w:color="auto" w:fill="E6E7E8"/>
          </w:tcPr>
          <w:p>
            <w:pPr>
              <w:ind w:left="20"/>
              <w:spacing w:after="0"/>
              <w:rPr>
                <w:sz w:val="20"/>
                <w:szCs w:val="20"/>
                <w:color w:val="auto"/>
              </w:rPr>
            </w:pPr>
            <w:r>
              <w:rPr>
                <w:rFonts w:ascii="Arial" w:cs="Arial" w:eastAsia="Arial" w:hAnsi="Arial"/>
                <w:sz w:val="16"/>
                <w:szCs w:val="16"/>
                <w:color w:val="auto"/>
              </w:rPr>
              <w:t>Strategic</w:t>
            </w:r>
          </w:p>
        </w:tc>
        <w:tc>
          <w:tcPr>
            <w:tcW w:w="120" w:type="dxa"/>
            <w:vAlign w:val="bottom"/>
            <w:tcBorders>
              <w:right w:val="single" w:sz="8" w:color="E6E7E8"/>
            </w:tcBorders>
          </w:tcPr>
          <w:p>
            <w:pPr>
              <w:spacing w:after="0"/>
              <w:rPr>
                <w:sz w:val="18"/>
                <w:szCs w:val="18"/>
                <w:color w:val="auto"/>
              </w:rPr>
            </w:pPr>
          </w:p>
        </w:tc>
        <w:tc>
          <w:tcPr>
            <w:tcW w:w="1380" w:type="dxa"/>
            <w:vAlign w:val="bottom"/>
            <w:tcBorders>
              <w:bottom w:val="single" w:sz="8" w:color="939598"/>
            </w:tcBorders>
            <w:shd w:val="clear" w:color="auto" w:fill="E6E7E8"/>
          </w:tcPr>
          <w:p>
            <w:pPr>
              <w:jc w:val="center"/>
              <w:spacing w:after="0"/>
              <w:rPr>
                <w:sz w:val="20"/>
                <w:szCs w:val="20"/>
                <w:color w:val="auto"/>
              </w:rPr>
            </w:pPr>
            <w:r>
              <w:rPr>
                <w:rFonts w:ascii="Wingdings" w:cs="Wingdings" w:eastAsia="Wingdings" w:hAnsi="Wingdings"/>
                <w:sz w:val="16"/>
                <w:szCs w:val="16"/>
                <w:b w:val="1"/>
                <w:bCs w:val="1"/>
                <w:color w:val="004A98"/>
                <w:w w:val="99"/>
              </w:rPr>
              <w:t>l</w:t>
            </w:r>
          </w:p>
        </w:tc>
        <w:tc>
          <w:tcPr>
            <w:tcW w:w="100" w:type="dxa"/>
            <w:vAlign w:val="bottom"/>
            <w:tcBorders>
              <w:right w:val="single" w:sz="8" w:color="E6E7E8"/>
            </w:tcBorders>
          </w:tcPr>
          <w:p>
            <w:pPr>
              <w:spacing w:after="0"/>
              <w:rPr>
                <w:sz w:val="18"/>
                <w:szCs w:val="18"/>
                <w:color w:val="auto"/>
              </w:rPr>
            </w:pPr>
          </w:p>
        </w:tc>
        <w:tc>
          <w:tcPr>
            <w:tcW w:w="1380" w:type="dxa"/>
            <w:vAlign w:val="bottom"/>
            <w:tcBorders>
              <w:bottom w:val="single" w:sz="8" w:color="939598"/>
            </w:tcBorders>
            <w:shd w:val="clear" w:color="auto" w:fill="E6E7E8"/>
          </w:tcPr>
          <w:p>
            <w:pPr>
              <w:spacing w:after="0"/>
              <w:rPr>
                <w:sz w:val="18"/>
                <w:szCs w:val="18"/>
                <w:color w:val="auto"/>
              </w:rPr>
            </w:pPr>
          </w:p>
        </w:tc>
        <w:tc>
          <w:tcPr>
            <w:tcW w:w="120" w:type="dxa"/>
            <w:vAlign w:val="bottom"/>
            <w:tcBorders>
              <w:right w:val="single" w:sz="8" w:color="E6E7E8"/>
            </w:tcBorders>
          </w:tcPr>
          <w:p>
            <w:pPr>
              <w:spacing w:after="0"/>
              <w:rPr>
                <w:sz w:val="18"/>
                <w:szCs w:val="18"/>
                <w:color w:val="auto"/>
              </w:rPr>
            </w:pPr>
          </w:p>
        </w:tc>
        <w:tc>
          <w:tcPr>
            <w:tcW w:w="1380" w:type="dxa"/>
            <w:vAlign w:val="bottom"/>
            <w:tcBorders>
              <w:bottom w:val="single" w:sz="8" w:color="939598"/>
            </w:tcBorders>
            <w:shd w:val="clear" w:color="auto" w:fill="E6E7E8"/>
          </w:tcPr>
          <w:p>
            <w:pPr>
              <w:spacing w:after="0"/>
              <w:rPr>
                <w:sz w:val="18"/>
                <w:szCs w:val="18"/>
                <w:color w:val="auto"/>
              </w:rPr>
            </w:pPr>
          </w:p>
        </w:tc>
        <w:tc>
          <w:tcPr>
            <w:tcW w:w="100" w:type="dxa"/>
            <w:vAlign w:val="bottom"/>
            <w:tcBorders>
              <w:right w:val="single" w:sz="8" w:color="E6E7E8"/>
            </w:tcBorders>
          </w:tcPr>
          <w:p>
            <w:pPr>
              <w:spacing w:after="0"/>
              <w:rPr>
                <w:sz w:val="18"/>
                <w:szCs w:val="18"/>
                <w:color w:val="auto"/>
              </w:rPr>
            </w:pPr>
          </w:p>
        </w:tc>
        <w:tc>
          <w:tcPr>
            <w:tcW w:w="1400" w:type="dxa"/>
            <w:vAlign w:val="bottom"/>
            <w:tcBorders>
              <w:bottom w:val="single" w:sz="8" w:color="939598"/>
            </w:tcBorders>
            <w:shd w:val="clear" w:color="auto" w:fill="E6E7E8"/>
          </w:tcPr>
          <w:p>
            <w:pPr>
              <w:spacing w:after="0"/>
              <w:rPr>
                <w:sz w:val="18"/>
                <w:szCs w:val="18"/>
                <w:color w:val="auto"/>
              </w:rPr>
            </w:pPr>
          </w:p>
        </w:tc>
      </w:tr>
    </w:tbl>
    <w:p>
      <w:pPr>
        <w:spacing w:after="0" w:line="296"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Enterprise Risk Management Program Summary</w:t>
      </w:r>
    </w:p>
    <w:p>
      <w:pPr>
        <w:spacing w:after="0" w:line="112" w:lineRule="exact"/>
        <w:rPr>
          <w:sz w:val="20"/>
          <w:szCs w:val="20"/>
          <w:color w:val="auto"/>
        </w:rPr>
      </w:pPr>
    </w:p>
    <w:p>
      <w:pPr>
        <w:ind w:right="40"/>
        <w:spacing w:after="0" w:line="259" w:lineRule="auto"/>
        <w:rPr>
          <w:sz w:val="20"/>
          <w:szCs w:val="20"/>
          <w:color w:val="auto"/>
        </w:rPr>
      </w:pPr>
      <w:r>
        <w:rPr>
          <w:rFonts w:ascii="Arial" w:cs="Arial" w:eastAsia="Arial" w:hAnsi="Arial"/>
          <w:sz w:val="16"/>
          <w:szCs w:val="16"/>
          <w:color w:val="auto"/>
        </w:rPr>
        <w:t>The Audit Committee oversees the ERM program and reviews ERM program activities and risks on a quarterly basis. The Board receives ERM program and risk updates annually, and as warranted, from the Chair of the Audit Committee during each Board meeting. Under our ERM program, which is based on the COSO framework, Management identifies and defines enterprise level risks and assigns each a risk rating based on an assessment scale that considers the likelihood and impact using predefined criteria. Risk ratings are reviewed quarterly, or more frequently as needed, by scoring specific risk indicators. Risk mitigation project plans are prepared for each enterprise risk under the purview of risk owners and executive sponsors. Progress against such plans is reviewed and recorded. In addition, Management maintains a comprehensive risk inventory containing potential risks that are scored by the executive team using an internally developed risk assessment tool. The results from this scoring are reviewed with executive leadership to determine trends or emerging enterprise-level risks. Our ERM program is established by a corporate policy and program charter and is periodically reviewed by our internal audit team.</w:t>
      </w:r>
    </w:p>
    <w:p>
      <w:pPr>
        <w:spacing w:after="0" w:line="62"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Management Succession Planning</w:t>
      </w:r>
    </w:p>
    <w:p>
      <w:pPr>
        <w:spacing w:after="0" w:line="141" w:lineRule="exact"/>
        <w:rPr>
          <w:sz w:val="20"/>
          <w:szCs w:val="20"/>
          <w:color w:val="auto"/>
        </w:rPr>
      </w:pPr>
    </w:p>
    <w:p>
      <w:pPr>
        <w:ind w:right="200"/>
        <w:spacing w:after="0" w:line="259" w:lineRule="auto"/>
        <w:rPr>
          <w:sz w:val="20"/>
          <w:szCs w:val="20"/>
          <w:color w:val="auto"/>
        </w:rPr>
      </w:pPr>
      <w:r>
        <w:rPr>
          <w:rFonts w:ascii="Arial" w:cs="Arial" w:eastAsia="Arial" w:hAnsi="Arial"/>
          <w:sz w:val="16"/>
          <w:szCs w:val="16"/>
          <w:color w:val="auto"/>
        </w:rPr>
        <w:t>The Board recognizes the importance of the effectiveness of the Company’s executive leaders for the Company’s success, and the Board is actively engaged in executive succession planning. The Board has delegated to the Corporate Governance and Nominating Committee responsibility for reviewing and assessing the management development and succession planning process for senior management. As part of the succession planning process, the Corporate Governance and Nominating Committee works closely with our Management, including our Senior Vice President, Chief Human Resources Officer, to identify succession candidates for senior management other than the Executive Chairman, President and Chief Executive Officer. Although the Board retains responsibility for identifying succession candidates for the Executive Chairman, President and Chief Executive Officer, the Corporate Governance and Nominating Committee is charged with developing the processes to identify succession candidates.</w:t>
      </w:r>
    </w:p>
    <w:p>
      <w:pPr>
        <w:spacing w:after="0" w:line="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Ethics and Compliance Oversight</w:t>
      </w:r>
    </w:p>
    <w:p>
      <w:pPr>
        <w:spacing w:after="0" w:line="14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As part of our commitment to Verisign’s mission and values, we are focused on promoting a culture of ethics and compliance. Our Code of Conduct, which is applicable to directors, executive officers, and employees, represents our values and outlines our approach to ethical conduct and compliance with legal and regulatory requirements, including non-retaliation, anti-corruption, and other similar areas. We have a designated Compliance Officer, who is responsible for implementing and maintaining our ethics and compliance program. The Board oversees our ethics and compliance program (including our Verisign Ethics and Compliance Helpline) primarily through the Audit Committee, which receives quarterly updates from the Compliance Officer and regularly discusses with</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Management the program and its effectiveness</w:t>
      </w:r>
      <w:r>
        <w:rPr>
          <w:rFonts w:ascii="Arial" w:cs="Arial" w:eastAsia="Arial" w:hAnsi="Arial"/>
          <w:sz w:val="17"/>
          <w:szCs w:val="17"/>
          <w:color w:val="auto"/>
        </w:rPr>
        <w:t>.</w:t>
      </w:r>
    </w:p>
    <w:p>
      <w:pPr>
        <w:spacing w:after="0" w:line="160"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Corporate Stewardship and Responsibility</w:t>
      </w:r>
    </w:p>
    <w:p>
      <w:pPr>
        <w:spacing w:after="0" w:line="168" w:lineRule="exact"/>
        <w:rPr>
          <w:sz w:val="20"/>
          <w:szCs w:val="20"/>
          <w:color w:val="auto"/>
        </w:rPr>
      </w:pPr>
    </w:p>
    <w:p>
      <w:pPr>
        <w:ind w:right="160"/>
        <w:spacing w:after="0" w:line="247" w:lineRule="auto"/>
        <w:rPr>
          <w:sz w:val="20"/>
          <w:szCs w:val="20"/>
          <w:color w:val="auto"/>
        </w:rPr>
      </w:pPr>
      <w:r>
        <w:rPr>
          <w:rFonts w:ascii="Arial" w:cs="Arial" w:eastAsia="Arial" w:hAnsi="Arial"/>
          <w:sz w:val="16"/>
          <w:szCs w:val="16"/>
          <w:color w:val="auto"/>
        </w:rPr>
        <w:t>Stewardship is at the core of our mission and values. Just as we serve as stewards of the internet and our business -– upon which billions of internet users depend -– we are also committed to our people and to the communities where we live and work. We focus our actions and resources on key priority areas. The Board has overall oversight of these activities while the Corporate Governance and Nominating Committee exercises general oversight with specified priority areas overseen by other committees. For more information, please visit the Corporate Stewardship and Responsibility section of our webpage at https://investor.verisign.com/stewardship.</w:t>
      </w:r>
    </w:p>
    <w:p>
      <w:pPr>
        <w:spacing w:after="0" w:line="206"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Corporate Governance</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Other Governance and Ethics Policies and Practices</w:t>
      </w:r>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Code of Conduct</w:t>
      </w:r>
    </w:p>
    <w:p>
      <w:pPr>
        <w:spacing w:after="0" w:line="128" w:lineRule="exact"/>
        <w:rPr>
          <w:sz w:val="20"/>
          <w:szCs w:val="20"/>
          <w:color w:val="auto"/>
        </w:rPr>
      </w:pPr>
    </w:p>
    <w:p>
      <w:pPr>
        <w:ind w:right="440"/>
        <w:spacing w:after="0" w:line="275" w:lineRule="auto"/>
        <w:rPr>
          <w:sz w:val="20"/>
          <w:szCs w:val="20"/>
          <w:color w:val="auto"/>
        </w:rPr>
      </w:pPr>
      <w:r>
        <w:rPr>
          <w:rFonts w:ascii="Arial" w:cs="Arial" w:eastAsia="Arial" w:hAnsi="Arial"/>
          <w:sz w:val="16"/>
          <w:szCs w:val="16"/>
          <w:color w:val="auto"/>
        </w:rPr>
        <w:t>We adopted a written Code of Conduct, which is posted on our Investor Relations website under “Ethics and Business Conduct” at https://investor.verisign.com/corporate-governance. The Code of Conduct applies to all of our directors, officers, and employees, including our principal executive officer, principal financial officer, and other senior accounting officers.</w:t>
      </w:r>
    </w:p>
    <w:p>
      <w:pPr>
        <w:spacing w:after="0" w:line="56"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We intend to satisfy any disclosure requirement under Item 5.05 of Form 8-K regarding an amendment to, or waiver from, a provision of the Code of Conduct, to the extent applicable to the principal executive officer, principal financial officer, or other senior accounting officers, by posting such information on our Investor Relations website within four business days under “Ethics and Business Conduct” at https://investor.verisign.com/corporate-governance.</w:t>
      </w:r>
    </w:p>
    <w:p>
      <w:pPr>
        <w:spacing w:after="0" w:line="59"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Transactions with Related Persons</w:t>
      </w:r>
    </w:p>
    <w:p>
      <w:pPr>
        <w:spacing w:after="0" w:line="127"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Policies and Procedures with Respect to Transactions with Related Persons</w:t>
      </w:r>
    </w:p>
    <w:p>
      <w:pPr>
        <w:spacing w:after="0" w:line="112" w:lineRule="exact"/>
        <w:rPr>
          <w:sz w:val="20"/>
          <w:szCs w:val="20"/>
          <w:color w:val="auto"/>
        </w:rPr>
      </w:pPr>
    </w:p>
    <w:p>
      <w:pPr>
        <w:jc w:val="both"/>
        <w:ind w:right="260"/>
        <w:spacing w:after="0" w:line="275" w:lineRule="auto"/>
        <w:rPr>
          <w:sz w:val="20"/>
          <w:szCs w:val="20"/>
          <w:color w:val="auto"/>
        </w:rPr>
      </w:pPr>
      <w:r>
        <w:rPr>
          <w:rFonts w:ascii="Arial" w:cs="Arial" w:eastAsia="Arial" w:hAnsi="Arial"/>
          <w:sz w:val="16"/>
          <w:szCs w:val="16"/>
          <w:color w:val="auto"/>
        </w:rPr>
        <w:t xml:space="preserve">Our Audit Committee has approved a written </w:t>
      </w:r>
      <w:r>
        <w:rPr>
          <w:rFonts w:ascii="Arial" w:cs="Arial" w:eastAsia="Arial" w:hAnsi="Arial"/>
          <w:sz w:val="16"/>
          <w:szCs w:val="16"/>
          <w:i w:val="1"/>
          <w:iCs w:val="1"/>
          <w:color w:val="auto"/>
        </w:rPr>
        <w:t>Policy for Entering into Transactions with Related Persons</w:t>
      </w:r>
      <w:r>
        <w:rPr>
          <w:rFonts w:ascii="Arial" w:cs="Arial" w:eastAsia="Arial" w:hAnsi="Arial"/>
          <w:sz w:val="16"/>
          <w:szCs w:val="16"/>
          <w:color w:val="auto"/>
        </w:rPr>
        <w:t xml:space="preserve"> (the “Related Person Transaction Policy”), which sets forth the requirements for review, approval, or ratification of transactions between our Company and “related persons,” as such term is defined under Item 404 of Regulation S-K.</w:t>
      </w:r>
    </w:p>
    <w:p>
      <w:pPr>
        <w:spacing w:after="0" w:line="56" w:lineRule="exact"/>
        <w:rPr>
          <w:sz w:val="20"/>
          <w:szCs w:val="20"/>
          <w:color w:val="auto"/>
        </w:rPr>
      </w:pPr>
    </w:p>
    <w:p>
      <w:pPr>
        <w:spacing w:after="0" w:line="258" w:lineRule="auto"/>
        <w:rPr>
          <w:sz w:val="20"/>
          <w:szCs w:val="20"/>
          <w:color w:val="auto"/>
        </w:rPr>
      </w:pPr>
      <w:r>
        <w:rPr>
          <w:rFonts w:ascii="Arial" w:cs="Arial" w:eastAsia="Arial" w:hAnsi="Arial"/>
          <w:sz w:val="16"/>
          <w:szCs w:val="16"/>
          <w:color w:val="auto"/>
        </w:rPr>
        <w:t>The Related Person Transaction Policy requires the Audit Committee to review, approve, or ratify the terms of any transaction, arrangement, or relationship or series of similar transactions, arrangements, or relationships (including any indebtedness or guarantee of indebtedness) in which (i) Verisign was or is to be a participant, (ii) the amount involved exceeds $120,000, and (iii) a related person has or will have a direct or indirect material interest (“Related Person Transaction”), except for those transactions, arrangements, or relationships specifically listed in the Related Person Transaction Policy as not requiring approval or ratification by the Audit Committee. In determining whether to approve or ratify a Related Person Transaction, the Audit Committee is required to take into account, among other factors it deems appropriate, whether the Related Person Transaction terms are no more favorable to the related person than terms generally available to an unaffiliated third-party under the same or similar circumstances and the materiality of the related person’s direct or indirect interest in the transaction. A related person who has a relationship with a company that engages in a transaction with Verisign is not deemed to have an indirect material interest in that transaction where the person’s only relationship is as a director or beneficial owner of less than 10% of that company’s equity interests.</w:t>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The Related Person Transaction Policy requires prior approval of the Audit Committee for the following Related Person Transactions:</w:t>
      </w:r>
    </w:p>
    <w:p>
      <w:pPr>
        <w:spacing w:after="0" w:line="127" w:lineRule="exact"/>
        <w:rPr>
          <w:sz w:val="20"/>
          <w:szCs w:val="20"/>
          <w:color w:val="auto"/>
        </w:rPr>
      </w:pPr>
    </w:p>
    <w:p>
      <w:pPr>
        <w:ind w:left="200" w:right="100" w:hanging="192"/>
        <w:spacing w:after="0" w:line="265" w:lineRule="auto"/>
        <w:tabs>
          <w:tab w:leader="none" w:pos="170" w:val="left"/>
        </w:tabs>
        <w:numPr>
          <w:ilvl w:val="0"/>
          <w:numId w:val="22"/>
        </w:numPr>
        <w:rPr>
          <w:rFonts w:ascii="Arial" w:cs="Arial" w:eastAsia="Arial" w:hAnsi="Arial"/>
          <w:sz w:val="16"/>
          <w:szCs w:val="16"/>
          <w:color w:val="004A98"/>
        </w:rPr>
      </w:pPr>
      <w:r>
        <w:rPr>
          <w:rFonts w:ascii="Arial" w:cs="Arial" w:eastAsia="Arial" w:hAnsi="Arial"/>
          <w:sz w:val="16"/>
          <w:szCs w:val="16"/>
          <w:color w:val="auto"/>
        </w:rPr>
        <w:t>Any Related Person Transaction to which a related person is a named party to the underlying agreement or arrangement, provided that certain agreements or arrangements between Verisign and a related person concerning employment and any compensation solely resulting from employment or concerning compensation as a member of the Board that have, in each case, been entered into or approved in accordance with policies of Verisign is not subject to prior approval of the Audit Committee;</w:t>
      </w:r>
    </w:p>
    <w:p>
      <w:pPr>
        <w:spacing w:after="0" w:line="24" w:lineRule="exact"/>
        <w:rPr>
          <w:rFonts w:ascii="Arial" w:cs="Arial" w:eastAsia="Arial" w:hAnsi="Arial"/>
          <w:sz w:val="16"/>
          <w:szCs w:val="16"/>
          <w:color w:val="004A98"/>
        </w:rPr>
      </w:pPr>
    </w:p>
    <w:p>
      <w:pPr>
        <w:ind w:left="200" w:right="500" w:hanging="192"/>
        <w:spacing w:after="0" w:line="304" w:lineRule="auto"/>
        <w:tabs>
          <w:tab w:leader="none" w:pos="170" w:val="left"/>
        </w:tabs>
        <w:numPr>
          <w:ilvl w:val="0"/>
          <w:numId w:val="22"/>
        </w:numPr>
        <w:rPr>
          <w:rFonts w:ascii="Arial" w:cs="Arial" w:eastAsia="Arial" w:hAnsi="Arial"/>
          <w:sz w:val="16"/>
          <w:szCs w:val="16"/>
          <w:color w:val="004A98"/>
        </w:rPr>
      </w:pPr>
      <w:r>
        <w:rPr>
          <w:rFonts w:ascii="Arial" w:cs="Arial" w:eastAsia="Arial" w:hAnsi="Arial"/>
          <w:sz w:val="16"/>
          <w:szCs w:val="16"/>
          <w:color w:val="auto"/>
        </w:rPr>
        <w:t>Any Related Person Transaction involving an indirect material interest of a related person where the terms of the agreement or arrangement are not negotiated on an arm’s length basis or where the Related Person Transaction is not a transaction in the ordinary course of business; and</w:t>
      </w:r>
    </w:p>
    <w:p>
      <w:pPr>
        <w:spacing w:after="0" w:line="6" w:lineRule="exact"/>
        <w:rPr>
          <w:rFonts w:ascii="Arial" w:cs="Arial" w:eastAsia="Arial" w:hAnsi="Arial"/>
          <w:sz w:val="16"/>
          <w:szCs w:val="16"/>
          <w:color w:val="004A98"/>
        </w:rPr>
      </w:pPr>
    </w:p>
    <w:p>
      <w:pPr>
        <w:ind w:left="180" w:hanging="172"/>
        <w:spacing w:after="0"/>
        <w:tabs>
          <w:tab w:leader="none" w:pos="180" w:val="left"/>
        </w:tabs>
        <w:numPr>
          <w:ilvl w:val="0"/>
          <w:numId w:val="22"/>
        </w:numPr>
        <w:rPr>
          <w:rFonts w:ascii="Arial" w:cs="Arial" w:eastAsia="Arial" w:hAnsi="Arial"/>
          <w:sz w:val="16"/>
          <w:szCs w:val="16"/>
          <w:b w:val="1"/>
          <w:bCs w:val="1"/>
          <w:color w:val="004A98"/>
        </w:rPr>
      </w:pPr>
      <w:r>
        <w:rPr>
          <w:rFonts w:ascii="Arial" w:cs="Arial" w:eastAsia="Arial" w:hAnsi="Arial"/>
          <w:sz w:val="16"/>
          <w:szCs w:val="16"/>
          <w:color w:val="auto"/>
        </w:rPr>
        <w:t>Any Related Person Transaction where the total transaction value exceeds $1,000,000.</w:t>
      </w:r>
    </w:p>
    <w:p>
      <w:pPr>
        <w:spacing w:after="0" w:line="113" w:lineRule="exact"/>
        <w:rPr>
          <w:sz w:val="20"/>
          <w:szCs w:val="20"/>
          <w:color w:val="auto"/>
        </w:rPr>
      </w:pPr>
    </w:p>
    <w:p>
      <w:pPr>
        <w:ind w:right="480"/>
        <w:spacing w:after="0" w:line="286" w:lineRule="auto"/>
        <w:rPr>
          <w:sz w:val="20"/>
          <w:szCs w:val="20"/>
          <w:color w:val="auto"/>
        </w:rPr>
      </w:pPr>
      <w:r>
        <w:rPr>
          <w:rFonts w:ascii="Arial" w:cs="Arial" w:eastAsia="Arial" w:hAnsi="Arial"/>
          <w:sz w:val="16"/>
          <w:szCs w:val="16"/>
          <w:color w:val="auto"/>
        </w:rPr>
        <w:t>On a quarterly basis, the Audit Committee is required to review and, if determined by the Audit Committee to be appropriate, ratify any Related Person Transactions not requiring prior approval of the Audit Committee under the Related Person Transaction Policy.</w:t>
      </w:r>
    </w:p>
    <w:p>
      <w:pPr>
        <w:spacing w:after="0" w:line="61"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In the event that Verisign proposes to enter into a transaction with a related person who is a member of the Audit Committee or an immediate family member of a member of the Audit Committee, prior approval by a majority of the disinterested members of the Board is required. No Audit Committee member nor his or her immediate family member, who is a party to a proposed transaction, may participate in any discussion or approval of such transaction, except to provide all material information concerning the Related Person Transaction.</w:t>
      </w:r>
    </w:p>
    <w:p>
      <w:pPr>
        <w:spacing w:after="0" w:line="200" w:lineRule="exact"/>
        <w:rPr>
          <w:sz w:val="20"/>
          <w:szCs w:val="20"/>
          <w:color w:val="auto"/>
        </w:rPr>
      </w:pPr>
    </w:p>
    <w:p>
      <w:pPr>
        <w:spacing w:after="0" w:line="248"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22</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Corporate Governance</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Related Person Transactions do not require approval or ratification by the Audit Committee:</w:t>
      </w:r>
    </w:p>
    <w:p>
      <w:pPr>
        <w:spacing w:after="0" w:line="113" w:lineRule="exact"/>
        <w:rPr>
          <w:sz w:val="20"/>
          <w:szCs w:val="20"/>
          <w:color w:val="auto"/>
        </w:rPr>
      </w:pPr>
    </w:p>
    <w:p>
      <w:pPr>
        <w:ind w:left="200" w:right="200" w:hanging="192"/>
        <w:spacing w:after="0" w:line="304" w:lineRule="auto"/>
        <w:tabs>
          <w:tab w:leader="none" w:pos="170" w:val="left"/>
        </w:tabs>
        <w:numPr>
          <w:ilvl w:val="0"/>
          <w:numId w:val="23"/>
        </w:numPr>
        <w:rPr>
          <w:rFonts w:ascii="Arial" w:cs="Arial" w:eastAsia="Arial" w:hAnsi="Arial"/>
          <w:sz w:val="16"/>
          <w:szCs w:val="16"/>
          <w:b w:val="1"/>
          <w:bCs w:val="1"/>
          <w:color w:val="004A98"/>
        </w:rPr>
      </w:pPr>
      <w:r>
        <w:rPr>
          <w:rFonts w:ascii="Arial" w:cs="Arial" w:eastAsia="Arial" w:hAnsi="Arial"/>
          <w:sz w:val="16"/>
          <w:szCs w:val="16"/>
          <w:color w:val="auto"/>
        </w:rPr>
        <w:t>Payment of compensation to executive officers in connection with their employment with Verisign, provided that the compensation has been approved in accordance with policies of Verisign.</w:t>
      </w:r>
    </w:p>
    <w:p>
      <w:pPr>
        <w:spacing w:after="0" w:line="6" w:lineRule="exact"/>
        <w:rPr>
          <w:rFonts w:ascii="Arial" w:cs="Arial" w:eastAsia="Arial" w:hAnsi="Arial"/>
          <w:sz w:val="16"/>
          <w:szCs w:val="16"/>
          <w:b w:val="1"/>
          <w:bCs w:val="1"/>
          <w:color w:val="004A98"/>
        </w:rPr>
      </w:pPr>
    </w:p>
    <w:p>
      <w:pPr>
        <w:ind w:left="200" w:right="100" w:hanging="192"/>
        <w:spacing w:after="0" w:line="286" w:lineRule="auto"/>
        <w:tabs>
          <w:tab w:leader="none" w:pos="170" w:val="left"/>
        </w:tabs>
        <w:numPr>
          <w:ilvl w:val="0"/>
          <w:numId w:val="23"/>
        </w:numPr>
        <w:rPr>
          <w:rFonts w:ascii="Arial" w:cs="Arial" w:eastAsia="Arial" w:hAnsi="Arial"/>
          <w:sz w:val="16"/>
          <w:szCs w:val="16"/>
          <w:b w:val="1"/>
          <w:bCs w:val="1"/>
          <w:color w:val="004A98"/>
        </w:rPr>
      </w:pPr>
      <w:r>
        <w:rPr>
          <w:rFonts w:ascii="Arial" w:cs="Arial" w:eastAsia="Arial" w:hAnsi="Arial"/>
          <w:sz w:val="16"/>
          <w:szCs w:val="16"/>
          <w:color w:val="auto"/>
        </w:rPr>
        <w:t>Remuneration to directors in connection with their service on the Board, provided that the remuneration has been approved in accordance with policies of Verisign.</w:t>
      </w:r>
    </w:p>
    <w:p>
      <w:pPr>
        <w:spacing w:after="0" w:line="20" w:lineRule="exact"/>
        <w:rPr>
          <w:rFonts w:ascii="Arial" w:cs="Arial" w:eastAsia="Arial" w:hAnsi="Arial"/>
          <w:sz w:val="16"/>
          <w:szCs w:val="16"/>
          <w:b w:val="1"/>
          <w:bCs w:val="1"/>
          <w:color w:val="004A98"/>
        </w:rPr>
      </w:pPr>
    </w:p>
    <w:p>
      <w:pPr>
        <w:ind w:left="200" w:right="420" w:hanging="192"/>
        <w:spacing w:after="0" w:line="286" w:lineRule="auto"/>
        <w:tabs>
          <w:tab w:leader="none" w:pos="170" w:val="left"/>
        </w:tabs>
        <w:numPr>
          <w:ilvl w:val="0"/>
          <w:numId w:val="23"/>
        </w:numPr>
        <w:rPr>
          <w:rFonts w:ascii="Arial" w:cs="Arial" w:eastAsia="Arial" w:hAnsi="Arial"/>
          <w:sz w:val="16"/>
          <w:szCs w:val="16"/>
          <w:b w:val="1"/>
          <w:bCs w:val="1"/>
          <w:color w:val="004A98"/>
        </w:rPr>
      </w:pPr>
      <w:r>
        <w:rPr>
          <w:rFonts w:ascii="Arial" w:cs="Arial" w:eastAsia="Arial" w:hAnsi="Arial"/>
          <w:sz w:val="16"/>
          <w:szCs w:val="16"/>
          <w:color w:val="auto"/>
        </w:rPr>
        <w:t>Reimbursement of expenses incurred in exercising duties as an officer or director of Verisign, provided that the reimbursement has been approved in accordance with policies of Verisign.</w:t>
      </w:r>
    </w:p>
    <w:p>
      <w:pPr>
        <w:spacing w:after="0" w:line="7" w:lineRule="exact"/>
        <w:rPr>
          <w:rFonts w:ascii="Arial" w:cs="Arial" w:eastAsia="Arial" w:hAnsi="Arial"/>
          <w:sz w:val="16"/>
          <w:szCs w:val="16"/>
          <w:b w:val="1"/>
          <w:bCs w:val="1"/>
          <w:color w:val="004A98"/>
        </w:rPr>
      </w:pPr>
    </w:p>
    <w:p>
      <w:pPr>
        <w:ind w:left="200" w:right="160" w:hanging="192"/>
        <w:spacing w:after="0" w:line="268" w:lineRule="auto"/>
        <w:tabs>
          <w:tab w:leader="none" w:pos="170" w:val="left"/>
        </w:tabs>
        <w:numPr>
          <w:ilvl w:val="0"/>
          <w:numId w:val="23"/>
        </w:numPr>
        <w:rPr>
          <w:rFonts w:ascii="Arial" w:cs="Arial" w:eastAsia="Arial" w:hAnsi="Arial"/>
          <w:sz w:val="16"/>
          <w:szCs w:val="16"/>
          <w:b w:val="1"/>
          <w:bCs w:val="1"/>
          <w:color w:val="004A98"/>
        </w:rPr>
      </w:pPr>
      <w:r>
        <w:rPr>
          <w:rFonts w:ascii="Arial" w:cs="Arial" w:eastAsia="Arial" w:hAnsi="Arial"/>
          <w:sz w:val="16"/>
          <w:szCs w:val="16"/>
          <w:color w:val="auto"/>
        </w:rPr>
        <w:t>Any transaction with a related person involving services as a bank depository of funds, transfer agent, registrar, trustee under a trust indenture, or similar services.</w:t>
      </w:r>
    </w:p>
    <w:p>
      <w:pPr>
        <w:spacing w:after="0" w:line="34" w:lineRule="exact"/>
        <w:rPr>
          <w:rFonts w:ascii="Arial" w:cs="Arial" w:eastAsia="Arial" w:hAnsi="Arial"/>
          <w:sz w:val="16"/>
          <w:szCs w:val="16"/>
          <w:b w:val="1"/>
          <w:bCs w:val="1"/>
          <w:color w:val="004A98"/>
        </w:rPr>
      </w:pPr>
    </w:p>
    <w:p>
      <w:pPr>
        <w:ind w:left="200" w:right="640" w:hanging="192"/>
        <w:spacing w:after="0" w:line="286" w:lineRule="auto"/>
        <w:tabs>
          <w:tab w:leader="none" w:pos="170" w:val="left"/>
        </w:tabs>
        <w:numPr>
          <w:ilvl w:val="0"/>
          <w:numId w:val="23"/>
        </w:numPr>
        <w:rPr>
          <w:rFonts w:ascii="Arial" w:cs="Arial" w:eastAsia="Arial" w:hAnsi="Arial"/>
          <w:sz w:val="16"/>
          <w:szCs w:val="16"/>
          <w:b w:val="1"/>
          <w:bCs w:val="1"/>
          <w:color w:val="004A98"/>
        </w:rPr>
      </w:pPr>
      <w:r>
        <w:rPr>
          <w:rFonts w:ascii="Arial" w:cs="Arial" w:eastAsia="Arial" w:hAnsi="Arial"/>
          <w:sz w:val="16"/>
          <w:szCs w:val="16"/>
          <w:color w:val="auto"/>
        </w:rPr>
        <w:t>Any transaction involving a related person where the rates or charges involved are determined by competitive bids, or the transaction involves the rendering of services as a common or contract carrier, or public utility, at rates or charges fixed in conformity with law or governmental authority.</w:t>
      </w:r>
    </w:p>
    <w:p>
      <w:pPr>
        <w:spacing w:after="0" w:line="20" w:lineRule="exact"/>
        <w:rPr>
          <w:rFonts w:ascii="Arial" w:cs="Arial" w:eastAsia="Arial" w:hAnsi="Arial"/>
          <w:sz w:val="16"/>
          <w:szCs w:val="16"/>
          <w:b w:val="1"/>
          <w:bCs w:val="1"/>
          <w:color w:val="004A98"/>
        </w:rPr>
      </w:pPr>
    </w:p>
    <w:p>
      <w:pPr>
        <w:ind w:left="200" w:right="380" w:hanging="192"/>
        <w:spacing w:after="0" w:line="286" w:lineRule="auto"/>
        <w:tabs>
          <w:tab w:leader="none" w:pos="170" w:val="left"/>
        </w:tabs>
        <w:numPr>
          <w:ilvl w:val="0"/>
          <w:numId w:val="23"/>
        </w:numPr>
        <w:rPr>
          <w:rFonts w:ascii="Arial" w:cs="Arial" w:eastAsia="Arial" w:hAnsi="Arial"/>
          <w:sz w:val="16"/>
          <w:szCs w:val="16"/>
          <w:b w:val="1"/>
          <w:bCs w:val="1"/>
          <w:color w:val="004A98"/>
        </w:rPr>
      </w:pPr>
      <w:r>
        <w:rPr>
          <w:rFonts w:ascii="Arial" w:cs="Arial" w:eastAsia="Arial" w:hAnsi="Arial"/>
          <w:sz w:val="16"/>
          <w:szCs w:val="16"/>
          <w:color w:val="auto"/>
        </w:rPr>
        <w:t>Any transaction where the related person’s interest arises solely from the ownership of Verisign’s common stock and all holders of Verisign’s common stock received the same benefit on a pro rata basis (e.g., dividends).</w:t>
      </w:r>
    </w:p>
    <w:p>
      <w:pPr>
        <w:spacing w:after="0" w:line="61"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There are no transactions required to be reported under Item 404(a) of Regulation S-K where the Related Person Transaction Policy did not require review, approval or ratification, or where the Related Person Transaction Policy was not followed, since January 1, 2024.</w:t>
      </w:r>
    </w:p>
    <w:p>
      <w:pPr>
        <w:spacing w:after="0" w:line="60"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Certain Relationships and Related Transactions</w:t>
      </w:r>
    </w:p>
    <w:p>
      <w:pPr>
        <w:spacing w:after="0" w:line="11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Since January 1, 2024, there has not been, nor is there currently proposed, any transaction or series of similar transactions to which we or any of our subsidiaries are or were to be a party in which the amount involved exceeded or will exceed $120,000 and in which any director, executive officer or beneficial holder of more than 5% of the common stock of Verisign or any member of the immediate family of any of the foregoing persons had or will have a direct or indirect material interest.</w:t>
      </w:r>
    </w:p>
    <w:p>
      <w:pPr>
        <w:spacing w:after="0" w:line="5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Communicating with the Board</w:t>
      </w:r>
    </w:p>
    <w:p>
      <w:pPr>
        <w:spacing w:after="0" w:line="141" w:lineRule="exact"/>
        <w:rPr>
          <w:sz w:val="20"/>
          <w:szCs w:val="20"/>
          <w:color w:val="auto"/>
        </w:rPr>
      </w:pPr>
    </w:p>
    <w:p>
      <w:pPr>
        <w:ind w:right="140"/>
        <w:spacing w:after="0" w:line="265" w:lineRule="auto"/>
        <w:rPr>
          <w:sz w:val="20"/>
          <w:szCs w:val="20"/>
          <w:color w:val="auto"/>
        </w:rPr>
      </w:pPr>
      <w:r>
        <w:rPr>
          <w:rFonts w:ascii="Arial" w:cs="Arial" w:eastAsia="Arial" w:hAnsi="Arial"/>
          <w:sz w:val="16"/>
          <w:szCs w:val="16"/>
          <w:color w:val="auto"/>
        </w:rPr>
        <w:t>Any stockholder who desires to contact the Board may do so electronically by sending an email to bod@verisign.com. Alternatively, a stockholder may contact the Board by writing to: Board of Directors, VeriSign, Inc., 12061 Bluemont Way, Reston, Virginia 20190, Attention: Secretary. Communications received electronically or in writing are distributed to the Chairman of the Board or other members of the Board, as appropriate, depending on the facts and circumstances outlined in the communication received.</w:t>
      </w:r>
    </w:p>
    <w:p>
      <w:pPr>
        <w:spacing w:after="0" w:line="299"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8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FFFFFF"/>
        </w:rPr>
        <w:t>Proposal No.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354455" cy="14541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54455" cy="145415"/>
                    </a:xfrm>
                    <a:prstGeom prst="rect">
                      <a:avLst/>
                    </a:prstGeom>
                    <a:noFill/>
                  </pic:spPr>
                </pic:pic>
              </a:graphicData>
            </a:graphic>
          </wp:anchor>
        </w:drawing>
      </w:r>
    </w:p>
    <w:p>
      <w:pPr>
        <w:spacing w:after="0" w:line="180"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Advisory Vote to Approve Executive Compensation</w:t>
      </w:r>
    </w:p>
    <w:p>
      <w:pPr>
        <w:spacing w:after="0" w:line="134"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As required by Section 14A of the Exchange Act and related SEC rules, we are seeking an advisory stockholder vote to approve the compensation of our named executive officers for 2024 as disclosed under SEC rules, including the Compensation Discussion and Analysis section, the compensation tables and related material included in this Proxy Statement. The stockholder vote approving executive compensation is advisory only, and the result of the vote is not binding upon the Company or the Board. Although the resolution is non-binding, the Board and the Compensation Committee will consider the outcome of the advisory vote when making future compensation decisions. In 2023, the majority of our stockholders voted in favor of holding a non-binding stockholder advisory vote to approve executive compensation on an annual basis and, in consideration of the outcome of that vote, the Board has determined to hold such an advisory vote each year. Following the Annual Meeting, the next non-binding stockholder advisory vote to approve executive compensation is expected to occur at the 2026 Annual Meeting of Stockholders.</w:t>
      </w:r>
    </w:p>
    <w:p>
      <w:pPr>
        <w:spacing w:after="0" w:line="86" w:lineRule="exact"/>
        <w:rPr>
          <w:sz w:val="20"/>
          <w:szCs w:val="20"/>
          <w:color w:val="auto"/>
        </w:rPr>
      </w:pPr>
    </w:p>
    <w:p>
      <w:pPr>
        <w:ind w:right="80"/>
        <w:spacing w:after="0" w:line="266" w:lineRule="auto"/>
        <w:rPr>
          <w:sz w:val="20"/>
          <w:szCs w:val="20"/>
          <w:color w:val="auto"/>
        </w:rPr>
      </w:pPr>
      <w:r>
        <w:rPr>
          <w:rFonts w:ascii="Arial" w:cs="Arial" w:eastAsia="Arial" w:hAnsi="Arial"/>
          <w:sz w:val="16"/>
          <w:szCs w:val="16"/>
          <w:color w:val="auto"/>
        </w:rPr>
        <w:t>Our executive compensation program and compensation paid to our named executive officers are described elsewhere in this Proxy Statement. The Compensation Committee oversees the program and compensation awarded, adopts changes to the program, and awards compensation as appropriate to reflect the Company’s circumstances and to promote the main objectives of the program.</w:t>
      </w:r>
    </w:p>
    <w:p>
      <w:pPr>
        <w:spacing w:after="0" w:line="77" w:lineRule="exact"/>
        <w:rPr>
          <w:sz w:val="20"/>
          <w:szCs w:val="20"/>
          <w:color w:val="auto"/>
        </w:rPr>
      </w:pPr>
    </w:p>
    <w:p>
      <w:pPr>
        <w:ind w:right="720"/>
        <w:spacing w:after="0" w:line="286" w:lineRule="auto"/>
        <w:rPr>
          <w:sz w:val="20"/>
          <w:szCs w:val="20"/>
          <w:color w:val="auto"/>
        </w:rPr>
      </w:pPr>
      <w:r>
        <w:rPr>
          <w:rFonts w:ascii="Arial" w:cs="Arial" w:eastAsia="Arial" w:hAnsi="Arial"/>
          <w:sz w:val="16"/>
          <w:szCs w:val="16"/>
          <w:color w:val="auto"/>
        </w:rPr>
        <w:t>This proposal allows our stockholders to express their opinions regarding the decisions of the Compensation Committee on the prior year’s annual compensation to our named executive officers. You may vote for or against the following resolution, or you may abstain.</w:t>
      </w:r>
    </w:p>
    <w:p>
      <w:pPr>
        <w:spacing w:after="0" w:line="61" w:lineRule="exact"/>
        <w:rPr>
          <w:sz w:val="20"/>
          <w:szCs w:val="20"/>
          <w:color w:val="auto"/>
        </w:rPr>
      </w:pPr>
    </w:p>
    <w:p>
      <w:pPr>
        <w:ind w:right="600"/>
        <w:spacing w:after="0" w:line="271" w:lineRule="auto"/>
        <w:rPr>
          <w:sz w:val="20"/>
          <w:szCs w:val="20"/>
          <w:color w:val="auto"/>
        </w:rPr>
      </w:pPr>
      <w:r>
        <w:rPr>
          <w:rFonts w:ascii="Arial" w:cs="Arial" w:eastAsia="Arial" w:hAnsi="Arial"/>
          <w:sz w:val="16"/>
          <w:szCs w:val="16"/>
          <w:b w:val="1"/>
          <w:bCs w:val="1"/>
          <w:color w:val="auto"/>
        </w:rPr>
        <w:t>RESOLVED, that the stockholders of VeriSign, Inc. approve, on a non-binding, advisory basis, the compensation of VeriSign, Inc.’s named executive officers as disclosed in the Proxy Statement for VeriSign, Inc.’s 2025 Annual Meeting of Stockholders pursuant to Item 402 of Regulation S-K, including the Compensation Discussion and Analysis, the executive compensation tables, and related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67310</wp:posOffset>
            </wp:positionV>
            <wp:extent cx="7149465" cy="3511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35115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p>
      <w:pPr>
        <w:spacing w:after="0" w:line="39" w:lineRule="exact"/>
        <w:rPr>
          <w:sz w:val="20"/>
          <w:szCs w:val="20"/>
          <w:color w:val="auto"/>
        </w:rPr>
      </w:pPr>
    </w:p>
    <w:p>
      <w:pPr>
        <w:spacing w:after="0"/>
        <w:rPr>
          <w:sz w:val="20"/>
          <w:szCs w:val="20"/>
          <w:color w:val="auto"/>
        </w:rPr>
      </w:pPr>
      <w:r>
        <w:rPr>
          <w:sz w:val="1"/>
          <w:szCs w:val="1"/>
          <w:color w:val="auto"/>
        </w:rPr>
        <w:drawing>
          <wp:inline distT="0" distB="0" distL="0" distR="0">
            <wp:extent cx="17145" cy="351155"/>
            <wp:effectExtent l="0" t="0" r="0" b="0"/>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7145" cy="351155"/>
                    </a:xfrm>
                    <a:prstGeom prst="rect">
                      <a:avLst/>
                    </a:prstGeom>
                    <a:noFill/>
                    <a:ln>
                      <a:noFill/>
                    </a:ln>
                  </pic:spPr>
                </pic:pic>
              </a:graphicData>
            </a:graphic>
          </wp:inline>
        </w:drawing>
        <w:drawing>
          <wp:inline distT="0" distB="0" distL="0" distR="0">
            <wp:extent cx="257175" cy="257175"/>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257175" cy="257175"/>
                    </a:xfrm>
                    <a:prstGeom prst="rect">
                      <a:avLst/>
                    </a:prstGeom>
                    <a:noFill/>
                    <a:ln>
                      <a:noFill/>
                    </a:ln>
                  </pic:spPr>
                </pic:pic>
              </a:graphicData>
            </a:graphic>
          </wp:inline>
        </w:drawing>
      </w:r>
      <w:r>
        <w:rPr>
          <w:rFonts w:ascii="Arial" w:cs="Arial" w:eastAsia="Arial" w:hAnsi="Arial"/>
          <w:sz w:val="32"/>
          <w:szCs w:val="32"/>
          <w:b w:val="1"/>
          <w:bCs w:val="1"/>
          <w:color w:val="004A98"/>
        </w:rPr>
        <w:t xml:space="preserve"> FOR</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The Board recommends a vote FOR the foregoing resolution.</w:t>
      </w:r>
    </w:p>
    <w:p>
      <w:pPr>
        <w:spacing w:after="0" w:line="408" w:lineRule="exact"/>
        <w:rPr>
          <w:sz w:val="20"/>
          <w:szCs w:val="20"/>
          <w:color w:val="auto"/>
        </w:rPr>
      </w:pPr>
    </w:p>
    <w:p>
      <w:pPr>
        <w:sectPr>
          <w:pgSz w:w="11900" w:h="16838" w:orient="portrait"/>
          <w:cols w:equalWidth="0" w:num="2">
            <w:col w:w="1380" w:space="720"/>
            <w:col w:w="9100"/>
          </w:cols>
          <w:pgMar w:left="320" w:top="121" w:right="379" w:bottom="1440" w:gutter="0" w:footer="0" w:header="0"/>
          <w:type w:val="continuous"/>
        </w:sectPr>
      </w:pPr>
    </w:p>
    <w:p>
      <w:pPr>
        <w:spacing w:after="0" w:line="358"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24</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type w:val="continuous"/>
        </w:sectPr>
      </w:pPr>
    </w:p>
    <w:bookmarkStart w:id="27" w:name="page28"/>
    <w:bookmarkEnd w:id="2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59"/>
          <w:szCs w:val="59"/>
          <w:color w:val="004A98"/>
        </w:rPr>
        <w:t>Executive Compensation</w:t>
      </w:r>
    </w:p>
    <w:p>
      <w:pPr>
        <w:spacing w:after="0" w:line="373"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Compensation Discussion and Analysis</w:t>
      </w:r>
    </w:p>
    <w:p>
      <w:pPr>
        <w:spacing w:after="0" w:line="148" w:lineRule="exact"/>
        <w:rPr>
          <w:sz w:val="20"/>
          <w:szCs w:val="20"/>
          <w:color w:val="auto"/>
        </w:rPr>
      </w:pPr>
    </w:p>
    <w:p>
      <w:pPr>
        <w:spacing w:after="0" w:line="266" w:lineRule="auto"/>
        <w:rPr>
          <w:sz w:val="20"/>
          <w:szCs w:val="20"/>
          <w:color w:val="auto"/>
        </w:rPr>
      </w:pPr>
      <w:r>
        <w:rPr>
          <w:rFonts w:ascii="Arial" w:cs="Arial" w:eastAsia="Arial" w:hAnsi="Arial"/>
          <w:sz w:val="16"/>
          <w:szCs w:val="16"/>
          <w:color w:val="auto"/>
        </w:rPr>
        <w:t>This Compensation Discussion and Analysis (“CD&amp;A”) provides comprehensive information about our executive compensation program for our 2024 named executive officers (our “NEOs”) and provides context for the decisions underlying the compensation reported in this Proxy Statement. Our 2024 NEOs are listed below.</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1900" w:type="dxa"/>
            <w:vAlign w:val="bottom"/>
          </w:tcPr>
          <w:p>
            <w:pPr>
              <w:spacing w:after="0"/>
              <w:rPr>
                <w:sz w:val="20"/>
                <w:szCs w:val="20"/>
                <w:color w:val="auto"/>
              </w:rPr>
            </w:pPr>
            <w:r>
              <w:rPr>
                <w:rFonts w:ascii="Arial" w:cs="Arial" w:eastAsia="Arial" w:hAnsi="Arial"/>
                <w:sz w:val="16"/>
                <w:szCs w:val="16"/>
                <w:b w:val="1"/>
                <w:bCs w:val="1"/>
                <w:color w:val="004A98"/>
              </w:rPr>
              <w:t>D. James Bidzos</w:t>
            </w:r>
          </w:p>
        </w:tc>
        <w:tc>
          <w:tcPr>
            <w:tcW w:w="2000" w:type="dxa"/>
            <w:vAlign w:val="bottom"/>
          </w:tcPr>
          <w:p>
            <w:pPr>
              <w:ind w:left="260"/>
              <w:spacing w:after="0"/>
              <w:rPr>
                <w:sz w:val="20"/>
                <w:szCs w:val="20"/>
                <w:color w:val="auto"/>
              </w:rPr>
            </w:pPr>
            <w:r>
              <w:rPr>
                <w:rFonts w:ascii="Arial" w:cs="Arial" w:eastAsia="Arial" w:hAnsi="Arial"/>
                <w:sz w:val="16"/>
                <w:szCs w:val="16"/>
                <w:b w:val="1"/>
                <w:bCs w:val="1"/>
                <w:color w:val="004A98"/>
              </w:rPr>
              <w:t>Todd B. Strubbe</w:t>
            </w:r>
          </w:p>
        </w:tc>
        <w:tc>
          <w:tcPr>
            <w:tcW w:w="2380" w:type="dxa"/>
            <w:vAlign w:val="bottom"/>
          </w:tcPr>
          <w:p>
            <w:pPr>
              <w:ind w:left="80"/>
              <w:spacing w:after="0"/>
              <w:rPr>
                <w:sz w:val="20"/>
                <w:szCs w:val="20"/>
                <w:color w:val="auto"/>
              </w:rPr>
            </w:pPr>
            <w:r>
              <w:rPr>
                <w:rFonts w:ascii="Arial" w:cs="Arial" w:eastAsia="Arial" w:hAnsi="Arial"/>
                <w:sz w:val="16"/>
                <w:szCs w:val="16"/>
                <w:b w:val="1"/>
                <w:bCs w:val="1"/>
                <w:color w:val="004A98"/>
              </w:rPr>
              <w:t>George E. Kilguss, III</w:t>
            </w:r>
          </w:p>
        </w:tc>
        <w:tc>
          <w:tcPr>
            <w:tcW w:w="2440" w:type="dxa"/>
            <w:vAlign w:val="bottom"/>
          </w:tcPr>
          <w:p>
            <w:pPr>
              <w:ind w:left="200"/>
              <w:spacing w:after="0"/>
              <w:rPr>
                <w:sz w:val="20"/>
                <w:szCs w:val="20"/>
                <w:color w:val="auto"/>
              </w:rPr>
            </w:pPr>
            <w:r>
              <w:rPr>
                <w:rFonts w:ascii="Arial" w:cs="Arial" w:eastAsia="Arial" w:hAnsi="Arial"/>
                <w:sz w:val="16"/>
                <w:szCs w:val="16"/>
                <w:b w:val="1"/>
                <w:bCs w:val="1"/>
                <w:color w:val="004A98"/>
              </w:rPr>
              <w:t>Danny R. McPherson</w:t>
            </w:r>
          </w:p>
        </w:tc>
        <w:tc>
          <w:tcPr>
            <w:tcW w:w="2420" w:type="dxa"/>
            <w:vAlign w:val="bottom"/>
          </w:tcPr>
          <w:p>
            <w:pPr>
              <w:ind w:left="140"/>
              <w:spacing w:after="0"/>
              <w:rPr>
                <w:sz w:val="20"/>
                <w:szCs w:val="20"/>
                <w:color w:val="auto"/>
              </w:rPr>
            </w:pPr>
            <w:r>
              <w:rPr>
                <w:rFonts w:ascii="Arial" w:cs="Arial" w:eastAsia="Arial" w:hAnsi="Arial"/>
                <w:sz w:val="16"/>
                <w:szCs w:val="16"/>
                <w:b w:val="1"/>
                <w:bCs w:val="1"/>
                <w:color w:val="004A98"/>
              </w:rPr>
              <w:t>Thomas C. Indelicarto</w:t>
            </w:r>
          </w:p>
        </w:tc>
      </w:tr>
      <w:tr>
        <w:trPr>
          <w:trHeight w:val="196"/>
        </w:trPr>
        <w:tc>
          <w:tcPr>
            <w:tcW w:w="1900" w:type="dxa"/>
            <w:vAlign w:val="bottom"/>
          </w:tcPr>
          <w:p>
            <w:pPr>
              <w:spacing w:after="0"/>
              <w:rPr>
                <w:sz w:val="20"/>
                <w:szCs w:val="20"/>
                <w:color w:val="auto"/>
              </w:rPr>
            </w:pPr>
            <w:r>
              <w:rPr>
                <w:rFonts w:ascii="Arial" w:cs="Arial" w:eastAsia="Arial" w:hAnsi="Arial"/>
                <w:sz w:val="16"/>
                <w:szCs w:val="16"/>
                <w:color w:val="auto"/>
              </w:rPr>
              <w:t>Executive Chairman,</w:t>
            </w:r>
          </w:p>
        </w:tc>
        <w:tc>
          <w:tcPr>
            <w:tcW w:w="2000" w:type="dxa"/>
            <w:vAlign w:val="bottom"/>
          </w:tcPr>
          <w:p>
            <w:pPr>
              <w:ind w:left="260"/>
              <w:spacing w:after="0"/>
              <w:rPr>
                <w:sz w:val="20"/>
                <w:szCs w:val="20"/>
                <w:color w:val="auto"/>
              </w:rPr>
            </w:pPr>
            <w:r>
              <w:rPr>
                <w:rFonts w:ascii="Arial" w:cs="Arial" w:eastAsia="Arial" w:hAnsi="Arial"/>
                <w:sz w:val="16"/>
                <w:szCs w:val="16"/>
                <w:color w:val="auto"/>
              </w:rPr>
              <w:t>Former President and</w:t>
            </w:r>
          </w:p>
        </w:tc>
        <w:tc>
          <w:tcPr>
            <w:tcW w:w="2380" w:type="dxa"/>
            <w:vAlign w:val="bottom"/>
          </w:tcPr>
          <w:p>
            <w:pPr>
              <w:ind w:left="80"/>
              <w:spacing w:after="0"/>
              <w:rPr>
                <w:sz w:val="20"/>
                <w:szCs w:val="20"/>
                <w:color w:val="auto"/>
              </w:rPr>
            </w:pPr>
            <w:r>
              <w:rPr>
                <w:rFonts w:ascii="Arial" w:cs="Arial" w:eastAsia="Arial" w:hAnsi="Arial"/>
                <w:sz w:val="16"/>
                <w:szCs w:val="16"/>
                <w:color w:val="auto"/>
              </w:rPr>
              <w:t>Executive Vice President and</w:t>
            </w:r>
          </w:p>
        </w:tc>
        <w:tc>
          <w:tcPr>
            <w:tcW w:w="2440" w:type="dxa"/>
            <w:vAlign w:val="bottom"/>
          </w:tcPr>
          <w:p>
            <w:pPr>
              <w:ind w:left="200"/>
              <w:spacing w:after="0"/>
              <w:rPr>
                <w:sz w:val="20"/>
                <w:szCs w:val="20"/>
                <w:color w:val="auto"/>
              </w:rPr>
            </w:pPr>
            <w:r>
              <w:rPr>
                <w:rFonts w:ascii="Arial" w:cs="Arial" w:eastAsia="Arial" w:hAnsi="Arial"/>
                <w:sz w:val="16"/>
                <w:szCs w:val="16"/>
                <w:color w:val="auto"/>
              </w:rPr>
              <w:t>Executive Vice President,</w:t>
            </w:r>
          </w:p>
        </w:tc>
        <w:tc>
          <w:tcPr>
            <w:tcW w:w="2420" w:type="dxa"/>
            <w:vAlign w:val="bottom"/>
          </w:tcPr>
          <w:p>
            <w:pPr>
              <w:ind w:left="140"/>
              <w:spacing w:after="0"/>
              <w:rPr>
                <w:sz w:val="20"/>
                <w:szCs w:val="20"/>
                <w:color w:val="auto"/>
              </w:rPr>
            </w:pPr>
            <w:r>
              <w:rPr>
                <w:rFonts w:ascii="Arial" w:cs="Arial" w:eastAsia="Arial" w:hAnsi="Arial"/>
                <w:sz w:val="16"/>
                <w:szCs w:val="16"/>
                <w:color w:val="auto"/>
              </w:rPr>
              <w:t>Executive Vice President,</w:t>
            </w:r>
          </w:p>
        </w:tc>
      </w:tr>
      <w:tr>
        <w:trPr>
          <w:trHeight w:val="203"/>
        </w:trPr>
        <w:tc>
          <w:tcPr>
            <w:tcW w:w="1900" w:type="dxa"/>
            <w:vAlign w:val="bottom"/>
          </w:tcPr>
          <w:p>
            <w:pPr>
              <w:spacing w:after="0"/>
              <w:rPr>
                <w:sz w:val="20"/>
                <w:szCs w:val="20"/>
                <w:color w:val="auto"/>
              </w:rPr>
            </w:pPr>
            <w:r>
              <w:rPr>
                <w:rFonts w:ascii="Arial" w:cs="Arial" w:eastAsia="Arial" w:hAnsi="Arial"/>
                <w:sz w:val="16"/>
                <w:szCs w:val="16"/>
                <w:color w:val="auto"/>
              </w:rPr>
              <w:t>President and</w:t>
            </w:r>
          </w:p>
        </w:tc>
        <w:tc>
          <w:tcPr>
            <w:tcW w:w="2000" w:type="dxa"/>
            <w:vAlign w:val="bottom"/>
          </w:tcPr>
          <w:p>
            <w:pPr>
              <w:ind w:left="260"/>
              <w:spacing w:after="0"/>
              <w:rPr>
                <w:sz w:val="20"/>
                <w:szCs w:val="20"/>
                <w:color w:val="auto"/>
              </w:rPr>
            </w:pPr>
            <w:r>
              <w:rPr>
                <w:rFonts w:ascii="Arial" w:cs="Arial" w:eastAsia="Arial" w:hAnsi="Arial"/>
                <w:sz w:val="16"/>
                <w:szCs w:val="16"/>
                <w:color w:val="auto"/>
              </w:rPr>
              <w:t>Chief Operating Officer</w:t>
            </w:r>
          </w:p>
        </w:tc>
        <w:tc>
          <w:tcPr>
            <w:tcW w:w="2380" w:type="dxa"/>
            <w:vAlign w:val="bottom"/>
          </w:tcPr>
          <w:p>
            <w:pPr>
              <w:ind w:left="80"/>
              <w:spacing w:after="0"/>
              <w:rPr>
                <w:sz w:val="20"/>
                <w:szCs w:val="20"/>
                <w:color w:val="auto"/>
              </w:rPr>
            </w:pPr>
            <w:r>
              <w:rPr>
                <w:rFonts w:ascii="Arial" w:cs="Arial" w:eastAsia="Arial" w:hAnsi="Arial"/>
                <w:sz w:val="16"/>
                <w:szCs w:val="16"/>
                <w:color w:val="auto"/>
              </w:rPr>
              <w:t>Chief Financial Officer</w:t>
            </w:r>
          </w:p>
        </w:tc>
        <w:tc>
          <w:tcPr>
            <w:tcW w:w="2440" w:type="dxa"/>
            <w:vAlign w:val="bottom"/>
          </w:tcPr>
          <w:p>
            <w:pPr>
              <w:ind w:left="200"/>
              <w:spacing w:after="0"/>
              <w:rPr>
                <w:sz w:val="20"/>
                <w:szCs w:val="20"/>
                <w:color w:val="auto"/>
              </w:rPr>
            </w:pPr>
            <w:r>
              <w:rPr>
                <w:rFonts w:ascii="Arial" w:cs="Arial" w:eastAsia="Arial" w:hAnsi="Arial"/>
                <w:sz w:val="16"/>
                <w:szCs w:val="16"/>
                <w:color w:val="auto"/>
              </w:rPr>
              <w:t>Engineering, Operations, and</w:t>
            </w:r>
          </w:p>
        </w:tc>
        <w:tc>
          <w:tcPr>
            <w:tcW w:w="2420" w:type="dxa"/>
            <w:vAlign w:val="bottom"/>
          </w:tcPr>
          <w:p>
            <w:pPr>
              <w:ind w:left="140"/>
              <w:spacing w:after="0"/>
              <w:rPr>
                <w:sz w:val="20"/>
                <w:szCs w:val="20"/>
                <w:color w:val="auto"/>
              </w:rPr>
            </w:pPr>
            <w:r>
              <w:rPr>
                <w:rFonts w:ascii="Arial" w:cs="Arial" w:eastAsia="Arial" w:hAnsi="Arial"/>
                <w:sz w:val="16"/>
                <w:szCs w:val="16"/>
                <w:color w:val="auto"/>
              </w:rPr>
              <w:t>General Counsel and Secretary</w:t>
            </w:r>
          </w:p>
        </w:tc>
      </w:tr>
      <w:tr>
        <w:trPr>
          <w:trHeight w:val="215"/>
        </w:trPr>
        <w:tc>
          <w:tcPr>
            <w:tcW w:w="1900" w:type="dxa"/>
            <w:vAlign w:val="bottom"/>
          </w:tcPr>
          <w:p>
            <w:pPr>
              <w:spacing w:after="0"/>
              <w:rPr>
                <w:sz w:val="20"/>
                <w:szCs w:val="20"/>
                <w:color w:val="auto"/>
              </w:rPr>
            </w:pPr>
            <w:r>
              <w:rPr>
                <w:rFonts w:ascii="Arial" w:cs="Arial" w:eastAsia="Arial" w:hAnsi="Arial"/>
                <w:sz w:val="16"/>
                <w:szCs w:val="16"/>
                <w:color w:val="auto"/>
              </w:rPr>
              <w:t>Chief Executive Officer</w:t>
            </w:r>
          </w:p>
        </w:tc>
        <w:tc>
          <w:tcPr>
            <w:tcW w:w="200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2440" w:type="dxa"/>
            <w:vAlign w:val="bottom"/>
          </w:tcPr>
          <w:p>
            <w:pPr>
              <w:ind w:left="200"/>
              <w:spacing w:after="0"/>
              <w:rPr>
                <w:sz w:val="20"/>
                <w:szCs w:val="20"/>
                <w:color w:val="auto"/>
              </w:rPr>
            </w:pPr>
            <w:r>
              <w:rPr>
                <w:rFonts w:ascii="Arial" w:cs="Arial" w:eastAsia="Arial" w:hAnsi="Arial"/>
                <w:sz w:val="16"/>
                <w:szCs w:val="16"/>
                <w:color w:val="auto"/>
              </w:rPr>
              <w:t>Chief Security Officer</w:t>
            </w:r>
          </w:p>
        </w:tc>
        <w:tc>
          <w:tcPr>
            <w:tcW w:w="2420" w:type="dxa"/>
            <w:vAlign w:val="bottom"/>
          </w:tcPr>
          <w:p>
            <w:pPr>
              <w:spacing w:after="0"/>
              <w:rPr>
                <w:sz w:val="18"/>
                <w:szCs w:val="18"/>
                <w:color w:val="auto"/>
              </w:rPr>
            </w:pPr>
          </w:p>
        </w:tc>
      </w:tr>
    </w:tbl>
    <w:p>
      <w:pPr>
        <w:spacing w:after="0" w:line="190" w:lineRule="exact"/>
        <w:rPr>
          <w:sz w:val="20"/>
          <w:szCs w:val="20"/>
          <w:color w:val="auto"/>
        </w:rPr>
      </w:pPr>
    </w:p>
    <w:p>
      <w:pPr>
        <w:jc w:val="both"/>
        <w:ind w:right="40"/>
        <w:spacing w:after="0" w:line="304" w:lineRule="auto"/>
        <w:rPr>
          <w:sz w:val="20"/>
          <w:szCs w:val="20"/>
          <w:color w:val="auto"/>
        </w:rPr>
      </w:pPr>
      <w:r>
        <w:rPr>
          <w:rFonts w:ascii="Arial" w:cs="Arial" w:eastAsia="Arial" w:hAnsi="Arial"/>
          <w:sz w:val="16"/>
          <w:szCs w:val="16"/>
          <w:color w:val="auto"/>
        </w:rPr>
        <w:t>On February 10, 2025, George E. Kilguss III, Executive Vice President and Chief Financial Officer informed the Board of his intention to retire, effective May 31, 2025.</w:t>
      </w:r>
    </w:p>
    <w:p>
      <w:pPr>
        <w:spacing w:after="0" w:line="168"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Todd B. Strubbe, President and Chief Operating Officer, retired effective April 5, 2024. Mr. Strubbe served as the Company’s Chief Operating Officer since April 2015 and President since February 2020. The Board elected D. James Bidzos to resume the office of President, which he previously held from August 2011 to February 2020, effective April 5, 2024.</w:t>
      </w:r>
    </w:p>
    <w:p>
      <w:pPr>
        <w:spacing w:after="0" w:line="191" w:lineRule="exact"/>
        <w:rPr>
          <w:sz w:val="20"/>
          <w:szCs w:val="20"/>
          <w:color w:val="auto"/>
        </w:rPr>
      </w:pPr>
    </w:p>
    <w:p>
      <w:pPr>
        <w:ind w:right="260"/>
        <w:spacing w:after="0" w:line="304" w:lineRule="auto"/>
        <w:rPr>
          <w:sz w:val="20"/>
          <w:szCs w:val="20"/>
          <w:color w:val="auto"/>
        </w:rPr>
      </w:pPr>
      <w:r>
        <w:rPr>
          <w:rFonts w:ascii="Arial" w:cs="Arial" w:eastAsia="Arial" w:hAnsi="Arial"/>
          <w:sz w:val="16"/>
          <w:szCs w:val="16"/>
          <w:color w:val="auto"/>
        </w:rPr>
        <w:t>The sections below describe the material elements of our executive compensation program for 2024, including how we have set compensation and have aligned pay to performance. We refer to our NEOs and Senior Vice Presidents, collectively as our “executives.”</w:t>
      </w:r>
    </w:p>
    <w:p>
      <w:pPr>
        <w:spacing w:after="0" w:line="2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Compensation Philosophy and Objectives</w:t>
      </w:r>
    </w:p>
    <w:p>
      <w:pPr>
        <w:spacing w:after="0" w:line="141" w:lineRule="exact"/>
        <w:rPr>
          <w:sz w:val="20"/>
          <w:szCs w:val="20"/>
          <w:color w:val="auto"/>
        </w:rPr>
      </w:pPr>
    </w:p>
    <w:p>
      <w:pPr>
        <w:jc w:val="both"/>
        <w:ind w:right="180"/>
        <w:spacing w:after="0" w:line="266" w:lineRule="auto"/>
        <w:rPr>
          <w:sz w:val="20"/>
          <w:szCs w:val="20"/>
          <w:color w:val="auto"/>
        </w:rPr>
      </w:pPr>
      <w:r>
        <w:rPr>
          <w:rFonts w:ascii="Arial" w:cs="Arial" w:eastAsia="Arial" w:hAnsi="Arial"/>
          <w:sz w:val="16"/>
          <w:szCs w:val="16"/>
          <w:color w:val="auto"/>
        </w:rPr>
        <w:t>Our executive compensation program is designed to attract and retain the executive talent we need to maintain our high performance standards and grow our business for the future. Our philosophy is to provide a mix of compensation that motivates our NEOs to achieve our short and long-term performance goals, and we believe the achievement of these goals will create value for our stockholders.</w:t>
      </w:r>
    </w:p>
    <w:p>
      <w:pPr>
        <w:spacing w:after="0" w:line="77" w:lineRule="exact"/>
        <w:rPr>
          <w:sz w:val="20"/>
          <w:szCs w:val="20"/>
          <w:color w:val="auto"/>
        </w:rPr>
      </w:pPr>
    </w:p>
    <w:p>
      <w:pPr>
        <w:spacing w:after="0"/>
        <w:rPr>
          <w:sz w:val="20"/>
          <w:szCs w:val="20"/>
          <w:color w:val="auto"/>
        </w:rPr>
      </w:pPr>
      <w:r>
        <w:rPr>
          <w:rFonts w:ascii="Arial" w:cs="Arial" w:eastAsia="Arial" w:hAnsi="Arial"/>
          <w:sz w:val="16"/>
          <w:szCs w:val="16"/>
          <w:color w:val="auto"/>
        </w:rPr>
        <w:t>Our executive compensation program is designed with the following objectives and program elements:</w:t>
      </w:r>
    </w:p>
    <w:p>
      <w:pPr>
        <w:sectPr>
          <w:pgSz w:w="11900" w:h="16838" w:orient="portrait"/>
          <w:cols w:equalWidth="0" w:num="1">
            <w:col w:w="11180"/>
          </w:cols>
          <w:pgMar w:left="320" w:top="121" w:right="399" w:bottom="1440" w:gutter="0" w:footer="0" w:header="0"/>
        </w:sectPr>
      </w:pPr>
    </w:p>
    <w:p>
      <w:pPr>
        <w:spacing w:after="0" w:line="167"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16027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5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Attract and retain talented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216027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53" w:lineRule="exact"/>
        <w:rPr>
          <w:sz w:val="20"/>
          <w:szCs w:val="20"/>
          <w:color w:val="auto"/>
        </w:rPr>
      </w:pPr>
    </w:p>
    <w:p>
      <w:pPr>
        <w:jc w:val="both"/>
        <w:ind w:left="20"/>
        <w:spacing w:after="0" w:line="280" w:lineRule="auto"/>
        <w:rPr>
          <w:sz w:val="20"/>
          <w:szCs w:val="20"/>
          <w:color w:val="auto"/>
        </w:rPr>
      </w:pPr>
      <w:r>
        <w:rPr>
          <w:rFonts w:ascii="Arial" w:cs="Arial" w:eastAsia="Arial" w:hAnsi="Arial"/>
          <w:sz w:val="16"/>
          <w:szCs w:val="16"/>
          <w:b w:val="1"/>
          <w:bCs w:val="1"/>
          <w:color w:val="004A98"/>
        </w:rPr>
        <w:t>Promote a pay for performance philosophy based on both Company performance and individual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216027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160270" cy="8890"/>
                    </a:xfrm>
                    <a:prstGeom prst="rect">
                      <a:avLst/>
                    </a:prstGeom>
                    <a:noFill/>
                  </pic:spPr>
                </pic:pic>
              </a:graphicData>
            </a:graphic>
          </wp:anchor>
        </w:drawing>
      </w:r>
    </w:p>
    <w:p>
      <w:pPr>
        <w:spacing w:after="0" w:line="187" w:lineRule="exact"/>
        <w:rPr>
          <w:sz w:val="20"/>
          <w:szCs w:val="20"/>
          <w:color w:val="auto"/>
        </w:rPr>
      </w:pPr>
    </w:p>
    <w:p>
      <w:pPr>
        <w:ind w:left="20" w:right="160"/>
        <w:spacing w:after="0" w:line="314" w:lineRule="auto"/>
        <w:rPr>
          <w:sz w:val="20"/>
          <w:szCs w:val="20"/>
          <w:color w:val="auto"/>
        </w:rPr>
      </w:pPr>
      <w:r>
        <w:rPr>
          <w:rFonts w:ascii="Arial" w:cs="Arial" w:eastAsia="Arial" w:hAnsi="Arial"/>
          <w:sz w:val="16"/>
          <w:szCs w:val="16"/>
          <w:b w:val="1"/>
          <w:bCs w:val="1"/>
          <w:color w:val="004A98"/>
        </w:rPr>
        <w:t>Align the interests of our executives with our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217805</wp:posOffset>
            </wp:positionV>
            <wp:extent cx="216027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PROGRAM 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29210</wp:posOffset>
            </wp:positionV>
            <wp:extent cx="491172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auto"/>
        </w:rPr>
        <w:t>Provide a competitive level of total target compensation (base salary, bonus, and long-term incentive).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29210</wp:posOffset>
            </wp:positionV>
            <wp:extent cx="4911725"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911725" cy="8890"/>
                    </a:xfrm>
                    <a:prstGeom prst="rect">
                      <a:avLst/>
                    </a:prstGeom>
                    <a:noFill/>
                  </pic:spPr>
                </pic:pic>
              </a:graphicData>
            </a:graphic>
          </wp:anchor>
        </w:drawing>
      </w:r>
    </w:p>
    <w:p>
      <w:pPr>
        <w:spacing w:after="0" w:line="53"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Provide a compensation program that emphasizes incentives that are tied to annual and long-term financial and strategic goals. In addition, we may modify NEOs’ annual incentive bonus up (subject to specified limitations) or down based on individual performance to more closely align NEOs’ compensation with their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7620</wp:posOffset>
            </wp:positionV>
            <wp:extent cx="4911725"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911725" cy="8890"/>
                    </a:xfrm>
                    <a:prstGeom prst="rect">
                      <a:avLst/>
                    </a:prstGeom>
                    <a:noFill/>
                  </pic:spPr>
                </pic:pic>
              </a:graphicData>
            </a:graphic>
          </wp:anchor>
        </w:drawing>
      </w:r>
    </w:p>
    <w:p>
      <w:pPr>
        <w:spacing w:after="0" w:line="18"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Provide a significant portion of compensation aligned to the long-term value of our stock, including performance-based stock awards with vesting measured in part based on Total Shareholder Return (“TSR”). In addition, require NEOs to meet stock ownership guidelines and maintain compliance with stock ownership guidelines until six months after termination of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7620</wp:posOffset>
            </wp:positionV>
            <wp:extent cx="491172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911725" cy="8255"/>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3540"/>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4"/>
          <w:szCs w:val="14"/>
          <w:color w:val="auto"/>
        </w:rPr>
        <w:t>Proxy</w:t>
      </w:r>
    </w:p>
    <w:p>
      <w:pPr>
        <w:spacing w:after="0" w:line="2" w:lineRule="exact"/>
        <w:rPr>
          <w:sz w:val="20"/>
          <w:szCs w:val="20"/>
          <w:color w:val="auto"/>
        </w:rPr>
      </w:pPr>
    </w:p>
    <w:p>
      <w:pPr>
        <w:ind w:left="360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130810</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3340" w:space="180"/>
            <w:col w:w="7660"/>
          </w:cols>
          <w:pgMar w:left="320" w:top="121" w:right="39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158115</wp:posOffset>
            </wp:positionV>
            <wp:extent cx="7140575" cy="18091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0575" cy="1809115"/>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Other key features of our current executive compensation program:</w:t>
      </w:r>
    </w:p>
    <w:p>
      <w:pPr>
        <w:spacing w:after="0" w:line="59" w:lineRule="exact"/>
        <w:rPr>
          <w:sz w:val="20"/>
          <w:szCs w:val="20"/>
          <w:color w:val="auto"/>
        </w:rPr>
      </w:pPr>
    </w:p>
    <w:p>
      <w:pPr>
        <w:ind w:left="320" w:hanging="173"/>
        <w:spacing w:after="0"/>
        <w:tabs>
          <w:tab w:leader="none" w:pos="320" w:val="left"/>
        </w:tabs>
        <w:numPr>
          <w:ilvl w:val="0"/>
          <w:numId w:val="24"/>
        </w:numPr>
        <w:rPr>
          <w:rFonts w:ascii="Arial" w:cs="Arial" w:eastAsia="Arial" w:hAnsi="Arial"/>
          <w:sz w:val="16"/>
          <w:szCs w:val="16"/>
          <w:b w:val="1"/>
          <w:bCs w:val="1"/>
          <w:color w:val="004A98"/>
        </w:rPr>
      </w:pPr>
      <w:r>
        <w:rPr>
          <w:rFonts w:ascii="Arial" w:cs="Arial" w:eastAsia="Arial" w:hAnsi="Arial"/>
          <w:sz w:val="16"/>
          <w:szCs w:val="16"/>
          <w:color w:val="auto"/>
        </w:rPr>
        <w:t>No employment contracts.</w:t>
      </w:r>
    </w:p>
    <w:p>
      <w:pPr>
        <w:spacing w:after="0" w:line="86" w:lineRule="exact"/>
        <w:rPr>
          <w:rFonts w:ascii="Arial" w:cs="Arial" w:eastAsia="Arial" w:hAnsi="Arial"/>
          <w:sz w:val="16"/>
          <w:szCs w:val="16"/>
          <w:b w:val="1"/>
          <w:bCs w:val="1"/>
          <w:color w:val="004A98"/>
        </w:rPr>
      </w:pPr>
    </w:p>
    <w:p>
      <w:pPr>
        <w:ind w:left="320" w:hanging="173"/>
        <w:spacing w:after="0"/>
        <w:tabs>
          <w:tab w:leader="none" w:pos="320" w:val="left"/>
        </w:tabs>
        <w:numPr>
          <w:ilvl w:val="0"/>
          <w:numId w:val="24"/>
        </w:numPr>
        <w:rPr>
          <w:rFonts w:ascii="Arial" w:cs="Arial" w:eastAsia="Arial" w:hAnsi="Arial"/>
          <w:sz w:val="16"/>
          <w:szCs w:val="16"/>
          <w:b w:val="1"/>
          <w:bCs w:val="1"/>
          <w:color w:val="004A98"/>
        </w:rPr>
      </w:pPr>
      <w:r>
        <w:rPr>
          <w:rFonts w:ascii="Arial" w:cs="Arial" w:eastAsia="Arial" w:hAnsi="Arial"/>
          <w:sz w:val="16"/>
          <w:szCs w:val="16"/>
          <w:color w:val="auto"/>
        </w:rPr>
        <w:t>Change in control agreements contain a double trigger and do not provide for tax gross-ups.</w:t>
      </w:r>
    </w:p>
    <w:p>
      <w:pPr>
        <w:spacing w:after="0" w:line="86" w:lineRule="exact"/>
        <w:rPr>
          <w:rFonts w:ascii="Arial" w:cs="Arial" w:eastAsia="Arial" w:hAnsi="Arial"/>
          <w:sz w:val="16"/>
          <w:szCs w:val="16"/>
          <w:b w:val="1"/>
          <w:bCs w:val="1"/>
          <w:color w:val="004A98"/>
        </w:rPr>
      </w:pPr>
    </w:p>
    <w:p>
      <w:pPr>
        <w:ind w:left="320" w:hanging="173"/>
        <w:spacing w:after="0"/>
        <w:tabs>
          <w:tab w:leader="none" w:pos="320" w:val="left"/>
        </w:tabs>
        <w:numPr>
          <w:ilvl w:val="0"/>
          <w:numId w:val="24"/>
        </w:numPr>
        <w:rPr>
          <w:rFonts w:ascii="Arial" w:cs="Arial" w:eastAsia="Arial" w:hAnsi="Arial"/>
          <w:sz w:val="16"/>
          <w:szCs w:val="16"/>
          <w:b w:val="1"/>
          <w:bCs w:val="1"/>
          <w:color w:val="004A98"/>
        </w:rPr>
      </w:pPr>
      <w:r>
        <w:rPr>
          <w:rFonts w:ascii="Arial" w:cs="Arial" w:eastAsia="Arial" w:hAnsi="Arial"/>
          <w:sz w:val="16"/>
          <w:szCs w:val="16"/>
          <w:color w:val="auto"/>
        </w:rPr>
        <w:t>No special pension plans, special retirement plans, or other significant perquisites for NEOs.</w:t>
      </w:r>
    </w:p>
    <w:p>
      <w:pPr>
        <w:spacing w:after="0" w:line="72" w:lineRule="exact"/>
        <w:rPr>
          <w:rFonts w:ascii="Arial" w:cs="Arial" w:eastAsia="Arial" w:hAnsi="Arial"/>
          <w:sz w:val="16"/>
          <w:szCs w:val="16"/>
          <w:b w:val="1"/>
          <w:bCs w:val="1"/>
          <w:color w:val="004A98"/>
        </w:rPr>
      </w:pPr>
    </w:p>
    <w:p>
      <w:pPr>
        <w:ind w:left="320" w:hanging="173"/>
        <w:spacing w:after="0"/>
        <w:tabs>
          <w:tab w:leader="none" w:pos="320" w:val="left"/>
        </w:tabs>
        <w:numPr>
          <w:ilvl w:val="0"/>
          <w:numId w:val="24"/>
        </w:numPr>
        <w:rPr>
          <w:rFonts w:ascii="Arial" w:cs="Arial" w:eastAsia="Arial" w:hAnsi="Arial"/>
          <w:sz w:val="16"/>
          <w:szCs w:val="16"/>
          <w:b w:val="1"/>
          <w:bCs w:val="1"/>
          <w:color w:val="004A98"/>
        </w:rPr>
      </w:pPr>
      <w:r>
        <w:rPr>
          <w:rFonts w:ascii="Arial" w:cs="Arial" w:eastAsia="Arial" w:hAnsi="Arial"/>
          <w:sz w:val="16"/>
          <w:szCs w:val="16"/>
          <w:color w:val="auto"/>
        </w:rPr>
        <w:t>Same benefit programs as all other employees.</w:t>
      </w:r>
    </w:p>
    <w:p>
      <w:pPr>
        <w:spacing w:after="0" w:line="86" w:lineRule="exact"/>
        <w:rPr>
          <w:rFonts w:ascii="Arial" w:cs="Arial" w:eastAsia="Arial" w:hAnsi="Arial"/>
          <w:sz w:val="16"/>
          <w:szCs w:val="16"/>
          <w:b w:val="1"/>
          <w:bCs w:val="1"/>
          <w:color w:val="004A98"/>
        </w:rPr>
      </w:pPr>
    </w:p>
    <w:p>
      <w:pPr>
        <w:ind w:left="340" w:hanging="193"/>
        <w:spacing w:after="0" w:line="299" w:lineRule="auto"/>
        <w:tabs>
          <w:tab w:leader="none" w:pos="310" w:val="left"/>
        </w:tabs>
        <w:numPr>
          <w:ilvl w:val="0"/>
          <w:numId w:val="24"/>
        </w:numPr>
        <w:rPr>
          <w:rFonts w:ascii="Arial" w:cs="Arial" w:eastAsia="Arial" w:hAnsi="Arial"/>
          <w:sz w:val="16"/>
          <w:szCs w:val="16"/>
          <w:b w:val="1"/>
          <w:bCs w:val="1"/>
          <w:color w:val="004A98"/>
        </w:rPr>
      </w:pPr>
      <w:r>
        <w:rPr>
          <w:rFonts w:ascii="Arial" w:cs="Arial" w:eastAsia="Arial" w:hAnsi="Arial"/>
          <w:sz w:val="16"/>
          <w:szCs w:val="16"/>
          <w:color w:val="auto"/>
        </w:rPr>
        <w:t>A clawback policy applicable to our Section 16 Officers that provides for the recoupment of certain incentive compensation (both annual and long-term incentives) in the event of an accounting restatement.</w:t>
      </w:r>
    </w:p>
    <w:p>
      <w:pPr>
        <w:ind w:left="340" w:right="400" w:hanging="193"/>
        <w:spacing w:after="0" w:line="299" w:lineRule="auto"/>
        <w:tabs>
          <w:tab w:leader="none" w:pos="310" w:val="left"/>
        </w:tabs>
        <w:numPr>
          <w:ilvl w:val="0"/>
          <w:numId w:val="24"/>
        </w:numPr>
        <w:rPr>
          <w:rFonts w:ascii="Arial" w:cs="Arial" w:eastAsia="Arial" w:hAnsi="Arial"/>
          <w:sz w:val="16"/>
          <w:szCs w:val="16"/>
          <w:b w:val="1"/>
          <w:bCs w:val="1"/>
          <w:color w:val="004A98"/>
        </w:rPr>
      </w:pPr>
      <w:r>
        <w:rPr>
          <w:rFonts w:ascii="Arial" w:cs="Arial" w:eastAsia="Arial" w:hAnsi="Arial"/>
          <w:sz w:val="16"/>
          <w:szCs w:val="16"/>
          <w:color w:val="auto"/>
        </w:rPr>
        <w:t>Forfeiture provisions in our equity awards such that unvested awards are generally forfeited upon a termination of employment (subject to limited exceptions for death, disability, and certain terminations related to a change in control).</w:t>
      </w:r>
    </w:p>
    <w:p>
      <w:pPr>
        <w:ind w:left="320" w:hanging="173"/>
        <w:spacing w:after="0"/>
        <w:tabs>
          <w:tab w:leader="none" w:pos="320" w:val="left"/>
        </w:tabs>
        <w:numPr>
          <w:ilvl w:val="0"/>
          <w:numId w:val="24"/>
        </w:numPr>
        <w:rPr>
          <w:rFonts w:ascii="Arial" w:cs="Arial" w:eastAsia="Arial" w:hAnsi="Arial"/>
          <w:sz w:val="16"/>
          <w:szCs w:val="16"/>
          <w:b w:val="1"/>
          <w:bCs w:val="1"/>
          <w:color w:val="004A98"/>
        </w:rPr>
      </w:pPr>
      <w:r>
        <w:rPr>
          <w:rFonts w:ascii="Arial" w:cs="Arial" w:eastAsia="Arial" w:hAnsi="Arial"/>
          <w:sz w:val="16"/>
          <w:szCs w:val="16"/>
          <w:color w:val="auto"/>
        </w:rPr>
        <w:t>An insider trading policy that prohibits any employee or director from shorting, hedging, or pledging our stock.</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26</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60"/>
          </w:cols>
          <w:pgMar w:left="320" w:top="121" w:right="51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Executive Compensation</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Pay and Performance Relationship</w:t>
      </w:r>
    </w:p>
    <w:p>
      <w:pPr>
        <w:spacing w:after="0" w:line="112" w:lineRule="exact"/>
        <w:rPr>
          <w:sz w:val="20"/>
          <w:szCs w:val="20"/>
          <w:color w:val="auto"/>
        </w:rPr>
      </w:pPr>
    </w:p>
    <w:p>
      <w:pPr>
        <w:ind w:right="40"/>
        <w:spacing w:after="0" w:line="275" w:lineRule="auto"/>
        <w:rPr>
          <w:sz w:val="20"/>
          <w:szCs w:val="20"/>
          <w:color w:val="auto"/>
        </w:rPr>
      </w:pPr>
      <w:r>
        <w:rPr>
          <w:rFonts w:ascii="Arial" w:cs="Arial" w:eastAsia="Arial" w:hAnsi="Arial"/>
          <w:sz w:val="16"/>
          <w:szCs w:val="16"/>
          <w:color w:val="auto"/>
        </w:rPr>
        <w:t>It is important that our NEOs are motivated to achieve, and rewarded for achieving, objectives that provide long-term benefits to our stockholders. We have designed our executive compensation program so that a significant amount of each NEO’s compensation is tied to our stockholders’ long-term interests. The charts below illustrate our emphasis on performance-based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198755</wp:posOffset>
            </wp:positionV>
            <wp:extent cx="5966460" cy="244348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5966460" cy="24434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80" w:hanging="142"/>
        <w:spacing w:after="0"/>
        <w:tabs>
          <w:tab w:leader="none" w:pos="280" w:val="left"/>
        </w:tabs>
        <w:numPr>
          <w:ilvl w:val="0"/>
          <w:numId w:val="25"/>
        </w:numPr>
        <w:rPr>
          <w:rFonts w:ascii="Arial" w:cs="Arial" w:eastAsia="Arial" w:hAnsi="Arial"/>
          <w:sz w:val="17"/>
          <w:szCs w:val="17"/>
          <w:color w:val="auto"/>
          <w:vertAlign w:val="superscript"/>
        </w:rPr>
      </w:pPr>
      <w:r>
        <w:rPr>
          <w:rFonts w:ascii="Arial" w:cs="Arial" w:eastAsia="Arial" w:hAnsi="Arial"/>
          <w:sz w:val="13"/>
          <w:szCs w:val="13"/>
          <w:color w:val="auto"/>
        </w:rPr>
        <w:t>Performance-Based Compensation = 2024 Annual Target Bonus + 2024 Long-Term Incentive, valued as of the date of the grant.</w:t>
      </w: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Results of 2024 Say on Pay Vote</w:t>
      </w:r>
    </w:p>
    <w:p>
      <w:pPr>
        <w:spacing w:after="0" w:line="99" w:lineRule="exact"/>
        <w:rPr>
          <w:sz w:val="20"/>
          <w:szCs w:val="20"/>
          <w:color w:val="auto"/>
        </w:rPr>
      </w:pPr>
    </w:p>
    <w:p>
      <w:pPr>
        <w:ind w:right="140"/>
        <w:spacing w:after="0" w:line="247" w:lineRule="auto"/>
        <w:rPr>
          <w:sz w:val="20"/>
          <w:szCs w:val="20"/>
          <w:color w:val="auto"/>
        </w:rPr>
      </w:pPr>
      <w:r>
        <w:rPr>
          <w:rFonts w:ascii="Arial" w:cs="Arial" w:eastAsia="Arial" w:hAnsi="Arial"/>
          <w:sz w:val="16"/>
          <w:szCs w:val="16"/>
          <w:color w:val="auto"/>
        </w:rPr>
        <w:t>When the Compensation Committee set compensation amounts for 2025, it considered the results of the 2024 stockholder advisory vote on our executive compensation program. At our 2024 Annual Meeting of Stockholders, our stockholders indicated strong support of our executive compensation program, with over 94% of the votes cast in favor of our executive compensation program. In light of this strong support and based on our review of our program’s market competitiveness and alignment with best practices, the Compensation Committee made no significant changes to our overall approach to executive compensation for 2024 and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2585085</wp:posOffset>
            </wp:positionH>
            <wp:positionV relativeFrom="paragraph">
              <wp:posOffset>-8890</wp:posOffset>
            </wp:positionV>
            <wp:extent cx="1971675" cy="17145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971675" cy="1714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4A98"/>
        </w:rPr>
        <w:t>Voted in Favor of our Executive Compensation Program</w:t>
      </w:r>
    </w:p>
    <w:p>
      <w:pPr>
        <w:spacing w:after="0" w:line="2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004A98"/>
        </w:rPr>
        <w:t>at our 2024 Annual Meeting of Stockholders</w:t>
      </w:r>
    </w:p>
    <w:p>
      <w:pPr>
        <w:spacing w:after="0" w:line="217"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Executive Compensation</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Elements of Our Executive Compensation Program</w:t>
      </w:r>
    </w:p>
    <w:p>
      <w:pPr>
        <w:spacing w:after="0" w:line="12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Our executive compensation program is made up of three main elements: base salary, annual incentive bonus, and long-term incentive compensation. The chart below shows our objectives for each element of compensation and the factors we use to determine compensation amounts. For each element of compensation, the Compensation Committee considers our peer group and relevant survey data as well as guidance from the Compensation Committee’s independent compensation consultant before determining compensation amounts.</w:t>
      </w:r>
    </w:p>
    <w:p>
      <w:pPr>
        <w:sectPr>
          <w:pgSz w:w="11900" w:h="16838" w:orient="portrait"/>
          <w:cols w:equalWidth="0" w:num="1">
            <w:col w:w="11100"/>
          </w:cols>
          <w:pgMar w:left="320" w:top="121" w:right="479" w:bottom="1440" w:gutter="0" w:footer="0" w:header="0"/>
        </w:sectPr>
      </w:pPr>
    </w:p>
    <w:p>
      <w:pPr>
        <w:spacing w:after="0" w:line="11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155130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638175</wp:posOffset>
            </wp:positionV>
            <wp:extent cx="155130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004A98"/>
        </w:rPr>
        <w:t>Annual Incentive Bonus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466725</wp:posOffset>
            </wp:positionV>
            <wp:extent cx="155130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5513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OBJECTIVE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-91440</wp:posOffset>
            </wp:positionV>
            <wp:extent cx="2366010" cy="12001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366010" cy="120015"/>
                    </a:xfrm>
                    <a:prstGeom prst="rect">
                      <a:avLst/>
                    </a:prstGeom>
                    <a:noFill/>
                  </pic:spPr>
                </pic:pic>
              </a:graphicData>
            </a:graphic>
          </wp:anchor>
        </w:drawing>
      </w:r>
    </w:p>
    <w:p>
      <w:pPr>
        <w:spacing w:after="0" w:line="37"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Provide a guaranteed level of fixed annual income to attract and retain executive talent. Increases are not automatic or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357505</wp:posOffset>
            </wp:positionV>
            <wp:extent cx="236601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right="160"/>
        <w:spacing w:after="0" w:line="286" w:lineRule="auto"/>
        <w:rPr>
          <w:sz w:val="20"/>
          <w:szCs w:val="20"/>
          <w:color w:val="auto"/>
        </w:rPr>
      </w:pPr>
      <w:r>
        <w:rPr>
          <w:rFonts w:ascii="Arial" w:cs="Arial" w:eastAsia="Arial" w:hAnsi="Arial"/>
          <w:sz w:val="16"/>
          <w:szCs w:val="16"/>
          <w:color w:val="auto"/>
        </w:rPr>
        <w:t>Provide a reward for achieving individual goals and the Company’s financial and strategic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296545</wp:posOffset>
            </wp:positionV>
            <wp:extent cx="236601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5" w:lineRule="exact"/>
        <w:rPr>
          <w:sz w:val="20"/>
          <w:szCs w:val="20"/>
          <w:color w:val="auto"/>
        </w:rPr>
      </w:pPr>
    </w:p>
    <w:p>
      <w:pPr>
        <w:ind w:left="56"/>
        <w:spacing w:after="0"/>
        <w:rPr>
          <w:sz w:val="20"/>
          <w:szCs w:val="20"/>
          <w:color w:val="auto"/>
        </w:rPr>
      </w:pPr>
      <w:r>
        <w:rPr>
          <w:rFonts w:ascii="Arial" w:cs="Arial" w:eastAsia="Arial" w:hAnsi="Arial"/>
          <w:sz w:val="13"/>
          <w:szCs w:val="13"/>
          <w:b w:val="1"/>
          <w:bCs w:val="1"/>
          <w:color w:val="auto"/>
        </w:rPr>
        <w:t>FACTORS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-91440</wp:posOffset>
            </wp:positionV>
            <wp:extent cx="3094355" cy="12001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094355" cy="120015"/>
                    </a:xfrm>
                    <a:prstGeom prst="rect">
                      <a:avLst/>
                    </a:prstGeom>
                    <a:noFill/>
                  </pic:spPr>
                </pic:pic>
              </a:graphicData>
            </a:graphic>
          </wp:anchor>
        </w:drawing>
      </w:r>
    </w:p>
    <w:p>
      <w:pPr>
        <w:spacing w:after="0" w:line="104" w:lineRule="exact"/>
        <w:rPr>
          <w:sz w:val="20"/>
          <w:szCs w:val="20"/>
          <w:color w:val="auto"/>
        </w:rPr>
      </w:pPr>
    </w:p>
    <w:p>
      <w:pPr>
        <w:ind w:left="156" w:hanging="156"/>
        <w:spacing w:after="0"/>
        <w:tabs>
          <w:tab w:leader="none" w:pos="156" w:val="left"/>
        </w:tabs>
        <w:numPr>
          <w:ilvl w:val="0"/>
          <w:numId w:val="26"/>
        </w:numPr>
        <w:rPr>
          <w:rFonts w:ascii="Arial" w:cs="Arial" w:eastAsia="Arial" w:hAnsi="Arial"/>
          <w:sz w:val="16"/>
          <w:szCs w:val="16"/>
          <w:b w:val="1"/>
          <w:bCs w:val="1"/>
          <w:color w:val="004A98"/>
        </w:rPr>
      </w:pPr>
      <w:r>
        <w:rPr>
          <w:rFonts w:ascii="Arial" w:cs="Arial" w:eastAsia="Arial" w:hAnsi="Arial"/>
          <w:sz w:val="16"/>
          <w:szCs w:val="16"/>
          <w:color w:val="auto"/>
        </w:rPr>
        <w:t>Job responsibilities and scope</w:t>
      </w:r>
    </w:p>
    <w:p>
      <w:pPr>
        <w:spacing w:after="0" w:line="86" w:lineRule="exact"/>
        <w:rPr>
          <w:rFonts w:ascii="Arial" w:cs="Arial" w:eastAsia="Arial" w:hAnsi="Arial"/>
          <w:sz w:val="16"/>
          <w:szCs w:val="16"/>
          <w:b w:val="1"/>
          <w:bCs w:val="1"/>
          <w:color w:val="004A98"/>
        </w:rPr>
      </w:pPr>
    </w:p>
    <w:p>
      <w:pPr>
        <w:ind w:left="156" w:hanging="156"/>
        <w:spacing w:after="0"/>
        <w:tabs>
          <w:tab w:leader="none" w:pos="156" w:val="left"/>
        </w:tabs>
        <w:numPr>
          <w:ilvl w:val="0"/>
          <w:numId w:val="26"/>
        </w:numPr>
        <w:rPr>
          <w:rFonts w:ascii="Arial" w:cs="Arial" w:eastAsia="Arial" w:hAnsi="Arial"/>
          <w:sz w:val="16"/>
          <w:szCs w:val="16"/>
          <w:b w:val="1"/>
          <w:bCs w:val="1"/>
          <w:color w:val="004A98"/>
        </w:rPr>
      </w:pPr>
      <w:r>
        <w:rPr>
          <w:rFonts w:ascii="Arial" w:cs="Arial" w:eastAsia="Arial" w:hAnsi="Arial"/>
          <w:sz w:val="16"/>
          <w:szCs w:val="16"/>
          <w:color w:val="auto"/>
        </w:rPr>
        <w:t>Experience</w:t>
      </w:r>
    </w:p>
    <w:p>
      <w:pPr>
        <w:spacing w:after="0" w:line="72" w:lineRule="exact"/>
        <w:rPr>
          <w:rFonts w:ascii="Arial" w:cs="Arial" w:eastAsia="Arial" w:hAnsi="Arial"/>
          <w:sz w:val="16"/>
          <w:szCs w:val="16"/>
          <w:b w:val="1"/>
          <w:bCs w:val="1"/>
          <w:color w:val="004A98"/>
        </w:rPr>
      </w:pPr>
    </w:p>
    <w:p>
      <w:pPr>
        <w:ind w:left="156" w:hanging="156"/>
        <w:spacing w:after="0"/>
        <w:tabs>
          <w:tab w:leader="none" w:pos="156" w:val="left"/>
        </w:tabs>
        <w:numPr>
          <w:ilvl w:val="0"/>
          <w:numId w:val="26"/>
        </w:numPr>
        <w:rPr>
          <w:rFonts w:ascii="Arial" w:cs="Arial" w:eastAsia="Arial" w:hAnsi="Arial"/>
          <w:sz w:val="16"/>
          <w:szCs w:val="16"/>
          <w:b w:val="1"/>
          <w:bCs w:val="1"/>
          <w:color w:val="004A98"/>
        </w:rPr>
      </w:pPr>
      <w:r>
        <w:rPr>
          <w:rFonts w:ascii="Arial" w:cs="Arial" w:eastAsia="Arial" w:hAnsi="Arial"/>
          <w:sz w:val="16"/>
          <w:szCs w:val="16"/>
          <w:color w:val="auto"/>
        </w:rPr>
        <w:t>Individual contributions</w:t>
      </w:r>
    </w:p>
    <w:p>
      <w:pPr>
        <w:spacing w:after="0" w:line="86" w:lineRule="exact"/>
        <w:rPr>
          <w:rFonts w:ascii="Arial" w:cs="Arial" w:eastAsia="Arial" w:hAnsi="Arial"/>
          <w:sz w:val="16"/>
          <w:szCs w:val="16"/>
          <w:b w:val="1"/>
          <w:bCs w:val="1"/>
          <w:color w:val="004A98"/>
        </w:rPr>
      </w:pPr>
    </w:p>
    <w:p>
      <w:pPr>
        <w:ind w:left="156" w:hanging="156"/>
        <w:spacing w:after="0"/>
        <w:tabs>
          <w:tab w:leader="none" w:pos="156" w:val="left"/>
        </w:tabs>
        <w:numPr>
          <w:ilvl w:val="0"/>
          <w:numId w:val="26"/>
        </w:numPr>
        <w:rPr>
          <w:rFonts w:ascii="Arial" w:cs="Arial" w:eastAsia="Arial" w:hAnsi="Arial"/>
          <w:sz w:val="16"/>
          <w:szCs w:val="16"/>
          <w:b w:val="1"/>
          <w:bCs w:val="1"/>
          <w:color w:val="004A98"/>
        </w:rPr>
      </w:pPr>
      <w:r>
        <w:rPr>
          <w:rFonts w:ascii="Arial" w:cs="Arial" w:eastAsia="Arial" w:hAnsi="Arial"/>
          <w:sz w:val="16"/>
          <w:szCs w:val="16"/>
          <w:color w:val="auto"/>
        </w:rPr>
        <w:t>Internal pay alignment and peer and industry benchmarking</w:t>
      </w:r>
    </w:p>
    <w:p>
      <w:pPr>
        <w:spacing w:after="0" w:line="221" w:lineRule="exact"/>
        <w:rPr>
          <w:rFonts w:ascii="Arial" w:cs="Arial" w:eastAsia="Arial" w:hAnsi="Arial"/>
          <w:sz w:val="16"/>
          <w:szCs w:val="16"/>
          <w:b w:val="1"/>
          <w:bCs w:val="1"/>
          <w:color w:val="004A98"/>
        </w:rPr>
      </w:pPr>
    </w:p>
    <w:p>
      <w:pPr>
        <w:ind w:left="156" w:hanging="156"/>
        <w:spacing w:after="0"/>
        <w:tabs>
          <w:tab w:leader="none" w:pos="156" w:val="left"/>
        </w:tabs>
        <w:numPr>
          <w:ilvl w:val="0"/>
          <w:numId w:val="26"/>
        </w:numPr>
        <w:rPr>
          <w:rFonts w:ascii="Arial" w:cs="Arial" w:eastAsia="Arial" w:hAnsi="Arial"/>
          <w:sz w:val="16"/>
          <w:szCs w:val="16"/>
          <w:b w:val="1"/>
          <w:bCs w:val="1"/>
          <w:color w:val="004A98"/>
        </w:rPr>
      </w:pPr>
      <w:r>
        <w:rPr>
          <w:rFonts w:ascii="Arial" w:cs="Arial" w:eastAsia="Arial" w:hAnsi="Arial"/>
          <w:sz w:val="16"/>
          <w:szCs w:val="16"/>
          <w:color w:val="auto"/>
        </w:rPr>
        <w:t>Company performance</w:t>
      </w:r>
    </w:p>
    <w:p>
      <w:pPr>
        <w:spacing w:after="0" w:line="86" w:lineRule="exact"/>
        <w:rPr>
          <w:rFonts w:ascii="Arial" w:cs="Arial" w:eastAsia="Arial" w:hAnsi="Arial"/>
          <w:sz w:val="16"/>
          <w:szCs w:val="16"/>
          <w:b w:val="1"/>
          <w:bCs w:val="1"/>
          <w:color w:val="004A98"/>
        </w:rPr>
      </w:pPr>
    </w:p>
    <w:p>
      <w:pPr>
        <w:ind w:left="156" w:hanging="156"/>
        <w:spacing w:after="0"/>
        <w:tabs>
          <w:tab w:leader="none" w:pos="156" w:val="left"/>
        </w:tabs>
        <w:numPr>
          <w:ilvl w:val="0"/>
          <w:numId w:val="26"/>
        </w:numPr>
        <w:rPr>
          <w:rFonts w:ascii="Arial" w:cs="Arial" w:eastAsia="Arial" w:hAnsi="Arial"/>
          <w:sz w:val="16"/>
          <w:szCs w:val="16"/>
          <w:b w:val="1"/>
          <w:bCs w:val="1"/>
          <w:color w:val="004A98"/>
        </w:rPr>
      </w:pPr>
      <w:r>
        <w:rPr>
          <w:rFonts w:ascii="Arial" w:cs="Arial" w:eastAsia="Arial" w:hAnsi="Arial"/>
          <w:sz w:val="16"/>
          <w:szCs w:val="16"/>
          <w:color w:val="auto"/>
        </w:rPr>
        <w:t>Individual performance</w:t>
      </w:r>
    </w:p>
    <w:p>
      <w:pPr>
        <w:spacing w:after="0" w:line="72" w:lineRule="exact"/>
        <w:rPr>
          <w:rFonts w:ascii="Arial" w:cs="Arial" w:eastAsia="Arial" w:hAnsi="Arial"/>
          <w:sz w:val="16"/>
          <w:szCs w:val="16"/>
          <w:b w:val="1"/>
          <w:bCs w:val="1"/>
          <w:color w:val="004A98"/>
        </w:rPr>
      </w:pPr>
    </w:p>
    <w:p>
      <w:pPr>
        <w:ind w:left="156" w:hanging="156"/>
        <w:spacing w:after="0"/>
        <w:tabs>
          <w:tab w:leader="none" w:pos="156" w:val="left"/>
        </w:tabs>
        <w:numPr>
          <w:ilvl w:val="0"/>
          <w:numId w:val="26"/>
        </w:numPr>
        <w:rPr>
          <w:rFonts w:ascii="Arial" w:cs="Arial" w:eastAsia="Arial" w:hAnsi="Arial"/>
          <w:sz w:val="16"/>
          <w:szCs w:val="16"/>
          <w:b w:val="1"/>
          <w:bCs w:val="1"/>
          <w:color w:val="004A98"/>
        </w:rPr>
      </w:pPr>
      <w:r>
        <w:rPr>
          <w:rFonts w:ascii="Arial" w:cs="Arial" w:eastAsia="Arial" w:hAnsi="Arial"/>
          <w:sz w:val="16"/>
          <w:szCs w:val="16"/>
          <w:color w:val="auto"/>
        </w:rPr>
        <w:t>Internal pay alignment and peer and industry benchmarking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80645</wp:posOffset>
            </wp:positionV>
            <wp:extent cx="309435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3094355"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-509905</wp:posOffset>
            </wp:positionV>
            <wp:extent cx="309435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3">
            <w:col w:w="1880" w:space="720"/>
            <w:col w:w="3640" w:space="144"/>
            <w:col w:w="4716"/>
          </w:cols>
          <w:pgMar w:left="320" w:top="121" w:right="479" w:bottom="1440" w:gutter="0" w:footer="0" w:header="0"/>
          <w:type w:val="continuous"/>
        </w:sectPr>
      </w:pPr>
    </w:p>
    <w:p>
      <w:pPr>
        <w:ind w:left="20" w:right="280"/>
        <w:spacing w:after="0" w:line="296" w:lineRule="auto"/>
        <w:rPr>
          <w:sz w:val="20"/>
          <w:szCs w:val="20"/>
          <w:color w:val="auto"/>
        </w:rPr>
      </w:pPr>
      <w:r>
        <w:rPr>
          <w:rFonts w:ascii="Arial" w:cs="Arial" w:eastAsia="Arial" w:hAnsi="Arial"/>
          <w:sz w:val="16"/>
          <w:szCs w:val="16"/>
          <w:b w:val="1"/>
          <w:bCs w:val="1"/>
          <w:color w:val="004A98"/>
        </w:rPr>
        <w:t>Long-Term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629285</wp:posOffset>
            </wp:positionV>
            <wp:extent cx="1551305"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55130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5" w:lineRule="auto"/>
        <w:rPr>
          <w:sz w:val="20"/>
          <w:szCs w:val="20"/>
          <w:color w:val="auto"/>
        </w:rPr>
      </w:pPr>
      <w:r>
        <w:rPr>
          <w:rFonts w:ascii="Arial" w:cs="Arial" w:eastAsia="Arial" w:hAnsi="Arial"/>
          <w:sz w:val="16"/>
          <w:szCs w:val="16"/>
          <w:color w:val="auto"/>
        </w:rPr>
        <w:t>Provide an award that both serves a retention purpose and incentivizes executives to manage the Company from the perspective of a long-term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401955</wp:posOffset>
            </wp:positionV>
            <wp:extent cx="236601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3660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ind w:left="156" w:hanging="156"/>
        <w:spacing w:after="0"/>
        <w:tabs>
          <w:tab w:leader="none" w:pos="156" w:val="left"/>
        </w:tabs>
        <w:numPr>
          <w:ilvl w:val="0"/>
          <w:numId w:val="27"/>
        </w:numPr>
        <w:rPr>
          <w:rFonts w:ascii="Arial" w:cs="Arial" w:eastAsia="Arial" w:hAnsi="Arial"/>
          <w:sz w:val="16"/>
          <w:szCs w:val="16"/>
          <w:b w:val="1"/>
          <w:bCs w:val="1"/>
          <w:color w:val="004A98"/>
        </w:rPr>
      </w:pPr>
      <w:r>
        <w:rPr>
          <w:rFonts w:ascii="Arial" w:cs="Arial" w:eastAsia="Arial" w:hAnsi="Arial"/>
          <w:sz w:val="16"/>
          <w:szCs w:val="16"/>
          <w:color w:val="auto"/>
        </w:rPr>
        <w:t>Importance of the NEO to Company performance</w:t>
      </w:r>
    </w:p>
    <w:p>
      <w:pPr>
        <w:spacing w:after="0" w:line="86" w:lineRule="exact"/>
        <w:rPr>
          <w:rFonts w:ascii="Arial" w:cs="Arial" w:eastAsia="Arial" w:hAnsi="Arial"/>
          <w:sz w:val="16"/>
          <w:szCs w:val="16"/>
          <w:b w:val="1"/>
          <w:bCs w:val="1"/>
          <w:color w:val="004A98"/>
        </w:rPr>
      </w:pPr>
    </w:p>
    <w:p>
      <w:pPr>
        <w:ind w:left="156" w:hanging="156"/>
        <w:spacing w:after="0"/>
        <w:tabs>
          <w:tab w:leader="none" w:pos="156" w:val="left"/>
        </w:tabs>
        <w:numPr>
          <w:ilvl w:val="0"/>
          <w:numId w:val="27"/>
        </w:numPr>
        <w:rPr>
          <w:rFonts w:ascii="Arial" w:cs="Arial" w:eastAsia="Arial" w:hAnsi="Arial"/>
          <w:sz w:val="16"/>
          <w:szCs w:val="16"/>
          <w:b w:val="1"/>
          <w:bCs w:val="1"/>
          <w:color w:val="004A98"/>
        </w:rPr>
      </w:pPr>
      <w:r>
        <w:rPr>
          <w:rFonts w:ascii="Arial" w:cs="Arial" w:eastAsia="Arial" w:hAnsi="Arial"/>
          <w:sz w:val="16"/>
          <w:szCs w:val="16"/>
          <w:color w:val="auto"/>
        </w:rPr>
        <w:t>Individual contributions</w:t>
      </w:r>
    </w:p>
    <w:p>
      <w:pPr>
        <w:spacing w:after="0" w:line="72" w:lineRule="exact"/>
        <w:rPr>
          <w:rFonts w:ascii="Arial" w:cs="Arial" w:eastAsia="Arial" w:hAnsi="Arial"/>
          <w:sz w:val="16"/>
          <w:szCs w:val="16"/>
          <w:b w:val="1"/>
          <w:bCs w:val="1"/>
          <w:color w:val="004A98"/>
        </w:rPr>
      </w:pPr>
    </w:p>
    <w:p>
      <w:pPr>
        <w:ind w:left="156" w:hanging="156"/>
        <w:spacing w:after="0"/>
        <w:tabs>
          <w:tab w:leader="none" w:pos="156" w:val="left"/>
        </w:tabs>
        <w:numPr>
          <w:ilvl w:val="0"/>
          <w:numId w:val="27"/>
        </w:numPr>
        <w:rPr>
          <w:rFonts w:ascii="Arial" w:cs="Arial" w:eastAsia="Arial" w:hAnsi="Arial"/>
          <w:sz w:val="16"/>
          <w:szCs w:val="16"/>
          <w:b w:val="1"/>
          <w:bCs w:val="1"/>
          <w:color w:val="004A98"/>
        </w:rPr>
      </w:pPr>
      <w:r>
        <w:rPr>
          <w:rFonts w:ascii="Arial" w:cs="Arial" w:eastAsia="Arial" w:hAnsi="Arial"/>
          <w:sz w:val="16"/>
          <w:szCs w:val="16"/>
          <w:color w:val="auto"/>
        </w:rPr>
        <w:t>Future potential of the NEO</w:t>
      </w:r>
    </w:p>
    <w:p>
      <w:pPr>
        <w:spacing w:after="0" w:line="86" w:lineRule="exact"/>
        <w:rPr>
          <w:rFonts w:ascii="Arial" w:cs="Arial" w:eastAsia="Arial" w:hAnsi="Arial"/>
          <w:sz w:val="16"/>
          <w:szCs w:val="16"/>
          <w:b w:val="1"/>
          <w:bCs w:val="1"/>
          <w:color w:val="004A98"/>
        </w:rPr>
      </w:pPr>
    </w:p>
    <w:p>
      <w:pPr>
        <w:ind w:left="156" w:hanging="156"/>
        <w:spacing w:after="0"/>
        <w:tabs>
          <w:tab w:leader="none" w:pos="156" w:val="left"/>
        </w:tabs>
        <w:numPr>
          <w:ilvl w:val="0"/>
          <w:numId w:val="27"/>
        </w:numPr>
        <w:rPr>
          <w:rFonts w:ascii="Arial" w:cs="Arial" w:eastAsia="Arial" w:hAnsi="Arial"/>
          <w:sz w:val="16"/>
          <w:szCs w:val="16"/>
          <w:b w:val="1"/>
          <w:bCs w:val="1"/>
          <w:color w:val="004A98"/>
        </w:rPr>
      </w:pPr>
      <w:r>
        <w:rPr>
          <w:rFonts w:ascii="Arial" w:cs="Arial" w:eastAsia="Arial" w:hAnsi="Arial"/>
          <w:sz w:val="16"/>
          <w:szCs w:val="16"/>
          <w:color w:val="auto"/>
        </w:rPr>
        <w:t>Value of NEO’s vested and unvested outstanding equity awards</w:t>
      </w:r>
    </w:p>
    <w:p>
      <w:pPr>
        <w:spacing w:after="0" w:line="86" w:lineRule="exact"/>
        <w:rPr>
          <w:rFonts w:ascii="Arial" w:cs="Arial" w:eastAsia="Arial" w:hAnsi="Arial"/>
          <w:sz w:val="16"/>
          <w:szCs w:val="16"/>
          <w:b w:val="1"/>
          <w:bCs w:val="1"/>
          <w:color w:val="004A98"/>
        </w:rPr>
      </w:pPr>
    </w:p>
    <w:p>
      <w:pPr>
        <w:ind w:left="156" w:hanging="156"/>
        <w:spacing w:after="0"/>
        <w:tabs>
          <w:tab w:leader="none" w:pos="156" w:val="left"/>
        </w:tabs>
        <w:numPr>
          <w:ilvl w:val="0"/>
          <w:numId w:val="27"/>
        </w:numPr>
        <w:rPr>
          <w:rFonts w:ascii="Arial" w:cs="Arial" w:eastAsia="Arial" w:hAnsi="Arial"/>
          <w:sz w:val="16"/>
          <w:szCs w:val="16"/>
          <w:b w:val="1"/>
          <w:bCs w:val="1"/>
          <w:color w:val="004A98"/>
        </w:rPr>
      </w:pPr>
      <w:r>
        <w:rPr>
          <w:rFonts w:ascii="Arial" w:cs="Arial" w:eastAsia="Arial" w:hAnsi="Arial"/>
          <w:sz w:val="16"/>
          <w:szCs w:val="16"/>
          <w:color w:val="auto"/>
        </w:rPr>
        <w:t>Internal pay alignment and peer and industry benchmarking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80645</wp:posOffset>
            </wp:positionV>
            <wp:extent cx="3094355"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3094355"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3">
            <w:col w:w="1880" w:space="720"/>
            <w:col w:w="3520" w:space="264"/>
            <w:col w:w="4716"/>
          </w:cols>
          <w:pgMar w:left="320" w:top="121" w:right="479" w:bottom="1440" w:gutter="0" w:footer="0" w:header="0"/>
          <w:type w:val="continuous"/>
        </w:sectPr>
      </w:pPr>
    </w:p>
    <w:p>
      <w:pPr>
        <w:spacing w:after="0" w:line="1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Our Process for Setting Compensation</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Role of the Compensation Committee</w:t>
      </w:r>
    </w:p>
    <w:p>
      <w:pPr>
        <w:spacing w:after="0" w:line="112" w:lineRule="exact"/>
        <w:rPr>
          <w:sz w:val="20"/>
          <w:szCs w:val="20"/>
          <w:color w:val="auto"/>
        </w:rPr>
      </w:pPr>
    </w:p>
    <w:p>
      <w:pPr>
        <w:ind w:right="540"/>
        <w:spacing w:after="0" w:line="286" w:lineRule="auto"/>
        <w:rPr>
          <w:sz w:val="20"/>
          <w:szCs w:val="20"/>
          <w:color w:val="auto"/>
        </w:rPr>
      </w:pPr>
      <w:r>
        <w:rPr>
          <w:rFonts w:ascii="Arial" w:cs="Arial" w:eastAsia="Arial" w:hAnsi="Arial"/>
          <w:sz w:val="16"/>
          <w:szCs w:val="16"/>
          <w:color w:val="auto"/>
        </w:rPr>
        <w:t>The Compensation Committee oversees our compensation and benefit programs, approves NEOs’ compensation, and sets the policies that govern compensation of our NEOs and other employees. The Compensation Committee annually:</w:t>
      </w:r>
    </w:p>
    <w:p>
      <w:pPr>
        <w:spacing w:after="0" w:line="61" w:lineRule="exact"/>
        <w:rPr>
          <w:sz w:val="20"/>
          <w:szCs w:val="20"/>
          <w:color w:val="auto"/>
        </w:rPr>
      </w:pPr>
    </w:p>
    <w:p>
      <w:pPr>
        <w:ind w:left="180" w:hanging="172"/>
        <w:spacing w:after="0"/>
        <w:tabs>
          <w:tab w:leader="none" w:pos="180" w:val="left"/>
        </w:tabs>
        <w:numPr>
          <w:ilvl w:val="0"/>
          <w:numId w:val="28"/>
        </w:numPr>
        <w:rPr>
          <w:rFonts w:ascii="Arial" w:cs="Arial" w:eastAsia="Arial" w:hAnsi="Arial"/>
          <w:sz w:val="16"/>
          <w:szCs w:val="16"/>
          <w:b w:val="1"/>
          <w:bCs w:val="1"/>
          <w:color w:val="004A98"/>
        </w:rPr>
      </w:pPr>
      <w:r>
        <w:rPr>
          <w:rFonts w:ascii="Arial" w:cs="Arial" w:eastAsia="Arial" w:hAnsi="Arial"/>
          <w:sz w:val="16"/>
          <w:szCs w:val="16"/>
          <w:color w:val="auto"/>
        </w:rPr>
        <w:t>Reviews and makes changes as appropriate to the peer group used to benchmark competitive compensation levels for our NEOs;</w:t>
      </w:r>
    </w:p>
    <w:p>
      <w:pPr>
        <w:spacing w:after="0" w:line="72" w:lineRule="exact"/>
        <w:rPr>
          <w:rFonts w:ascii="Arial" w:cs="Arial" w:eastAsia="Arial" w:hAnsi="Arial"/>
          <w:sz w:val="16"/>
          <w:szCs w:val="16"/>
          <w:b w:val="1"/>
          <w:bCs w:val="1"/>
          <w:color w:val="004A98"/>
        </w:rPr>
      </w:pPr>
    </w:p>
    <w:p>
      <w:pPr>
        <w:ind w:left="180" w:hanging="172"/>
        <w:spacing w:after="0"/>
        <w:tabs>
          <w:tab w:leader="none" w:pos="180" w:val="left"/>
        </w:tabs>
        <w:numPr>
          <w:ilvl w:val="0"/>
          <w:numId w:val="28"/>
        </w:numPr>
        <w:rPr>
          <w:rFonts w:ascii="Arial" w:cs="Arial" w:eastAsia="Arial" w:hAnsi="Arial"/>
          <w:sz w:val="16"/>
          <w:szCs w:val="16"/>
          <w:b w:val="1"/>
          <w:bCs w:val="1"/>
          <w:color w:val="004A98"/>
        </w:rPr>
      </w:pPr>
      <w:r>
        <w:rPr>
          <w:rFonts w:ascii="Arial" w:cs="Arial" w:eastAsia="Arial" w:hAnsi="Arial"/>
          <w:sz w:val="16"/>
          <w:szCs w:val="16"/>
          <w:color w:val="auto"/>
        </w:rPr>
        <w:t xml:space="preserve">Reviews the reports provided from its compensation consultant as described below in the section titled </w:t>
      </w:r>
      <w:r>
        <w:rPr>
          <w:rFonts w:ascii="Arial" w:cs="Arial" w:eastAsia="Arial" w:hAnsi="Arial"/>
          <w:sz w:val="16"/>
          <w:szCs w:val="16"/>
          <w:i w:val="1"/>
          <w:iCs w:val="1"/>
          <w:color w:val="auto"/>
        </w:rPr>
        <w:t>Role of Independent Compensation Consultant</w:t>
      </w:r>
      <w:r>
        <w:rPr>
          <w:rFonts w:ascii="Arial" w:cs="Arial" w:eastAsia="Arial" w:hAnsi="Arial"/>
          <w:sz w:val="16"/>
          <w:szCs w:val="16"/>
          <w:color w:val="auto"/>
        </w:rPr>
        <w:t>;</w:t>
      </w:r>
    </w:p>
    <w:p>
      <w:pPr>
        <w:spacing w:after="0" w:line="86" w:lineRule="exact"/>
        <w:rPr>
          <w:rFonts w:ascii="Arial" w:cs="Arial" w:eastAsia="Arial" w:hAnsi="Arial"/>
          <w:sz w:val="16"/>
          <w:szCs w:val="16"/>
          <w:b w:val="1"/>
          <w:bCs w:val="1"/>
          <w:color w:val="004A98"/>
        </w:rPr>
      </w:pPr>
    </w:p>
    <w:p>
      <w:pPr>
        <w:ind w:left="200" w:right="20" w:hanging="192"/>
        <w:spacing w:after="0" w:line="286" w:lineRule="auto"/>
        <w:tabs>
          <w:tab w:leader="none" w:pos="170" w:val="left"/>
        </w:tabs>
        <w:numPr>
          <w:ilvl w:val="0"/>
          <w:numId w:val="28"/>
        </w:numPr>
        <w:rPr>
          <w:rFonts w:ascii="Arial" w:cs="Arial" w:eastAsia="Arial" w:hAnsi="Arial"/>
          <w:sz w:val="16"/>
          <w:szCs w:val="16"/>
          <w:b w:val="1"/>
          <w:bCs w:val="1"/>
          <w:color w:val="004A98"/>
        </w:rPr>
      </w:pPr>
      <w:r>
        <w:rPr>
          <w:rFonts w:ascii="Arial" w:cs="Arial" w:eastAsia="Arial" w:hAnsi="Arial"/>
          <w:sz w:val="16"/>
          <w:szCs w:val="16"/>
          <w:color w:val="auto"/>
        </w:rPr>
        <w:t>Examines a summary of compensation data of our peer group and reviews broader compensation survey data for technology companies that we believe are comparable to the Company in industry and financial metrics;</w:t>
      </w:r>
    </w:p>
    <w:p>
      <w:pPr>
        <w:spacing w:after="0" w:line="20" w:lineRule="exact"/>
        <w:rPr>
          <w:rFonts w:ascii="Arial" w:cs="Arial" w:eastAsia="Arial" w:hAnsi="Arial"/>
          <w:sz w:val="16"/>
          <w:szCs w:val="16"/>
          <w:b w:val="1"/>
          <w:bCs w:val="1"/>
          <w:color w:val="004A98"/>
        </w:rPr>
      </w:pPr>
    </w:p>
    <w:p>
      <w:pPr>
        <w:ind w:left="180" w:hanging="172"/>
        <w:spacing w:after="0"/>
        <w:tabs>
          <w:tab w:leader="none" w:pos="180" w:val="left"/>
        </w:tabs>
        <w:numPr>
          <w:ilvl w:val="0"/>
          <w:numId w:val="28"/>
        </w:numPr>
        <w:rPr>
          <w:rFonts w:ascii="Arial" w:cs="Arial" w:eastAsia="Arial" w:hAnsi="Arial"/>
          <w:sz w:val="16"/>
          <w:szCs w:val="16"/>
          <w:b w:val="1"/>
          <w:bCs w:val="1"/>
          <w:color w:val="004A98"/>
        </w:rPr>
      </w:pPr>
      <w:r>
        <w:rPr>
          <w:rFonts w:ascii="Arial" w:cs="Arial" w:eastAsia="Arial" w:hAnsi="Arial"/>
          <w:sz w:val="16"/>
          <w:szCs w:val="16"/>
          <w:color w:val="auto"/>
        </w:rPr>
        <w:t>Reviews and approves elements of NEO compensation for market competitiveness and alignment with Company goals;</w:t>
      </w:r>
    </w:p>
    <w:p>
      <w:pPr>
        <w:spacing w:after="0" w:line="86" w:lineRule="exact"/>
        <w:rPr>
          <w:rFonts w:ascii="Arial" w:cs="Arial" w:eastAsia="Arial" w:hAnsi="Arial"/>
          <w:sz w:val="16"/>
          <w:szCs w:val="16"/>
          <w:b w:val="1"/>
          <w:bCs w:val="1"/>
          <w:color w:val="004A98"/>
        </w:rPr>
      </w:pPr>
    </w:p>
    <w:p>
      <w:pPr>
        <w:ind w:left="180" w:hanging="172"/>
        <w:spacing w:after="0"/>
        <w:tabs>
          <w:tab w:leader="none" w:pos="180" w:val="left"/>
        </w:tabs>
        <w:numPr>
          <w:ilvl w:val="0"/>
          <w:numId w:val="28"/>
        </w:numPr>
        <w:rPr>
          <w:rFonts w:ascii="Arial" w:cs="Arial" w:eastAsia="Arial" w:hAnsi="Arial"/>
          <w:sz w:val="16"/>
          <w:szCs w:val="16"/>
          <w:b w:val="1"/>
          <w:bCs w:val="1"/>
          <w:color w:val="004A98"/>
        </w:rPr>
      </w:pPr>
      <w:r>
        <w:rPr>
          <w:rFonts w:ascii="Arial" w:cs="Arial" w:eastAsia="Arial" w:hAnsi="Arial"/>
          <w:sz w:val="16"/>
          <w:szCs w:val="16"/>
          <w:color w:val="auto"/>
        </w:rPr>
        <w:t>Reviews stockholder dilution and burn rate in making equity compensation decisions;</w:t>
      </w:r>
    </w:p>
    <w:p>
      <w:pPr>
        <w:spacing w:after="0" w:line="86" w:lineRule="exact"/>
        <w:rPr>
          <w:rFonts w:ascii="Arial" w:cs="Arial" w:eastAsia="Arial" w:hAnsi="Arial"/>
          <w:sz w:val="16"/>
          <w:szCs w:val="16"/>
          <w:b w:val="1"/>
          <w:bCs w:val="1"/>
          <w:color w:val="004A98"/>
        </w:rPr>
      </w:pPr>
    </w:p>
    <w:p>
      <w:pPr>
        <w:ind w:left="180" w:hanging="172"/>
        <w:spacing w:after="0"/>
        <w:tabs>
          <w:tab w:leader="none" w:pos="180" w:val="left"/>
        </w:tabs>
        <w:numPr>
          <w:ilvl w:val="0"/>
          <w:numId w:val="28"/>
        </w:numPr>
        <w:rPr>
          <w:rFonts w:ascii="Arial" w:cs="Arial" w:eastAsia="Arial" w:hAnsi="Arial"/>
          <w:sz w:val="16"/>
          <w:szCs w:val="16"/>
          <w:b w:val="1"/>
          <w:bCs w:val="1"/>
          <w:color w:val="004A98"/>
        </w:rPr>
      </w:pPr>
      <w:r>
        <w:rPr>
          <w:rFonts w:ascii="Arial" w:cs="Arial" w:eastAsia="Arial" w:hAnsi="Arial"/>
          <w:sz w:val="16"/>
          <w:szCs w:val="16"/>
          <w:color w:val="auto"/>
        </w:rPr>
        <w:t>Sets performance goals for our annual incentive bonus and long-term incentive compensation programs;</w:t>
      </w:r>
    </w:p>
    <w:p>
      <w:pPr>
        <w:spacing w:after="0" w:line="72" w:lineRule="exact"/>
        <w:rPr>
          <w:rFonts w:ascii="Arial" w:cs="Arial" w:eastAsia="Arial" w:hAnsi="Arial"/>
          <w:sz w:val="16"/>
          <w:szCs w:val="16"/>
          <w:b w:val="1"/>
          <w:bCs w:val="1"/>
          <w:color w:val="004A98"/>
        </w:rPr>
      </w:pPr>
    </w:p>
    <w:p>
      <w:pPr>
        <w:ind w:left="180" w:hanging="172"/>
        <w:spacing w:after="0"/>
        <w:tabs>
          <w:tab w:leader="none" w:pos="180" w:val="left"/>
        </w:tabs>
        <w:numPr>
          <w:ilvl w:val="0"/>
          <w:numId w:val="28"/>
        </w:numPr>
        <w:rPr>
          <w:rFonts w:ascii="Arial" w:cs="Arial" w:eastAsia="Arial" w:hAnsi="Arial"/>
          <w:sz w:val="16"/>
          <w:szCs w:val="16"/>
          <w:b w:val="1"/>
          <w:bCs w:val="1"/>
          <w:color w:val="004A98"/>
        </w:rPr>
      </w:pPr>
      <w:r>
        <w:rPr>
          <w:rFonts w:ascii="Arial" w:cs="Arial" w:eastAsia="Arial" w:hAnsi="Arial"/>
          <w:sz w:val="16"/>
          <w:szCs w:val="16"/>
          <w:color w:val="auto"/>
        </w:rPr>
        <w:t>Reviews a tally sheet for every NEO detailing the NEO’s entire compensation and benefits package and earnings potential from unvested equity awards;</w:t>
      </w:r>
    </w:p>
    <w:p>
      <w:pPr>
        <w:spacing w:after="0" w:line="86" w:lineRule="exact"/>
        <w:rPr>
          <w:rFonts w:ascii="Arial" w:cs="Arial" w:eastAsia="Arial" w:hAnsi="Arial"/>
          <w:sz w:val="16"/>
          <w:szCs w:val="16"/>
          <w:b w:val="1"/>
          <w:bCs w:val="1"/>
          <w:color w:val="004A98"/>
        </w:rPr>
      </w:pPr>
    </w:p>
    <w:p>
      <w:pPr>
        <w:ind w:left="200" w:right="260" w:hanging="192"/>
        <w:spacing w:after="0" w:line="275" w:lineRule="auto"/>
        <w:tabs>
          <w:tab w:leader="none" w:pos="170" w:val="left"/>
        </w:tabs>
        <w:numPr>
          <w:ilvl w:val="0"/>
          <w:numId w:val="28"/>
        </w:numPr>
        <w:rPr>
          <w:rFonts w:ascii="Arial" w:cs="Arial" w:eastAsia="Arial" w:hAnsi="Arial"/>
          <w:sz w:val="16"/>
          <w:szCs w:val="16"/>
          <w:b w:val="1"/>
          <w:bCs w:val="1"/>
          <w:color w:val="004A98"/>
        </w:rPr>
      </w:pPr>
      <w:r>
        <w:rPr>
          <w:rFonts w:ascii="Arial" w:cs="Arial" w:eastAsia="Arial" w:hAnsi="Arial"/>
          <w:sz w:val="16"/>
          <w:szCs w:val="16"/>
          <w:color w:val="auto"/>
        </w:rPr>
        <w:t>Reviews the competitiveness of our NEOs’ base salaries, annual incentive bonus targets, and long-term incentive compensation targets (element by element and in aggregate) by comparing our program to a peer group of publicly-traded, technology companies that we view as representative of our competitors for executive talent;</w:t>
      </w:r>
    </w:p>
    <w:p>
      <w:pPr>
        <w:spacing w:after="0" w:line="29" w:lineRule="exact"/>
        <w:rPr>
          <w:rFonts w:ascii="Arial" w:cs="Arial" w:eastAsia="Arial" w:hAnsi="Arial"/>
          <w:sz w:val="16"/>
          <w:szCs w:val="16"/>
          <w:b w:val="1"/>
          <w:bCs w:val="1"/>
          <w:color w:val="004A98"/>
        </w:rPr>
      </w:pPr>
    </w:p>
    <w:p>
      <w:pPr>
        <w:ind w:left="180" w:hanging="172"/>
        <w:spacing w:after="0"/>
        <w:tabs>
          <w:tab w:leader="none" w:pos="180" w:val="left"/>
        </w:tabs>
        <w:numPr>
          <w:ilvl w:val="0"/>
          <w:numId w:val="28"/>
        </w:numPr>
        <w:rPr>
          <w:rFonts w:ascii="Arial" w:cs="Arial" w:eastAsia="Arial" w:hAnsi="Arial"/>
          <w:sz w:val="16"/>
          <w:szCs w:val="16"/>
          <w:b w:val="1"/>
          <w:bCs w:val="1"/>
          <w:color w:val="004A98"/>
        </w:rPr>
      </w:pPr>
      <w:r>
        <w:rPr>
          <w:rFonts w:ascii="Arial" w:cs="Arial" w:eastAsia="Arial" w:hAnsi="Arial"/>
          <w:sz w:val="16"/>
          <w:szCs w:val="16"/>
          <w:color w:val="auto"/>
        </w:rPr>
        <w:t>Reviews the comprehensive risk assessment of the Company’s incentive plans and arrangements;</w:t>
      </w:r>
    </w:p>
    <w:p>
      <w:pPr>
        <w:spacing w:after="0" w:line="72" w:lineRule="exact"/>
        <w:rPr>
          <w:rFonts w:ascii="Arial" w:cs="Arial" w:eastAsia="Arial" w:hAnsi="Arial"/>
          <w:sz w:val="16"/>
          <w:szCs w:val="16"/>
          <w:b w:val="1"/>
          <w:bCs w:val="1"/>
          <w:color w:val="004A98"/>
        </w:rPr>
      </w:pPr>
    </w:p>
    <w:p>
      <w:pPr>
        <w:ind w:left="180" w:hanging="172"/>
        <w:spacing w:after="0"/>
        <w:tabs>
          <w:tab w:leader="none" w:pos="180" w:val="left"/>
        </w:tabs>
        <w:numPr>
          <w:ilvl w:val="0"/>
          <w:numId w:val="28"/>
        </w:numPr>
        <w:rPr>
          <w:rFonts w:ascii="Arial" w:cs="Arial" w:eastAsia="Arial" w:hAnsi="Arial"/>
          <w:sz w:val="16"/>
          <w:szCs w:val="16"/>
          <w:b w:val="1"/>
          <w:bCs w:val="1"/>
          <w:color w:val="234B96"/>
        </w:rPr>
      </w:pPr>
      <w:r>
        <w:rPr>
          <w:rFonts w:ascii="Arial" w:cs="Arial" w:eastAsia="Arial" w:hAnsi="Arial"/>
          <w:sz w:val="16"/>
          <w:szCs w:val="16"/>
          <w:color w:val="auto"/>
        </w:rPr>
        <w:t>Reviews the Company’s human capital management practices as well as employee health and safety matters;</w:t>
      </w:r>
    </w:p>
    <w:p>
      <w:pPr>
        <w:spacing w:after="0" w:line="86" w:lineRule="exact"/>
        <w:rPr>
          <w:rFonts w:ascii="Arial" w:cs="Arial" w:eastAsia="Arial" w:hAnsi="Arial"/>
          <w:sz w:val="16"/>
          <w:szCs w:val="16"/>
          <w:b w:val="1"/>
          <w:bCs w:val="1"/>
          <w:color w:val="234B96"/>
        </w:rPr>
      </w:pPr>
    </w:p>
    <w:p>
      <w:pPr>
        <w:ind w:left="200" w:right="20" w:hanging="192"/>
        <w:spacing w:after="0" w:line="286" w:lineRule="auto"/>
        <w:tabs>
          <w:tab w:leader="none" w:pos="170" w:val="left"/>
        </w:tabs>
        <w:numPr>
          <w:ilvl w:val="0"/>
          <w:numId w:val="28"/>
        </w:numPr>
        <w:rPr>
          <w:rFonts w:ascii="Arial" w:cs="Arial" w:eastAsia="Arial" w:hAnsi="Arial"/>
          <w:sz w:val="16"/>
          <w:szCs w:val="16"/>
          <w:b w:val="1"/>
          <w:bCs w:val="1"/>
          <w:color w:val="234B96"/>
        </w:rPr>
      </w:pPr>
      <w:r>
        <w:rPr>
          <w:rFonts w:ascii="Arial" w:cs="Arial" w:eastAsia="Arial" w:hAnsi="Arial"/>
          <w:sz w:val="16"/>
          <w:szCs w:val="16"/>
          <w:color w:val="auto"/>
        </w:rPr>
        <w:t>Determines the CEO’s base salary, annual incentive bonus, and equity awards based on its review of the data described above, the Board’s assessment of the individual performance of the CEO during the year, and the compensation consultant’s report and recommendations; and</w:t>
      </w:r>
    </w:p>
    <w:p>
      <w:pPr>
        <w:spacing w:after="0" w:line="20" w:lineRule="exact"/>
        <w:rPr>
          <w:rFonts w:ascii="Arial" w:cs="Arial" w:eastAsia="Arial" w:hAnsi="Arial"/>
          <w:sz w:val="16"/>
          <w:szCs w:val="16"/>
          <w:b w:val="1"/>
          <w:bCs w:val="1"/>
          <w:color w:val="234B96"/>
        </w:rPr>
      </w:pPr>
    </w:p>
    <w:p>
      <w:pPr>
        <w:ind w:left="200" w:right="260" w:hanging="192"/>
        <w:spacing w:after="0" w:line="286" w:lineRule="auto"/>
        <w:tabs>
          <w:tab w:leader="none" w:pos="170" w:val="left"/>
        </w:tabs>
        <w:numPr>
          <w:ilvl w:val="0"/>
          <w:numId w:val="28"/>
        </w:numPr>
        <w:rPr>
          <w:rFonts w:ascii="Arial" w:cs="Arial" w:eastAsia="Arial" w:hAnsi="Arial"/>
          <w:sz w:val="16"/>
          <w:szCs w:val="16"/>
          <w:b w:val="1"/>
          <w:bCs w:val="1"/>
          <w:color w:val="004A98"/>
        </w:rPr>
      </w:pPr>
      <w:r>
        <w:rPr>
          <w:rFonts w:ascii="Arial" w:cs="Arial" w:eastAsia="Arial" w:hAnsi="Arial"/>
          <w:sz w:val="16"/>
          <w:szCs w:val="16"/>
          <w:color w:val="auto"/>
        </w:rPr>
        <w:t>Determines each of the other NEO’s base salary, annual incentive bonus, and equity awards based on its review of the data described above and the CEO’s assessment of the individual performance of the NEO during the year.</w:t>
      </w:r>
    </w:p>
    <w:p>
      <w:pPr>
        <w:spacing w:after="0" w:line="200" w:lineRule="exact"/>
        <w:rPr>
          <w:sz w:val="20"/>
          <w:szCs w:val="20"/>
          <w:color w:val="auto"/>
        </w:rPr>
      </w:pPr>
    </w:p>
    <w:p>
      <w:pPr>
        <w:spacing w:after="0" w:line="203"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28</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21" w:right="47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Executive Compensation</w:t>
      </w:r>
    </w:p>
    <w:p>
      <w:pPr>
        <w:spacing w:after="0" w:line="315"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Role of Management</w:t>
      </w:r>
    </w:p>
    <w:p>
      <w:pPr>
        <w:spacing w:after="0" w:line="99" w:lineRule="exact"/>
        <w:rPr>
          <w:sz w:val="20"/>
          <w:szCs w:val="20"/>
          <w:color w:val="auto"/>
        </w:rPr>
      </w:pPr>
    </w:p>
    <w:p>
      <w:pPr>
        <w:jc w:val="both"/>
        <w:ind w:right="260"/>
        <w:spacing w:after="0" w:line="257" w:lineRule="auto"/>
        <w:rPr>
          <w:sz w:val="20"/>
          <w:szCs w:val="20"/>
          <w:color w:val="auto"/>
        </w:rPr>
      </w:pPr>
      <w:r>
        <w:rPr>
          <w:rFonts w:ascii="Arial" w:cs="Arial" w:eastAsia="Arial" w:hAnsi="Arial"/>
          <w:sz w:val="16"/>
          <w:szCs w:val="16"/>
          <w:color w:val="auto"/>
        </w:rPr>
        <w:t>The CEO annually reviews the peer group compensation data, comparable industry survey data, the tally sheet data, and the performance of each of the other NEOs and makes recommendations to the Compensation Committee for base salary adjustments, annual incentive bonuses, and equity awards for each of the other NEOs.</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Role of Independent Compensation Consultant</w:t>
      </w:r>
    </w:p>
    <w:p>
      <w:pPr>
        <w:spacing w:after="0" w:line="112" w:lineRule="exact"/>
        <w:rPr>
          <w:sz w:val="20"/>
          <w:szCs w:val="20"/>
          <w:color w:val="auto"/>
        </w:rPr>
      </w:pPr>
    </w:p>
    <w:p>
      <w:pPr>
        <w:ind w:right="100"/>
        <w:spacing w:after="0" w:line="266" w:lineRule="auto"/>
        <w:rPr>
          <w:sz w:val="20"/>
          <w:szCs w:val="20"/>
          <w:color w:val="auto"/>
        </w:rPr>
      </w:pPr>
      <w:r>
        <w:rPr>
          <w:rFonts w:ascii="Arial" w:cs="Arial" w:eastAsia="Arial" w:hAnsi="Arial"/>
          <w:sz w:val="16"/>
          <w:szCs w:val="16"/>
          <w:color w:val="auto"/>
        </w:rPr>
        <w:t>The Compensation Committee has engaged Frederic W. Cook &amp; Co., Inc. (“FW Cook”) as its independent compensation consultant to assist it in evaluating and analyzing the Company’s executive compensation program. FW Cook provides guidance and recommendations to the Compensation Committee and advises on various topics, including the following:</w:t>
      </w:r>
    </w:p>
    <w:p>
      <w:pPr>
        <w:spacing w:after="0" w:line="36" w:lineRule="exact"/>
        <w:rPr>
          <w:sz w:val="20"/>
          <w:szCs w:val="20"/>
          <w:color w:val="auto"/>
        </w:rPr>
      </w:pPr>
    </w:p>
    <w:p>
      <w:pPr>
        <w:ind w:left="200" w:right="520" w:hanging="192"/>
        <w:spacing w:after="0" w:line="299" w:lineRule="auto"/>
        <w:tabs>
          <w:tab w:leader="none" w:pos="170" w:val="left"/>
        </w:tabs>
        <w:numPr>
          <w:ilvl w:val="0"/>
          <w:numId w:val="29"/>
        </w:numPr>
        <w:rPr>
          <w:rFonts w:ascii="Arial" w:cs="Arial" w:eastAsia="Arial" w:hAnsi="Arial"/>
          <w:sz w:val="16"/>
          <w:szCs w:val="16"/>
          <w:color w:val="004A98"/>
        </w:rPr>
      </w:pPr>
      <w:r>
        <w:rPr>
          <w:rFonts w:ascii="Arial" w:cs="Arial" w:eastAsia="Arial" w:hAnsi="Arial"/>
          <w:sz w:val="16"/>
          <w:szCs w:val="16"/>
          <w:color w:val="auto"/>
        </w:rPr>
        <w:t>Analyzes the annual compensation of each NEO, including the CEO, based on comparisons to the Company’s peer group and comparable industry survey data, including in both cases target and actual total compensation.</w:t>
      </w:r>
    </w:p>
    <w:p>
      <w:pPr>
        <w:ind w:left="200" w:right="700" w:hanging="192"/>
        <w:spacing w:after="0" w:line="299" w:lineRule="auto"/>
        <w:tabs>
          <w:tab w:leader="none" w:pos="170" w:val="left"/>
        </w:tabs>
        <w:numPr>
          <w:ilvl w:val="0"/>
          <w:numId w:val="29"/>
        </w:numPr>
        <w:rPr>
          <w:rFonts w:ascii="Arial" w:cs="Arial" w:eastAsia="Arial" w:hAnsi="Arial"/>
          <w:sz w:val="16"/>
          <w:szCs w:val="16"/>
          <w:color w:val="004A98"/>
        </w:rPr>
      </w:pPr>
      <w:r>
        <w:rPr>
          <w:rFonts w:ascii="Arial" w:cs="Arial" w:eastAsia="Arial" w:hAnsi="Arial"/>
          <w:sz w:val="16"/>
          <w:szCs w:val="16"/>
          <w:color w:val="auto"/>
        </w:rPr>
        <w:t>Advises the Compensation Committee on the appropriateness of Management’s recommendations for any changes, other than the CEO’s, to the executives’ compensation;</w:t>
      </w:r>
    </w:p>
    <w:p>
      <w:pPr>
        <w:ind w:left="180" w:hanging="172"/>
        <w:spacing w:after="0"/>
        <w:tabs>
          <w:tab w:leader="none" w:pos="180" w:val="left"/>
        </w:tabs>
        <w:numPr>
          <w:ilvl w:val="0"/>
          <w:numId w:val="29"/>
        </w:numPr>
        <w:rPr>
          <w:rFonts w:ascii="Arial" w:cs="Arial" w:eastAsia="Arial" w:hAnsi="Arial"/>
          <w:sz w:val="16"/>
          <w:szCs w:val="16"/>
          <w:b w:val="1"/>
          <w:bCs w:val="1"/>
          <w:color w:val="004A98"/>
        </w:rPr>
      </w:pPr>
      <w:r>
        <w:rPr>
          <w:rFonts w:ascii="Arial" w:cs="Arial" w:eastAsia="Arial" w:hAnsi="Arial"/>
          <w:sz w:val="16"/>
          <w:szCs w:val="16"/>
          <w:color w:val="auto"/>
        </w:rPr>
        <w:t>Reviews the CEO’s compensation and the design of the CEO’s compensation program and provides recommendations for changes;</w:t>
      </w:r>
    </w:p>
    <w:p>
      <w:pPr>
        <w:spacing w:after="0" w:line="86" w:lineRule="exact"/>
        <w:rPr>
          <w:rFonts w:ascii="Arial" w:cs="Arial" w:eastAsia="Arial" w:hAnsi="Arial"/>
          <w:sz w:val="16"/>
          <w:szCs w:val="16"/>
          <w:b w:val="1"/>
          <w:bCs w:val="1"/>
          <w:color w:val="004A98"/>
        </w:rPr>
      </w:pPr>
    </w:p>
    <w:p>
      <w:pPr>
        <w:ind w:left="180" w:hanging="172"/>
        <w:spacing w:after="0"/>
        <w:tabs>
          <w:tab w:leader="none" w:pos="180" w:val="left"/>
        </w:tabs>
        <w:numPr>
          <w:ilvl w:val="0"/>
          <w:numId w:val="29"/>
        </w:numPr>
        <w:rPr>
          <w:rFonts w:ascii="Arial" w:cs="Arial" w:eastAsia="Arial" w:hAnsi="Arial"/>
          <w:sz w:val="16"/>
          <w:szCs w:val="16"/>
          <w:b w:val="1"/>
          <w:bCs w:val="1"/>
          <w:color w:val="004A98"/>
        </w:rPr>
      </w:pPr>
      <w:r>
        <w:rPr>
          <w:rFonts w:ascii="Arial" w:cs="Arial" w:eastAsia="Arial" w:hAnsi="Arial"/>
          <w:sz w:val="16"/>
          <w:szCs w:val="16"/>
          <w:color w:val="auto"/>
        </w:rPr>
        <w:t>Reviews the Company’s peer group annually and provides recommendations for changes;</w:t>
      </w:r>
    </w:p>
    <w:p>
      <w:pPr>
        <w:spacing w:after="0" w:line="86" w:lineRule="exact"/>
        <w:rPr>
          <w:rFonts w:ascii="Arial" w:cs="Arial" w:eastAsia="Arial" w:hAnsi="Arial"/>
          <w:sz w:val="16"/>
          <w:szCs w:val="16"/>
          <w:b w:val="1"/>
          <w:bCs w:val="1"/>
          <w:color w:val="004A98"/>
        </w:rPr>
      </w:pPr>
    </w:p>
    <w:p>
      <w:pPr>
        <w:ind w:left="180" w:hanging="172"/>
        <w:spacing w:after="0"/>
        <w:tabs>
          <w:tab w:leader="none" w:pos="180" w:val="left"/>
        </w:tabs>
        <w:numPr>
          <w:ilvl w:val="0"/>
          <w:numId w:val="29"/>
        </w:numPr>
        <w:rPr>
          <w:rFonts w:ascii="Arial" w:cs="Arial" w:eastAsia="Arial" w:hAnsi="Arial"/>
          <w:sz w:val="16"/>
          <w:szCs w:val="16"/>
          <w:b w:val="1"/>
          <w:bCs w:val="1"/>
          <w:color w:val="004A98"/>
        </w:rPr>
      </w:pPr>
      <w:r>
        <w:rPr>
          <w:rFonts w:ascii="Arial" w:cs="Arial" w:eastAsia="Arial" w:hAnsi="Arial"/>
          <w:sz w:val="16"/>
          <w:szCs w:val="16"/>
          <w:color w:val="auto"/>
        </w:rPr>
        <w:t>Advises the Compensation Committee on best practices related to oversight and design of the Company’s executive compensation program;</w:t>
      </w:r>
    </w:p>
    <w:p>
      <w:pPr>
        <w:spacing w:after="0" w:line="86" w:lineRule="exact"/>
        <w:rPr>
          <w:rFonts w:ascii="Arial" w:cs="Arial" w:eastAsia="Arial" w:hAnsi="Arial"/>
          <w:sz w:val="16"/>
          <w:szCs w:val="16"/>
          <w:b w:val="1"/>
          <w:bCs w:val="1"/>
          <w:color w:val="004A98"/>
        </w:rPr>
      </w:pPr>
    </w:p>
    <w:p>
      <w:pPr>
        <w:ind w:left="200" w:right="160" w:hanging="192"/>
        <w:spacing w:after="0" w:line="286" w:lineRule="auto"/>
        <w:tabs>
          <w:tab w:leader="none" w:pos="170" w:val="left"/>
        </w:tabs>
        <w:numPr>
          <w:ilvl w:val="0"/>
          <w:numId w:val="29"/>
        </w:numPr>
        <w:rPr>
          <w:rFonts w:ascii="Arial" w:cs="Arial" w:eastAsia="Arial" w:hAnsi="Arial"/>
          <w:sz w:val="16"/>
          <w:szCs w:val="16"/>
          <w:b w:val="1"/>
          <w:bCs w:val="1"/>
          <w:color w:val="004A98"/>
        </w:rPr>
      </w:pPr>
      <w:r>
        <w:rPr>
          <w:rFonts w:ascii="Arial" w:cs="Arial" w:eastAsia="Arial" w:hAnsi="Arial"/>
          <w:sz w:val="16"/>
          <w:szCs w:val="16"/>
          <w:color w:val="auto"/>
        </w:rPr>
        <w:t>Reviews compensation design recommendations from the Company’s Management and provides recommendations to the Compensation Committee on the impact of those recommendations;</w:t>
      </w:r>
    </w:p>
    <w:p>
      <w:pPr>
        <w:spacing w:after="0" w:line="20" w:lineRule="exact"/>
        <w:rPr>
          <w:rFonts w:ascii="Arial" w:cs="Arial" w:eastAsia="Arial" w:hAnsi="Arial"/>
          <w:sz w:val="16"/>
          <w:szCs w:val="16"/>
          <w:b w:val="1"/>
          <w:bCs w:val="1"/>
          <w:color w:val="004A98"/>
        </w:rPr>
      </w:pPr>
    </w:p>
    <w:p>
      <w:pPr>
        <w:ind w:left="180" w:hanging="172"/>
        <w:spacing w:after="0"/>
        <w:tabs>
          <w:tab w:leader="none" w:pos="180" w:val="left"/>
        </w:tabs>
        <w:numPr>
          <w:ilvl w:val="0"/>
          <w:numId w:val="29"/>
        </w:numPr>
        <w:rPr>
          <w:rFonts w:ascii="Arial" w:cs="Arial" w:eastAsia="Arial" w:hAnsi="Arial"/>
          <w:sz w:val="16"/>
          <w:szCs w:val="16"/>
          <w:b w:val="1"/>
          <w:bCs w:val="1"/>
          <w:color w:val="004A98"/>
        </w:rPr>
      </w:pPr>
      <w:r>
        <w:rPr>
          <w:rFonts w:ascii="Arial" w:cs="Arial" w:eastAsia="Arial" w:hAnsi="Arial"/>
          <w:sz w:val="16"/>
          <w:szCs w:val="16"/>
          <w:color w:val="auto"/>
        </w:rPr>
        <w:t>Reviews the Company’s equity compensation philosophy and incentive design;</w:t>
      </w:r>
    </w:p>
    <w:p>
      <w:pPr>
        <w:spacing w:after="0" w:line="72" w:lineRule="exact"/>
        <w:rPr>
          <w:rFonts w:ascii="Arial" w:cs="Arial" w:eastAsia="Arial" w:hAnsi="Arial"/>
          <w:sz w:val="16"/>
          <w:szCs w:val="16"/>
          <w:b w:val="1"/>
          <w:bCs w:val="1"/>
          <w:color w:val="004A98"/>
        </w:rPr>
      </w:pPr>
    </w:p>
    <w:p>
      <w:pPr>
        <w:ind w:left="180" w:hanging="172"/>
        <w:spacing w:after="0"/>
        <w:tabs>
          <w:tab w:leader="none" w:pos="180" w:val="left"/>
        </w:tabs>
        <w:numPr>
          <w:ilvl w:val="0"/>
          <w:numId w:val="29"/>
        </w:numPr>
        <w:rPr>
          <w:rFonts w:ascii="Arial" w:cs="Arial" w:eastAsia="Arial" w:hAnsi="Arial"/>
          <w:sz w:val="16"/>
          <w:szCs w:val="16"/>
          <w:b w:val="1"/>
          <w:bCs w:val="1"/>
          <w:color w:val="004A98"/>
        </w:rPr>
      </w:pPr>
      <w:r>
        <w:rPr>
          <w:rFonts w:ascii="Arial" w:cs="Arial" w:eastAsia="Arial" w:hAnsi="Arial"/>
          <w:sz w:val="16"/>
          <w:szCs w:val="16"/>
          <w:color w:val="auto"/>
        </w:rPr>
        <w:t>Reviews the impact of regulatory changes on our NEOs’ and non-employee directors’ compensation;</w:t>
      </w:r>
    </w:p>
    <w:p>
      <w:pPr>
        <w:spacing w:after="0" w:line="86" w:lineRule="exact"/>
        <w:rPr>
          <w:rFonts w:ascii="Arial" w:cs="Arial" w:eastAsia="Arial" w:hAnsi="Arial"/>
          <w:sz w:val="16"/>
          <w:szCs w:val="16"/>
          <w:b w:val="1"/>
          <w:bCs w:val="1"/>
          <w:color w:val="004A98"/>
        </w:rPr>
      </w:pPr>
    </w:p>
    <w:p>
      <w:pPr>
        <w:ind w:left="180" w:hanging="172"/>
        <w:spacing w:after="0"/>
        <w:tabs>
          <w:tab w:leader="none" w:pos="180" w:val="left"/>
        </w:tabs>
        <w:numPr>
          <w:ilvl w:val="0"/>
          <w:numId w:val="29"/>
        </w:numPr>
        <w:rPr>
          <w:rFonts w:ascii="Arial" w:cs="Arial" w:eastAsia="Arial" w:hAnsi="Arial"/>
          <w:sz w:val="16"/>
          <w:szCs w:val="16"/>
          <w:b w:val="1"/>
          <w:bCs w:val="1"/>
          <w:color w:val="004A98"/>
        </w:rPr>
      </w:pPr>
      <w:r>
        <w:rPr>
          <w:rFonts w:ascii="Arial" w:cs="Arial" w:eastAsia="Arial" w:hAnsi="Arial"/>
          <w:sz w:val="16"/>
          <w:szCs w:val="16"/>
          <w:color w:val="auto"/>
        </w:rPr>
        <w:t>Reviews our risk assessment of the Company’s incentive plans and programs;</w:t>
      </w:r>
    </w:p>
    <w:p>
      <w:pPr>
        <w:spacing w:after="0" w:line="86" w:lineRule="exact"/>
        <w:rPr>
          <w:rFonts w:ascii="Arial" w:cs="Arial" w:eastAsia="Arial" w:hAnsi="Arial"/>
          <w:sz w:val="16"/>
          <w:szCs w:val="16"/>
          <w:b w:val="1"/>
          <w:bCs w:val="1"/>
          <w:color w:val="004A98"/>
        </w:rPr>
      </w:pPr>
    </w:p>
    <w:p>
      <w:pPr>
        <w:ind w:left="180" w:hanging="172"/>
        <w:spacing w:after="0"/>
        <w:tabs>
          <w:tab w:leader="none" w:pos="180" w:val="left"/>
        </w:tabs>
        <w:numPr>
          <w:ilvl w:val="0"/>
          <w:numId w:val="29"/>
        </w:numPr>
        <w:rPr>
          <w:rFonts w:ascii="Arial" w:cs="Arial" w:eastAsia="Arial" w:hAnsi="Arial"/>
          <w:sz w:val="16"/>
          <w:szCs w:val="16"/>
          <w:b w:val="1"/>
          <w:bCs w:val="1"/>
          <w:color w:val="004A98"/>
        </w:rPr>
      </w:pPr>
      <w:r>
        <w:rPr>
          <w:rFonts w:ascii="Arial" w:cs="Arial" w:eastAsia="Arial" w:hAnsi="Arial"/>
          <w:sz w:val="16"/>
          <w:szCs w:val="16"/>
          <w:color w:val="auto"/>
        </w:rPr>
        <w:t>Reviews our NEOs’ compensation disclosures;</w:t>
      </w:r>
    </w:p>
    <w:p>
      <w:pPr>
        <w:spacing w:after="0" w:line="86" w:lineRule="exact"/>
        <w:rPr>
          <w:rFonts w:ascii="Arial" w:cs="Arial" w:eastAsia="Arial" w:hAnsi="Arial"/>
          <w:sz w:val="16"/>
          <w:szCs w:val="16"/>
          <w:b w:val="1"/>
          <w:bCs w:val="1"/>
          <w:color w:val="004A98"/>
        </w:rPr>
      </w:pPr>
    </w:p>
    <w:p>
      <w:pPr>
        <w:ind w:left="180" w:hanging="172"/>
        <w:spacing w:after="0"/>
        <w:tabs>
          <w:tab w:leader="none" w:pos="180" w:val="left"/>
        </w:tabs>
        <w:numPr>
          <w:ilvl w:val="0"/>
          <w:numId w:val="29"/>
        </w:numPr>
        <w:rPr>
          <w:rFonts w:ascii="Arial" w:cs="Arial" w:eastAsia="Arial" w:hAnsi="Arial"/>
          <w:sz w:val="16"/>
          <w:szCs w:val="16"/>
          <w:b w:val="1"/>
          <w:bCs w:val="1"/>
          <w:color w:val="004A98"/>
        </w:rPr>
      </w:pPr>
      <w:r>
        <w:rPr>
          <w:rFonts w:ascii="Arial" w:cs="Arial" w:eastAsia="Arial" w:hAnsi="Arial"/>
          <w:sz w:val="16"/>
          <w:szCs w:val="16"/>
          <w:color w:val="auto"/>
        </w:rPr>
        <w:t>Reviews non-employee director compensation; and</w:t>
      </w:r>
    </w:p>
    <w:p>
      <w:pPr>
        <w:spacing w:after="0" w:line="72" w:lineRule="exact"/>
        <w:rPr>
          <w:rFonts w:ascii="Arial" w:cs="Arial" w:eastAsia="Arial" w:hAnsi="Arial"/>
          <w:sz w:val="16"/>
          <w:szCs w:val="16"/>
          <w:b w:val="1"/>
          <w:bCs w:val="1"/>
          <w:color w:val="004A98"/>
        </w:rPr>
      </w:pPr>
    </w:p>
    <w:p>
      <w:pPr>
        <w:ind w:left="180" w:hanging="172"/>
        <w:spacing w:after="0"/>
        <w:tabs>
          <w:tab w:leader="none" w:pos="180" w:val="left"/>
        </w:tabs>
        <w:numPr>
          <w:ilvl w:val="0"/>
          <w:numId w:val="29"/>
        </w:numPr>
        <w:rPr>
          <w:rFonts w:ascii="Arial" w:cs="Arial" w:eastAsia="Arial" w:hAnsi="Arial"/>
          <w:sz w:val="16"/>
          <w:szCs w:val="16"/>
          <w:b w:val="1"/>
          <w:bCs w:val="1"/>
          <w:color w:val="004A98"/>
        </w:rPr>
      </w:pPr>
      <w:r>
        <w:rPr>
          <w:rFonts w:ascii="Arial" w:cs="Arial" w:eastAsia="Arial" w:hAnsi="Arial"/>
          <w:sz w:val="16"/>
          <w:szCs w:val="16"/>
          <w:color w:val="auto"/>
        </w:rPr>
        <w:t>Reviews the Company’s change in control agreements.</w:t>
      </w:r>
    </w:p>
    <w:p>
      <w:pPr>
        <w:spacing w:after="0" w:line="200" w:lineRule="exact"/>
        <w:rPr>
          <w:sz w:val="20"/>
          <w:szCs w:val="20"/>
          <w:color w:val="auto"/>
        </w:rPr>
      </w:pPr>
    </w:p>
    <w:p>
      <w:pPr>
        <w:spacing w:after="0" w:line="237" w:lineRule="exact"/>
        <w:rPr>
          <w:sz w:val="20"/>
          <w:szCs w:val="20"/>
          <w:color w:val="auto"/>
        </w:rPr>
      </w:pPr>
    </w:p>
    <w:p>
      <w:pPr>
        <w:ind w:right="220"/>
        <w:spacing w:after="0" w:line="265" w:lineRule="auto"/>
        <w:rPr>
          <w:sz w:val="20"/>
          <w:szCs w:val="20"/>
          <w:color w:val="auto"/>
        </w:rPr>
      </w:pPr>
      <w:r>
        <w:rPr>
          <w:rFonts w:ascii="Arial" w:cs="Arial" w:eastAsia="Arial" w:hAnsi="Arial"/>
          <w:sz w:val="16"/>
          <w:szCs w:val="16"/>
          <w:color w:val="auto"/>
        </w:rPr>
        <w:t>In October 2024, the Compensation Committee reviewed FW Cook’s performance, and in December 2024, the Compensation Committee assessed FW Cook’s independence against the independence factors set forth in the applicable Nasdaq rules. The Compensation Committee determined that FW Cook was independent and reengaged FW Cook for 2025. FW Cook performs no other services for the Company, and its services for the Compensation Committee do not raise any conflicts of interest.</w:t>
      </w:r>
    </w:p>
    <w:p>
      <w:pPr>
        <w:spacing w:after="0" w:line="78"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Peer Group</w:t>
      </w:r>
    </w:p>
    <w:p>
      <w:pPr>
        <w:spacing w:after="0" w:line="112" w:lineRule="exact"/>
        <w:rPr>
          <w:sz w:val="20"/>
          <w:szCs w:val="20"/>
          <w:color w:val="auto"/>
        </w:rPr>
      </w:pPr>
    </w:p>
    <w:p>
      <w:pPr>
        <w:ind w:right="380"/>
        <w:spacing w:after="0" w:line="286" w:lineRule="auto"/>
        <w:rPr>
          <w:sz w:val="20"/>
          <w:szCs w:val="20"/>
          <w:color w:val="auto"/>
        </w:rPr>
      </w:pPr>
      <w:r>
        <w:rPr>
          <w:rFonts w:ascii="Arial" w:cs="Arial" w:eastAsia="Arial" w:hAnsi="Arial"/>
          <w:sz w:val="16"/>
          <w:szCs w:val="16"/>
          <w:color w:val="auto"/>
        </w:rPr>
        <w:t>Each year, the Compensation Committee reviews the Company’s peer group with the assistance of its compensation consultant and makes changes as appropriate. In making 2024 compensation decisions, the peer group consisted of the following companies: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540" w:type="dxa"/>
            <w:vAlign w:val="bottom"/>
            <w:tcBorders>
              <w:top w:val="single" w:sz="8" w:color="939598"/>
              <w:bottom w:val="single" w:sz="8" w:color="939598"/>
            </w:tcBorders>
          </w:tcPr>
          <w:p>
            <w:pPr>
              <w:ind w:left="20"/>
              <w:spacing w:after="0"/>
              <w:rPr>
                <w:sz w:val="20"/>
                <w:szCs w:val="20"/>
                <w:color w:val="auto"/>
              </w:rPr>
            </w:pPr>
            <w:r>
              <w:rPr>
                <w:rFonts w:ascii="Arial" w:cs="Arial" w:eastAsia="Arial" w:hAnsi="Arial"/>
                <w:sz w:val="16"/>
                <w:szCs w:val="16"/>
                <w:color w:val="auto"/>
              </w:rPr>
              <w:t>Akamai Technologies</w:t>
            </w:r>
          </w:p>
        </w:tc>
        <w:tc>
          <w:tcPr>
            <w:tcW w:w="3400" w:type="dxa"/>
            <w:vAlign w:val="bottom"/>
            <w:tcBorders>
              <w:top w:val="single" w:sz="8" w:color="939598"/>
              <w:bottom w:val="single" w:sz="8" w:color="939598"/>
            </w:tcBorders>
          </w:tcPr>
          <w:p>
            <w:pPr>
              <w:ind w:left="620"/>
              <w:spacing w:after="0"/>
              <w:rPr>
                <w:sz w:val="20"/>
                <w:szCs w:val="20"/>
                <w:color w:val="auto"/>
              </w:rPr>
            </w:pPr>
            <w:r>
              <w:rPr>
                <w:rFonts w:ascii="Arial" w:cs="Arial" w:eastAsia="Arial" w:hAnsi="Arial"/>
                <w:sz w:val="16"/>
                <w:szCs w:val="16"/>
                <w:color w:val="auto"/>
              </w:rPr>
              <w:t>F5, Inc.</w:t>
            </w:r>
          </w:p>
        </w:tc>
        <w:tc>
          <w:tcPr>
            <w:tcW w:w="3940" w:type="dxa"/>
            <w:vAlign w:val="bottom"/>
            <w:tcBorders>
              <w:top w:val="single" w:sz="8" w:color="939598"/>
              <w:bottom w:val="single" w:sz="8" w:color="939598"/>
            </w:tcBorders>
          </w:tcPr>
          <w:p>
            <w:pPr>
              <w:ind w:left="840"/>
              <w:spacing w:after="0"/>
              <w:rPr>
                <w:sz w:val="20"/>
                <w:szCs w:val="20"/>
                <w:color w:val="auto"/>
              </w:rPr>
            </w:pPr>
            <w:r>
              <w:rPr>
                <w:rFonts w:ascii="Arial" w:cs="Arial" w:eastAsia="Arial" w:hAnsi="Arial"/>
                <w:sz w:val="16"/>
                <w:szCs w:val="16"/>
                <w:color w:val="auto"/>
              </w:rPr>
              <w:t>Jack Henry</w:t>
            </w:r>
          </w:p>
        </w:tc>
      </w:tr>
      <w:tr>
        <w:trPr>
          <w:trHeight w:val="210"/>
        </w:trPr>
        <w:tc>
          <w:tcPr>
            <w:tcW w:w="354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ANSYS</w:t>
            </w:r>
          </w:p>
        </w:tc>
        <w:tc>
          <w:tcPr>
            <w:tcW w:w="3400" w:type="dxa"/>
            <w:vAlign w:val="bottom"/>
            <w:tcBorders>
              <w:bottom w:val="single" w:sz="8" w:color="939598"/>
            </w:tcBorders>
          </w:tcPr>
          <w:p>
            <w:pPr>
              <w:ind w:left="620"/>
              <w:spacing w:after="0"/>
              <w:rPr>
                <w:sz w:val="20"/>
                <w:szCs w:val="20"/>
                <w:color w:val="auto"/>
              </w:rPr>
            </w:pPr>
            <w:r>
              <w:rPr>
                <w:rFonts w:ascii="Arial" w:cs="Arial" w:eastAsia="Arial" w:hAnsi="Arial"/>
                <w:sz w:val="16"/>
                <w:szCs w:val="16"/>
                <w:color w:val="auto"/>
              </w:rPr>
              <w:t>Factset Research Systems</w:t>
            </w:r>
          </w:p>
        </w:tc>
        <w:tc>
          <w:tcPr>
            <w:tcW w:w="3940" w:type="dxa"/>
            <w:vAlign w:val="bottom"/>
            <w:tcBorders>
              <w:bottom w:val="single" w:sz="8" w:color="939598"/>
            </w:tcBorders>
          </w:tcPr>
          <w:p>
            <w:pPr>
              <w:ind w:left="840"/>
              <w:spacing w:after="0"/>
              <w:rPr>
                <w:sz w:val="20"/>
                <w:szCs w:val="20"/>
                <w:color w:val="auto"/>
              </w:rPr>
            </w:pPr>
            <w:r>
              <w:rPr>
                <w:rFonts w:ascii="Arial" w:cs="Arial" w:eastAsia="Arial" w:hAnsi="Arial"/>
                <w:sz w:val="16"/>
                <w:szCs w:val="16"/>
                <w:color w:val="auto"/>
              </w:rPr>
              <w:t>Paychex</w:t>
            </w:r>
          </w:p>
        </w:tc>
      </w:tr>
      <w:tr>
        <w:trPr>
          <w:trHeight w:val="210"/>
        </w:trPr>
        <w:tc>
          <w:tcPr>
            <w:tcW w:w="354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Autodesk</w:t>
            </w:r>
          </w:p>
        </w:tc>
        <w:tc>
          <w:tcPr>
            <w:tcW w:w="3400" w:type="dxa"/>
            <w:vAlign w:val="bottom"/>
            <w:tcBorders>
              <w:bottom w:val="single" w:sz="8" w:color="939598"/>
            </w:tcBorders>
          </w:tcPr>
          <w:p>
            <w:pPr>
              <w:ind w:left="620"/>
              <w:spacing w:after="0"/>
              <w:rPr>
                <w:sz w:val="20"/>
                <w:szCs w:val="20"/>
                <w:color w:val="auto"/>
              </w:rPr>
            </w:pPr>
            <w:r>
              <w:rPr>
                <w:rFonts w:ascii="Arial" w:cs="Arial" w:eastAsia="Arial" w:hAnsi="Arial"/>
                <w:sz w:val="16"/>
                <w:szCs w:val="16"/>
                <w:color w:val="auto"/>
              </w:rPr>
              <w:t>Fiserv</w:t>
            </w:r>
          </w:p>
        </w:tc>
        <w:tc>
          <w:tcPr>
            <w:tcW w:w="3940" w:type="dxa"/>
            <w:vAlign w:val="bottom"/>
            <w:tcBorders>
              <w:bottom w:val="single" w:sz="8" w:color="939598"/>
            </w:tcBorders>
          </w:tcPr>
          <w:p>
            <w:pPr>
              <w:ind w:left="840"/>
              <w:spacing w:after="0"/>
              <w:rPr>
                <w:sz w:val="20"/>
                <w:szCs w:val="20"/>
                <w:color w:val="auto"/>
              </w:rPr>
            </w:pPr>
            <w:r>
              <w:rPr>
                <w:rFonts w:ascii="Arial" w:cs="Arial" w:eastAsia="Arial" w:hAnsi="Arial"/>
                <w:sz w:val="16"/>
                <w:szCs w:val="16"/>
                <w:color w:val="auto"/>
              </w:rPr>
              <w:t>Roper Technologies</w:t>
            </w:r>
          </w:p>
        </w:tc>
      </w:tr>
      <w:tr>
        <w:trPr>
          <w:trHeight w:val="210"/>
        </w:trPr>
        <w:tc>
          <w:tcPr>
            <w:tcW w:w="354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Broadridge Financial</w:t>
            </w:r>
          </w:p>
        </w:tc>
        <w:tc>
          <w:tcPr>
            <w:tcW w:w="3400" w:type="dxa"/>
            <w:vAlign w:val="bottom"/>
            <w:tcBorders>
              <w:bottom w:val="single" w:sz="8" w:color="939598"/>
            </w:tcBorders>
          </w:tcPr>
          <w:p>
            <w:pPr>
              <w:ind w:left="620"/>
              <w:spacing w:after="0"/>
              <w:rPr>
                <w:sz w:val="20"/>
                <w:szCs w:val="20"/>
                <w:color w:val="auto"/>
              </w:rPr>
            </w:pPr>
            <w:r>
              <w:rPr>
                <w:rFonts w:ascii="Arial" w:cs="Arial" w:eastAsia="Arial" w:hAnsi="Arial"/>
                <w:sz w:val="16"/>
                <w:szCs w:val="16"/>
                <w:color w:val="auto"/>
              </w:rPr>
              <w:t>Fortinet</w:t>
            </w:r>
          </w:p>
        </w:tc>
        <w:tc>
          <w:tcPr>
            <w:tcW w:w="3940" w:type="dxa"/>
            <w:vAlign w:val="bottom"/>
            <w:tcBorders>
              <w:bottom w:val="single" w:sz="8" w:color="939598"/>
            </w:tcBorders>
          </w:tcPr>
          <w:p>
            <w:pPr>
              <w:ind w:left="840"/>
              <w:spacing w:after="0"/>
              <w:rPr>
                <w:sz w:val="20"/>
                <w:szCs w:val="20"/>
                <w:color w:val="auto"/>
              </w:rPr>
            </w:pPr>
            <w:r>
              <w:rPr>
                <w:rFonts w:ascii="Arial" w:cs="Arial" w:eastAsia="Arial" w:hAnsi="Arial"/>
                <w:sz w:val="16"/>
                <w:szCs w:val="16"/>
                <w:color w:val="auto"/>
              </w:rPr>
              <w:t>Synopsys</w:t>
            </w:r>
          </w:p>
        </w:tc>
      </w:tr>
      <w:tr>
        <w:trPr>
          <w:trHeight w:val="210"/>
        </w:trPr>
        <w:tc>
          <w:tcPr>
            <w:tcW w:w="354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Cadence Design Systems</w:t>
            </w:r>
          </w:p>
        </w:tc>
        <w:tc>
          <w:tcPr>
            <w:tcW w:w="3400" w:type="dxa"/>
            <w:vAlign w:val="bottom"/>
            <w:tcBorders>
              <w:bottom w:val="single" w:sz="8" w:color="939598"/>
            </w:tcBorders>
          </w:tcPr>
          <w:p>
            <w:pPr>
              <w:ind w:left="620"/>
              <w:spacing w:after="0"/>
              <w:rPr>
                <w:sz w:val="20"/>
                <w:szCs w:val="20"/>
                <w:color w:val="auto"/>
              </w:rPr>
            </w:pPr>
            <w:r>
              <w:rPr>
                <w:rFonts w:ascii="Arial" w:cs="Arial" w:eastAsia="Arial" w:hAnsi="Arial"/>
                <w:sz w:val="16"/>
                <w:szCs w:val="16"/>
                <w:color w:val="auto"/>
              </w:rPr>
              <w:t>Global Payments</w:t>
            </w:r>
          </w:p>
        </w:tc>
        <w:tc>
          <w:tcPr>
            <w:tcW w:w="3940" w:type="dxa"/>
            <w:vAlign w:val="bottom"/>
            <w:tcBorders>
              <w:bottom w:val="single" w:sz="8" w:color="939598"/>
            </w:tcBorders>
          </w:tcPr>
          <w:p>
            <w:pPr>
              <w:ind w:left="840"/>
              <w:spacing w:after="0"/>
              <w:rPr>
                <w:sz w:val="20"/>
                <w:szCs w:val="20"/>
                <w:color w:val="auto"/>
              </w:rPr>
            </w:pPr>
            <w:r>
              <w:rPr>
                <w:rFonts w:ascii="Arial" w:cs="Arial" w:eastAsia="Arial" w:hAnsi="Arial"/>
                <w:sz w:val="16"/>
                <w:szCs w:val="16"/>
                <w:color w:val="auto"/>
              </w:rPr>
              <w:t>Teradata</w:t>
            </w:r>
          </w:p>
        </w:tc>
      </w:tr>
      <w:tr>
        <w:trPr>
          <w:trHeight w:val="209"/>
        </w:trPr>
        <w:tc>
          <w:tcPr>
            <w:tcW w:w="354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Corpay (formerly known as FLEETCOR)</w:t>
            </w:r>
          </w:p>
        </w:tc>
        <w:tc>
          <w:tcPr>
            <w:tcW w:w="3400" w:type="dxa"/>
            <w:vAlign w:val="bottom"/>
            <w:tcBorders>
              <w:bottom w:val="single" w:sz="8" w:color="939598"/>
            </w:tcBorders>
          </w:tcPr>
          <w:p>
            <w:pPr>
              <w:ind w:left="620"/>
              <w:spacing w:after="0"/>
              <w:rPr>
                <w:sz w:val="20"/>
                <w:szCs w:val="20"/>
                <w:color w:val="auto"/>
              </w:rPr>
            </w:pPr>
            <w:r>
              <w:rPr>
                <w:rFonts w:ascii="Arial" w:cs="Arial" w:eastAsia="Arial" w:hAnsi="Arial"/>
                <w:sz w:val="16"/>
                <w:szCs w:val="16"/>
                <w:color w:val="auto"/>
              </w:rPr>
              <w:t>Intuit</w:t>
            </w:r>
          </w:p>
        </w:tc>
        <w:tc>
          <w:tcPr>
            <w:tcW w:w="3940" w:type="dxa"/>
            <w:vAlign w:val="bottom"/>
            <w:tcBorders>
              <w:bottom w:val="single" w:sz="8" w:color="939598"/>
            </w:tcBorders>
          </w:tcPr>
          <w:p>
            <w:pPr>
              <w:ind w:left="840"/>
              <w:spacing w:after="0"/>
              <w:rPr>
                <w:sz w:val="20"/>
                <w:szCs w:val="20"/>
                <w:color w:val="auto"/>
              </w:rPr>
            </w:pPr>
            <w:r>
              <w:rPr>
                <w:rFonts w:ascii="Arial" w:cs="Arial" w:eastAsia="Arial" w:hAnsi="Arial"/>
                <w:sz w:val="16"/>
                <w:szCs w:val="16"/>
                <w:color w:val="auto"/>
              </w:rPr>
              <w:t>Verisk Analytics</w:t>
            </w:r>
          </w:p>
        </w:tc>
      </w:tr>
      <w:tr>
        <w:trPr>
          <w:trHeight w:val="236"/>
        </w:trPr>
        <w:tc>
          <w:tcPr>
            <w:tcW w:w="354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Equinix</w:t>
            </w:r>
          </w:p>
        </w:tc>
        <w:tc>
          <w:tcPr>
            <w:tcW w:w="3400" w:type="dxa"/>
            <w:vAlign w:val="bottom"/>
            <w:tcBorders>
              <w:bottom w:val="single" w:sz="8" w:color="939598"/>
            </w:tcBorders>
          </w:tcPr>
          <w:p>
            <w:pPr>
              <w:spacing w:after="0"/>
              <w:rPr>
                <w:sz w:val="20"/>
                <w:szCs w:val="20"/>
                <w:color w:val="auto"/>
              </w:rPr>
            </w:pPr>
          </w:p>
        </w:tc>
        <w:tc>
          <w:tcPr>
            <w:tcW w:w="3940" w:type="dxa"/>
            <w:vAlign w:val="bottom"/>
            <w:tcBorders>
              <w:bottom w:val="single" w:sz="8" w:color="939598"/>
            </w:tcBorders>
          </w:tcPr>
          <w:p>
            <w:pPr>
              <w:spacing w:after="0"/>
              <w:rPr>
                <w:sz w:val="20"/>
                <w:szCs w:val="20"/>
                <w:color w:val="auto"/>
              </w:rPr>
            </w:pPr>
          </w:p>
        </w:tc>
      </w:tr>
    </w:tbl>
    <w:p>
      <w:pPr>
        <w:spacing w:after="0" w:line="175" w:lineRule="exact"/>
        <w:rPr>
          <w:sz w:val="20"/>
          <w:szCs w:val="20"/>
          <w:color w:val="auto"/>
        </w:rPr>
      </w:pPr>
    </w:p>
    <w:p>
      <w:pPr>
        <w:ind w:right="140"/>
        <w:spacing w:after="0" w:line="275" w:lineRule="auto"/>
        <w:rPr>
          <w:sz w:val="20"/>
          <w:szCs w:val="20"/>
          <w:color w:val="auto"/>
        </w:rPr>
      </w:pPr>
      <w:r>
        <w:rPr>
          <w:rFonts w:ascii="Arial" w:cs="Arial" w:eastAsia="Arial" w:hAnsi="Arial"/>
          <w:sz w:val="16"/>
          <w:szCs w:val="16"/>
          <w:color w:val="auto"/>
        </w:rPr>
        <w:t>At the time the Compensation Committee determined the 2024 peer group, Verisign’s revenue, operating income before depreciation and amortization (“Adjusted Operating Income”), and market capitalization as compared to our 2024 peer group were as follows: first quartile for revenue, second quartile for Adjusted Operating Income, and second quartile for market capitalization.</w:t>
      </w:r>
    </w:p>
    <w:p>
      <w:pPr>
        <w:spacing w:after="0" w:line="43" w:lineRule="exact"/>
        <w:rPr>
          <w:sz w:val="20"/>
          <w:szCs w:val="20"/>
          <w:color w:val="auto"/>
        </w:rPr>
      </w:pPr>
    </w:p>
    <w:p>
      <w:pPr>
        <w:ind w:right="120"/>
        <w:spacing w:after="0" w:line="256" w:lineRule="auto"/>
        <w:rPr>
          <w:sz w:val="20"/>
          <w:szCs w:val="20"/>
          <w:color w:val="auto"/>
        </w:rPr>
      </w:pPr>
      <w:r>
        <w:rPr>
          <w:rFonts w:ascii="Arial" w:cs="Arial" w:eastAsia="Arial" w:hAnsi="Arial"/>
          <w:sz w:val="16"/>
          <w:szCs w:val="16"/>
          <w:color w:val="auto"/>
        </w:rPr>
        <w:t>In October 2024, as part of its annual review of our peer group, the compensation consultant provided the Compensation Committee with an evaluation of, and recommendation for, our peer group based on revenue, market capitalization, free cash flow yield, Adjusted Operating Income growth, use of dividends or buybacks, inclusion in the S&amp;P 500 index and their industry. Based on this review, the Compensation Committee approved the removal of two peer companies, Intuit and Fiserv, due to their relative revenue and market capitalization. The Compensation Committee also approved the addition of GoDaddy as a peer resulting in an 18 company peer group to be used in setting 2025 compensation.</w:t>
      </w:r>
    </w:p>
    <w:p>
      <w:pPr>
        <w:spacing w:after="0" w:line="198"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Executive Compensation</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Base Salary</w:t>
      </w:r>
    </w:p>
    <w:p>
      <w:pPr>
        <w:spacing w:after="0" w:line="112"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Based on the review described above under the “Role of the Compensation Committee,” the Compensation Committee approved no adjustments to our NEOs’ salaries as summarized in the chart below. No changes were made to NEO salaries as they remained aligned both internally and externally with peer group market data.</w:t>
      </w:r>
    </w:p>
    <w:p>
      <w:pPr>
        <w:spacing w:after="0" w:line="97" w:lineRule="exact"/>
        <w:rPr>
          <w:sz w:val="20"/>
          <w:szCs w:val="20"/>
          <w:color w:val="auto"/>
        </w:rPr>
      </w:pPr>
    </w:p>
    <w:tbl>
      <w:tblPr>
        <w:tblLayout w:type="fixed"/>
        <w:tblInd w:w="2840" w:type="dxa"/>
        <w:tblCellMar>
          <w:top w:w="0" w:type="dxa"/>
          <w:left w:w="0" w:type="dxa"/>
          <w:bottom w:w="0" w:type="dxa"/>
          <w:right w:w="0" w:type="dxa"/>
        </w:tblCellMar>
      </w:tblPr>
      <w:tr>
        <w:trPr>
          <w:trHeight w:val="171"/>
        </w:trPr>
        <w:tc>
          <w:tcPr>
            <w:tcW w:w="294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2023 BASE</w:t>
            </w:r>
          </w:p>
        </w:tc>
        <w:tc>
          <w:tcPr>
            <w:tcW w:w="120" w:type="dxa"/>
            <w:vAlign w:val="bottom"/>
            <w:tcBorders>
              <w:right w:val="single" w:sz="8" w:color="auto"/>
            </w:tcBorders>
          </w:tcPr>
          <w:p>
            <w:pPr>
              <w:spacing w:after="0"/>
              <w:rPr>
                <w:sz w:val="14"/>
                <w:szCs w:val="14"/>
                <w:color w:val="auto"/>
              </w:rPr>
            </w:pPr>
          </w:p>
        </w:tc>
        <w:tc>
          <w:tcPr>
            <w:tcW w:w="1160" w:type="dxa"/>
            <w:vAlign w:val="bottom"/>
          </w:tcPr>
          <w:p>
            <w:pPr>
              <w:jc w:val="right"/>
              <w:spacing w:after="0"/>
              <w:rPr>
                <w:sz w:val="20"/>
                <w:szCs w:val="20"/>
                <w:color w:val="auto"/>
              </w:rPr>
            </w:pPr>
            <w:r>
              <w:rPr>
                <w:rFonts w:ascii="Arial" w:cs="Arial" w:eastAsia="Arial" w:hAnsi="Arial"/>
                <w:sz w:val="13"/>
                <w:szCs w:val="13"/>
                <w:b w:val="1"/>
                <w:bCs w:val="1"/>
                <w:color w:val="auto"/>
              </w:rPr>
              <w:t>2024 BASE</w:t>
            </w:r>
          </w:p>
        </w:tc>
      </w:tr>
      <w:tr>
        <w:trPr>
          <w:trHeight w:val="176"/>
        </w:trPr>
        <w:tc>
          <w:tcPr>
            <w:tcW w:w="294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w:t>
            </w:r>
          </w:p>
        </w:tc>
        <w:tc>
          <w:tcPr>
            <w:tcW w:w="100" w:type="dxa"/>
            <w:vAlign w:val="bottom"/>
            <w:tcBorders>
              <w:right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SALARY</w:t>
            </w:r>
          </w:p>
        </w:tc>
        <w:tc>
          <w:tcPr>
            <w:tcW w:w="120" w:type="dxa"/>
            <w:vAlign w:val="bottom"/>
            <w:tcBorders>
              <w:right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SALARY</w:t>
            </w:r>
          </w:p>
        </w:tc>
      </w:tr>
      <w:tr>
        <w:trPr>
          <w:trHeight w:val="213"/>
        </w:trPr>
        <w:tc>
          <w:tcPr>
            <w:tcW w:w="2940" w:type="dxa"/>
            <w:vAlign w:val="bottom"/>
            <w:shd w:val="clear" w:color="auto" w:fill="E6E7E8"/>
          </w:tcPr>
          <w:p>
            <w:pPr>
              <w:ind w:left="20"/>
              <w:spacing w:after="0"/>
              <w:rPr>
                <w:sz w:val="20"/>
                <w:szCs w:val="20"/>
                <w:color w:val="auto"/>
              </w:rPr>
            </w:pPr>
            <w:r>
              <w:rPr>
                <w:rFonts w:ascii="Arial" w:cs="Arial" w:eastAsia="Arial" w:hAnsi="Arial"/>
                <w:sz w:val="16"/>
                <w:szCs w:val="16"/>
                <w:b w:val="1"/>
                <w:bCs w:val="1"/>
                <w:color w:val="004A98"/>
              </w:rPr>
              <w:t>D. James Bidzos</w:t>
            </w:r>
          </w:p>
        </w:tc>
        <w:tc>
          <w:tcPr>
            <w:tcW w:w="100" w:type="dxa"/>
            <w:vAlign w:val="bottom"/>
            <w:tcBorders>
              <w:right w:val="single" w:sz="8" w:color="E6E7E8"/>
            </w:tcBorders>
          </w:tcPr>
          <w:p>
            <w:pPr>
              <w:spacing w:after="0"/>
              <w:rPr>
                <w:sz w:val="18"/>
                <w:szCs w:val="18"/>
                <w:color w:val="auto"/>
              </w:rPr>
            </w:pPr>
          </w:p>
        </w:tc>
        <w:tc>
          <w:tcPr>
            <w:tcW w:w="1160" w:type="dxa"/>
            <w:vAlign w:val="bottom"/>
            <w:shd w:val="clear" w:color="auto" w:fill="E6E7E8"/>
          </w:tcPr>
          <w:p>
            <w:pPr>
              <w:jc w:val="right"/>
              <w:spacing w:after="0"/>
              <w:rPr>
                <w:sz w:val="20"/>
                <w:szCs w:val="20"/>
                <w:color w:val="auto"/>
              </w:rPr>
            </w:pPr>
            <w:r>
              <w:rPr>
                <w:rFonts w:ascii="Arial" w:cs="Arial" w:eastAsia="Arial" w:hAnsi="Arial"/>
                <w:sz w:val="16"/>
                <w:szCs w:val="16"/>
                <w:color w:val="auto"/>
              </w:rPr>
              <w:t>$950,000</w:t>
            </w:r>
          </w:p>
        </w:tc>
        <w:tc>
          <w:tcPr>
            <w:tcW w:w="120" w:type="dxa"/>
            <w:vAlign w:val="bottom"/>
            <w:tcBorders>
              <w:right w:val="single" w:sz="8" w:color="E6E7E8"/>
            </w:tcBorders>
          </w:tcPr>
          <w:p>
            <w:pPr>
              <w:spacing w:after="0"/>
              <w:rPr>
                <w:sz w:val="18"/>
                <w:szCs w:val="18"/>
                <w:color w:val="auto"/>
              </w:rPr>
            </w:pPr>
          </w:p>
        </w:tc>
        <w:tc>
          <w:tcPr>
            <w:tcW w:w="1160" w:type="dxa"/>
            <w:vAlign w:val="bottom"/>
            <w:shd w:val="clear" w:color="auto" w:fill="E6E7E8"/>
          </w:tcPr>
          <w:p>
            <w:pPr>
              <w:jc w:val="right"/>
              <w:spacing w:after="0"/>
              <w:rPr>
                <w:sz w:val="20"/>
                <w:szCs w:val="20"/>
                <w:color w:val="auto"/>
              </w:rPr>
            </w:pPr>
            <w:r>
              <w:rPr>
                <w:rFonts w:ascii="Arial" w:cs="Arial" w:eastAsia="Arial" w:hAnsi="Arial"/>
                <w:sz w:val="16"/>
                <w:szCs w:val="16"/>
                <w:color w:val="auto"/>
              </w:rPr>
              <w:t>$950,000</w:t>
            </w:r>
          </w:p>
        </w:tc>
      </w:tr>
      <w:tr>
        <w:trPr>
          <w:trHeight w:val="216"/>
        </w:trPr>
        <w:tc>
          <w:tcPr>
            <w:tcW w:w="2940" w:type="dxa"/>
            <w:vAlign w:val="bottom"/>
          </w:tcPr>
          <w:p>
            <w:pPr>
              <w:ind w:left="20"/>
              <w:spacing w:after="0"/>
              <w:rPr>
                <w:sz w:val="20"/>
                <w:szCs w:val="20"/>
                <w:color w:val="auto"/>
              </w:rPr>
            </w:pPr>
            <w:r>
              <w:rPr>
                <w:rFonts w:ascii="Arial" w:cs="Arial" w:eastAsia="Arial" w:hAnsi="Arial"/>
                <w:sz w:val="16"/>
                <w:szCs w:val="16"/>
                <w:b w:val="1"/>
                <w:bCs w:val="1"/>
                <w:color w:val="004A98"/>
              </w:rPr>
              <w:t>Todd B. Strubbe</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$590,000</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$590,000</w:t>
            </w:r>
          </w:p>
        </w:tc>
      </w:tr>
      <w:tr>
        <w:trPr>
          <w:trHeight w:val="216"/>
        </w:trPr>
        <w:tc>
          <w:tcPr>
            <w:tcW w:w="2940" w:type="dxa"/>
            <w:vAlign w:val="bottom"/>
            <w:shd w:val="clear" w:color="auto" w:fill="E6E7E8"/>
          </w:tcPr>
          <w:p>
            <w:pPr>
              <w:ind w:left="20"/>
              <w:spacing w:after="0"/>
              <w:rPr>
                <w:sz w:val="20"/>
                <w:szCs w:val="20"/>
                <w:color w:val="auto"/>
              </w:rPr>
            </w:pPr>
            <w:r>
              <w:rPr>
                <w:rFonts w:ascii="Arial" w:cs="Arial" w:eastAsia="Arial" w:hAnsi="Arial"/>
                <w:sz w:val="16"/>
                <w:szCs w:val="16"/>
                <w:b w:val="1"/>
                <w:bCs w:val="1"/>
                <w:color w:val="004A98"/>
              </w:rPr>
              <w:t>George E. Kilguss, III</w:t>
            </w:r>
          </w:p>
        </w:tc>
        <w:tc>
          <w:tcPr>
            <w:tcW w:w="100" w:type="dxa"/>
            <w:vAlign w:val="bottom"/>
            <w:tcBorders>
              <w:right w:val="single" w:sz="8" w:color="E6E7E8"/>
            </w:tcBorders>
          </w:tcPr>
          <w:p>
            <w:pPr>
              <w:spacing w:after="0"/>
              <w:rPr>
                <w:sz w:val="18"/>
                <w:szCs w:val="18"/>
                <w:color w:val="auto"/>
              </w:rPr>
            </w:pPr>
          </w:p>
        </w:tc>
        <w:tc>
          <w:tcPr>
            <w:tcW w:w="1160" w:type="dxa"/>
            <w:vAlign w:val="bottom"/>
            <w:shd w:val="clear" w:color="auto" w:fill="E6E7E8"/>
          </w:tcPr>
          <w:p>
            <w:pPr>
              <w:jc w:val="right"/>
              <w:spacing w:after="0"/>
              <w:rPr>
                <w:sz w:val="20"/>
                <w:szCs w:val="20"/>
                <w:color w:val="auto"/>
              </w:rPr>
            </w:pPr>
            <w:r>
              <w:rPr>
                <w:rFonts w:ascii="Arial" w:cs="Arial" w:eastAsia="Arial" w:hAnsi="Arial"/>
                <w:sz w:val="16"/>
                <w:szCs w:val="16"/>
                <w:color w:val="auto"/>
              </w:rPr>
              <w:t>$555,000</w:t>
            </w:r>
          </w:p>
        </w:tc>
        <w:tc>
          <w:tcPr>
            <w:tcW w:w="120" w:type="dxa"/>
            <w:vAlign w:val="bottom"/>
            <w:tcBorders>
              <w:right w:val="single" w:sz="8" w:color="E6E7E8"/>
            </w:tcBorders>
          </w:tcPr>
          <w:p>
            <w:pPr>
              <w:spacing w:after="0"/>
              <w:rPr>
                <w:sz w:val="18"/>
                <w:szCs w:val="18"/>
                <w:color w:val="auto"/>
              </w:rPr>
            </w:pPr>
          </w:p>
        </w:tc>
        <w:tc>
          <w:tcPr>
            <w:tcW w:w="1160" w:type="dxa"/>
            <w:vAlign w:val="bottom"/>
            <w:shd w:val="clear" w:color="auto" w:fill="E6E7E8"/>
          </w:tcPr>
          <w:p>
            <w:pPr>
              <w:jc w:val="right"/>
              <w:spacing w:after="0"/>
              <w:rPr>
                <w:sz w:val="20"/>
                <w:szCs w:val="20"/>
                <w:color w:val="auto"/>
              </w:rPr>
            </w:pPr>
            <w:r>
              <w:rPr>
                <w:rFonts w:ascii="Arial" w:cs="Arial" w:eastAsia="Arial" w:hAnsi="Arial"/>
                <w:sz w:val="16"/>
                <w:szCs w:val="16"/>
                <w:color w:val="auto"/>
              </w:rPr>
              <w:t>$555,000</w:t>
            </w:r>
          </w:p>
        </w:tc>
      </w:tr>
      <w:tr>
        <w:trPr>
          <w:trHeight w:val="216"/>
        </w:trPr>
        <w:tc>
          <w:tcPr>
            <w:tcW w:w="2940" w:type="dxa"/>
            <w:vAlign w:val="bottom"/>
          </w:tcPr>
          <w:p>
            <w:pPr>
              <w:ind w:left="20"/>
              <w:spacing w:after="0"/>
              <w:rPr>
                <w:sz w:val="20"/>
                <w:szCs w:val="20"/>
                <w:color w:val="auto"/>
              </w:rPr>
            </w:pPr>
            <w:r>
              <w:rPr>
                <w:rFonts w:ascii="Arial" w:cs="Arial" w:eastAsia="Arial" w:hAnsi="Arial"/>
                <w:sz w:val="16"/>
                <w:szCs w:val="16"/>
                <w:b w:val="1"/>
                <w:bCs w:val="1"/>
                <w:color w:val="004A98"/>
              </w:rPr>
              <w:t>Danny R. McPherson</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$555,000</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$555,000</w:t>
            </w:r>
          </w:p>
        </w:tc>
      </w:tr>
      <w:tr>
        <w:trPr>
          <w:trHeight w:val="216"/>
        </w:trPr>
        <w:tc>
          <w:tcPr>
            <w:tcW w:w="2940" w:type="dxa"/>
            <w:vAlign w:val="bottom"/>
            <w:shd w:val="clear" w:color="auto" w:fill="E6E7E8"/>
          </w:tcPr>
          <w:p>
            <w:pPr>
              <w:ind w:left="20"/>
              <w:spacing w:after="0"/>
              <w:rPr>
                <w:sz w:val="20"/>
                <w:szCs w:val="20"/>
                <w:color w:val="auto"/>
              </w:rPr>
            </w:pPr>
            <w:r>
              <w:rPr>
                <w:rFonts w:ascii="Arial" w:cs="Arial" w:eastAsia="Arial" w:hAnsi="Arial"/>
                <w:sz w:val="16"/>
                <w:szCs w:val="16"/>
                <w:b w:val="1"/>
                <w:bCs w:val="1"/>
                <w:color w:val="004A98"/>
              </w:rPr>
              <w:t>Thomas C. Indelicarto</w:t>
            </w:r>
          </w:p>
        </w:tc>
        <w:tc>
          <w:tcPr>
            <w:tcW w:w="100" w:type="dxa"/>
            <w:vAlign w:val="bottom"/>
            <w:tcBorders>
              <w:right w:val="single" w:sz="8" w:color="E6E7E8"/>
            </w:tcBorders>
          </w:tcPr>
          <w:p>
            <w:pPr>
              <w:spacing w:after="0"/>
              <w:rPr>
                <w:sz w:val="18"/>
                <w:szCs w:val="18"/>
                <w:color w:val="auto"/>
              </w:rPr>
            </w:pPr>
          </w:p>
        </w:tc>
        <w:tc>
          <w:tcPr>
            <w:tcW w:w="1160" w:type="dxa"/>
            <w:vAlign w:val="bottom"/>
            <w:shd w:val="clear" w:color="auto" w:fill="E6E7E8"/>
          </w:tcPr>
          <w:p>
            <w:pPr>
              <w:jc w:val="right"/>
              <w:spacing w:after="0"/>
              <w:rPr>
                <w:sz w:val="20"/>
                <w:szCs w:val="20"/>
                <w:color w:val="auto"/>
              </w:rPr>
            </w:pPr>
            <w:r>
              <w:rPr>
                <w:rFonts w:ascii="Arial" w:cs="Arial" w:eastAsia="Arial" w:hAnsi="Arial"/>
                <w:sz w:val="16"/>
                <w:szCs w:val="16"/>
                <w:color w:val="auto"/>
              </w:rPr>
              <w:t>$555,000</w:t>
            </w:r>
          </w:p>
        </w:tc>
        <w:tc>
          <w:tcPr>
            <w:tcW w:w="120" w:type="dxa"/>
            <w:vAlign w:val="bottom"/>
            <w:tcBorders>
              <w:right w:val="single" w:sz="8" w:color="E6E7E8"/>
            </w:tcBorders>
          </w:tcPr>
          <w:p>
            <w:pPr>
              <w:spacing w:after="0"/>
              <w:rPr>
                <w:sz w:val="18"/>
                <w:szCs w:val="18"/>
                <w:color w:val="auto"/>
              </w:rPr>
            </w:pPr>
          </w:p>
        </w:tc>
        <w:tc>
          <w:tcPr>
            <w:tcW w:w="1160" w:type="dxa"/>
            <w:vAlign w:val="bottom"/>
            <w:shd w:val="clear" w:color="auto" w:fill="E6E7E8"/>
          </w:tcPr>
          <w:p>
            <w:pPr>
              <w:jc w:val="right"/>
              <w:spacing w:after="0"/>
              <w:rPr>
                <w:sz w:val="20"/>
                <w:szCs w:val="20"/>
                <w:color w:val="auto"/>
              </w:rPr>
            </w:pPr>
            <w:r>
              <w:rPr>
                <w:rFonts w:ascii="Arial" w:cs="Arial" w:eastAsia="Arial" w:hAnsi="Arial"/>
                <w:sz w:val="16"/>
                <w:szCs w:val="16"/>
                <w:color w:val="auto"/>
              </w:rPr>
              <w:t>$555,000</w:t>
            </w:r>
          </w:p>
        </w:tc>
      </w:tr>
    </w:tbl>
    <w:p>
      <w:pPr>
        <w:spacing w:after="0" w:line="188"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Annual Incentive Bonus</w:t>
      </w:r>
    </w:p>
    <w:p>
      <w:pPr>
        <w:spacing w:after="0" w:line="112"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Our NEOs participate in the Verisign Performance Plan (“VPP”), which is a cash-based annual bonus plan. VPP bonuses are based on the Company’s achievement of financial goals established by the Compensation Committee in advance, as well as individual performance. The Compensation Committee determines the target annual incentive opportunity for each of our NEOs based on a comparison to our peer group and FW Cook’s executive compensation report. For 2024, the Compensation Committee approved the following VPP bonus targets as a percentage of base salary for our NEOs:</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135"/>
        </w:trPr>
        <w:tc>
          <w:tcPr>
            <w:tcW w:w="932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NEOS</w:t>
            </w:r>
          </w:p>
        </w:tc>
        <w:tc>
          <w:tcPr>
            <w:tcW w:w="120" w:type="dxa"/>
            <w:vAlign w:val="bottom"/>
            <w:tcBorders>
              <w:right w:val="single" w:sz="8" w:color="auto"/>
            </w:tcBorders>
          </w:tcPr>
          <w:p>
            <w:pPr>
              <w:spacing w:after="0"/>
              <w:rPr>
                <w:sz w:val="11"/>
                <w:szCs w:val="11"/>
                <w:color w:val="auto"/>
              </w:rPr>
            </w:pPr>
          </w:p>
        </w:tc>
        <w:tc>
          <w:tcPr>
            <w:tcW w:w="1800" w:type="dxa"/>
            <w:vAlign w:val="bottom"/>
          </w:tcPr>
          <w:p>
            <w:pPr>
              <w:jc w:val="right"/>
              <w:spacing w:after="0"/>
              <w:rPr>
                <w:sz w:val="20"/>
                <w:szCs w:val="20"/>
                <w:color w:val="auto"/>
              </w:rPr>
            </w:pPr>
            <w:r>
              <w:rPr>
                <w:rFonts w:ascii="Arial" w:cs="Arial" w:eastAsia="Arial" w:hAnsi="Arial"/>
                <w:sz w:val="11"/>
                <w:szCs w:val="11"/>
                <w:b w:val="1"/>
                <w:bCs w:val="1"/>
                <w:color w:val="auto"/>
              </w:rPr>
              <w:t>2024 BONUS TARGET AS A</w:t>
            </w:r>
          </w:p>
        </w:tc>
        <w:tc>
          <w:tcPr>
            <w:tcW w:w="0" w:type="dxa"/>
            <w:vAlign w:val="bottom"/>
          </w:tcPr>
          <w:p>
            <w:pPr>
              <w:spacing w:after="0"/>
              <w:rPr>
                <w:sz w:val="1"/>
                <w:szCs w:val="1"/>
                <w:color w:val="auto"/>
              </w:rPr>
            </w:pPr>
          </w:p>
        </w:tc>
      </w:tr>
      <w:tr>
        <w:trPr>
          <w:trHeight w:val="171"/>
        </w:trPr>
        <w:tc>
          <w:tcPr>
            <w:tcW w:w="9320" w:type="dxa"/>
            <w:vAlign w:val="bottom"/>
            <w:tcBorders>
              <w:bottom w:val="single" w:sz="8" w:color="auto"/>
            </w:tcBorders>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 OF BASE SALARY</w:t>
            </w:r>
          </w:p>
        </w:tc>
        <w:tc>
          <w:tcPr>
            <w:tcW w:w="0" w:type="dxa"/>
            <w:vAlign w:val="bottom"/>
          </w:tcPr>
          <w:p>
            <w:pPr>
              <w:spacing w:after="0"/>
              <w:rPr>
                <w:sz w:val="1"/>
                <w:szCs w:val="1"/>
                <w:color w:val="auto"/>
              </w:rPr>
            </w:pPr>
          </w:p>
        </w:tc>
      </w:tr>
      <w:tr>
        <w:trPr>
          <w:trHeight w:val="241"/>
        </w:trPr>
        <w:tc>
          <w:tcPr>
            <w:tcW w:w="9320" w:type="dxa"/>
            <w:vAlign w:val="bottom"/>
            <w:shd w:val="clear" w:color="auto" w:fill="E6E7E8"/>
          </w:tcPr>
          <w:p>
            <w:pPr>
              <w:ind w:left="20"/>
              <w:spacing w:after="0"/>
              <w:rPr>
                <w:sz w:val="20"/>
                <w:szCs w:val="20"/>
                <w:color w:val="auto"/>
              </w:rPr>
            </w:pPr>
            <w:r>
              <w:rPr>
                <w:rFonts w:ascii="Arial" w:cs="Arial" w:eastAsia="Arial" w:hAnsi="Arial"/>
                <w:sz w:val="16"/>
                <w:szCs w:val="16"/>
                <w:b w:val="1"/>
                <w:bCs w:val="1"/>
                <w:color w:val="004A98"/>
              </w:rPr>
              <w:t>D. James Bidzos</w:t>
            </w:r>
          </w:p>
        </w:tc>
        <w:tc>
          <w:tcPr>
            <w:tcW w:w="120" w:type="dxa"/>
            <w:vAlign w:val="bottom"/>
            <w:tcBorders>
              <w:right w:val="single" w:sz="8" w:color="E6E7E8"/>
            </w:tcBorders>
          </w:tcPr>
          <w:p>
            <w:pPr>
              <w:spacing w:after="0"/>
              <w:rPr>
                <w:sz w:val="20"/>
                <w:szCs w:val="20"/>
                <w:color w:val="auto"/>
              </w:rPr>
            </w:pPr>
          </w:p>
        </w:tc>
        <w:tc>
          <w:tcPr>
            <w:tcW w:w="1800" w:type="dxa"/>
            <w:vAlign w:val="bottom"/>
            <w:shd w:val="clear" w:color="auto" w:fill="E6E7E8"/>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216"/>
        </w:trPr>
        <w:tc>
          <w:tcPr>
            <w:tcW w:w="9320" w:type="dxa"/>
            <w:vAlign w:val="bottom"/>
          </w:tcPr>
          <w:p>
            <w:pPr>
              <w:ind w:left="20"/>
              <w:spacing w:after="0"/>
              <w:rPr>
                <w:sz w:val="20"/>
                <w:szCs w:val="20"/>
                <w:color w:val="auto"/>
              </w:rPr>
            </w:pPr>
            <w:r>
              <w:rPr>
                <w:rFonts w:ascii="Arial" w:cs="Arial" w:eastAsia="Arial" w:hAnsi="Arial"/>
                <w:sz w:val="16"/>
                <w:szCs w:val="16"/>
                <w:b w:val="1"/>
                <w:bCs w:val="1"/>
                <w:color w:val="004A98"/>
              </w:rPr>
              <w:t>Todd B. Strubbe</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6"/>
        </w:trPr>
        <w:tc>
          <w:tcPr>
            <w:tcW w:w="9320" w:type="dxa"/>
            <w:vAlign w:val="bottom"/>
            <w:shd w:val="clear" w:color="auto" w:fill="E6E7E8"/>
          </w:tcPr>
          <w:p>
            <w:pPr>
              <w:ind w:left="20"/>
              <w:spacing w:after="0"/>
              <w:rPr>
                <w:sz w:val="20"/>
                <w:szCs w:val="20"/>
                <w:color w:val="auto"/>
              </w:rPr>
            </w:pPr>
            <w:r>
              <w:rPr>
                <w:rFonts w:ascii="Arial" w:cs="Arial" w:eastAsia="Arial" w:hAnsi="Arial"/>
                <w:sz w:val="16"/>
                <w:szCs w:val="16"/>
                <w:b w:val="1"/>
                <w:bCs w:val="1"/>
                <w:color w:val="004A98"/>
              </w:rPr>
              <w:t>George E. Kilguss, III</w:t>
            </w:r>
          </w:p>
        </w:tc>
        <w:tc>
          <w:tcPr>
            <w:tcW w:w="120" w:type="dxa"/>
            <w:vAlign w:val="bottom"/>
            <w:tcBorders>
              <w:right w:val="single" w:sz="8" w:color="E6E7E8"/>
            </w:tcBorders>
          </w:tcPr>
          <w:p>
            <w:pPr>
              <w:spacing w:after="0"/>
              <w:rPr>
                <w:sz w:val="18"/>
                <w:szCs w:val="18"/>
                <w:color w:val="auto"/>
              </w:rPr>
            </w:pPr>
          </w:p>
        </w:tc>
        <w:tc>
          <w:tcPr>
            <w:tcW w:w="1800" w:type="dxa"/>
            <w:vAlign w:val="bottom"/>
            <w:shd w:val="clear" w:color="auto" w:fill="E6E7E8"/>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6"/>
        </w:trPr>
        <w:tc>
          <w:tcPr>
            <w:tcW w:w="9320" w:type="dxa"/>
            <w:vAlign w:val="bottom"/>
          </w:tcPr>
          <w:p>
            <w:pPr>
              <w:ind w:left="20"/>
              <w:spacing w:after="0"/>
              <w:rPr>
                <w:sz w:val="20"/>
                <w:szCs w:val="20"/>
                <w:color w:val="auto"/>
              </w:rPr>
            </w:pPr>
            <w:r>
              <w:rPr>
                <w:rFonts w:ascii="Arial" w:cs="Arial" w:eastAsia="Arial" w:hAnsi="Arial"/>
                <w:sz w:val="16"/>
                <w:szCs w:val="16"/>
                <w:b w:val="1"/>
                <w:bCs w:val="1"/>
                <w:color w:val="004A98"/>
              </w:rPr>
              <w:t>Danny R. McPherson</w:t>
            </w:r>
          </w:p>
        </w:tc>
        <w:tc>
          <w:tcPr>
            <w:tcW w:w="1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216"/>
        </w:trPr>
        <w:tc>
          <w:tcPr>
            <w:tcW w:w="9320" w:type="dxa"/>
            <w:vAlign w:val="bottom"/>
            <w:shd w:val="clear" w:color="auto" w:fill="E6E7E8"/>
          </w:tcPr>
          <w:p>
            <w:pPr>
              <w:ind w:left="20"/>
              <w:spacing w:after="0"/>
              <w:rPr>
                <w:sz w:val="20"/>
                <w:szCs w:val="20"/>
                <w:color w:val="auto"/>
              </w:rPr>
            </w:pPr>
            <w:r>
              <w:rPr>
                <w:rFonts w:ascii="Arial" w:cs="Arial" w:eastAsia="Arial" w:hAnsi="Arial"/>
                <w:sz w:val="16"/>
                <w:szCs w:val="16"/>
                <w:b w:val="1"/>
                <w:bCs w:val="1"/>
                <w:color w:val="004A98"/>
              </w:rPr>
              <w:t>Thomas Indelicarto</w:t>
            </w:r>
          </w:p>
        </w:tc>
        <w:tc>
          <w:tcPr>
            <w:tcW w:w="120" w:type="dxa"/>
            <w:vAlign w:val="bottom"/>
            <w:tcBorders>
              <w:right w:val="single" w:sz="8" w:color="E6E7E8"/>
            </w:tcBorders>
          </w:tcPr>
          <w:p>
            <w:pPr>
              <w:spacing w:after="0"/>
              <w:rPr>
                <w:sz w:val="18"/>
                <w:szCs w:val="18"/>
                <w:color w:val="auto"/>
              </w:rPr>
            </w:pPr>
          </w:p>
        </w:tc>
        <w:tc>
          <w:tcPr>
            <w:tcW w:w="1800" w:type="dxa"/>
            <w:vAlign w:val="bottom"/>
            <w:shd w:val="clear" w:color="auto" w:fill="E6E7E8"/>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 adjustments were made to NEO bonus targets as they remained aligned both internally and externally with peer group market data.</w:t>
      </w:r>
    </w:p>
    <w:p>
      <w:pPr>
        <w:spacing w:after="0" w:line="118" w:lineRule="exact"/>
        <w:rPr>
          <w:sz w:val="20"/>
          <w:szCs w:val="20"/>
          <w:color w:val="auto"/>
        </w:rPr>
      </w:pPr>
    </w:p>
    <w:p>
      <w:pPr>
        <w:ind w:right="280"/>
        <w:spacing w:after="0" w:line="265" w:lineRule="auto"/>
        <w:rPr>
          <w:sz w:val="20"/>
          <w:szCs w:val="20"/>
          <w:color w:val="auto"/>
        </w:rPr>
      </w:pPr>
      <w:r>
        <w:rPr>
          <w:rFonts w:ascii="Arial" w:cs="Arial" w:eastAsia="Arial" w:hAnsi="Arial"/>
          <w:sz w:val="16"/>
          <w:szCs w:val="16"/>
          <w:color w:val="auto"/>
        </w:rPr>
        <w:t>The Compensation Committee approves the actual annual incentive award payments for our NEOs after reviewing the Company’s and the individual’s performance. The Company’s performance determines the initial level of funding for the annual incentive bonus pool. The Compensation Committee then considers, and approves or amends as appropriate, the CEO’s recommendations for modifying any individual award above or below that level of funding based on an assessment of each NEO’s performance, and the Board’s assessment of the CEO’s performance. All annual bonus awards are subject to a maximum of 175% of the NEO’s target bonus under the VPP.</w:t>
      </w:r>
    </w:p>
    <w:p>
      <w:pPr>
        <w:spacing w:after="0" w:line="64"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The Company’s performance goals for the 2024 VPP were approved by the Compensation Committee in December 2023 and were based on two financial measures, weighted equally: (i) revenue and (ii) operating margin. The Company’s 2024 performance must have equaled or exceeded 98% of the established target for either revenue or operating margin before any funding of the bonus pool may occur. The table below illustrates different achievement levels for funding of the 2024 VPP bonus pool (threshold, target, and maximum) for each of these financial measures. The table also illustrates adjusted actual revenue and operating margin achieved for 2024 and the corresponding funding levels that resulted in an 96.3% funding for the 2024 VPP bonus pool.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30</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140970</wp:posOffset>
            </wp:positionV>
            <wp:extent cx="5966460" cy="161163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96646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460"/>
        <w:spacing w:after="0" w:line="276" w:lineRule="auto"/>
        <w:rPr>
          <w:sz w:val="20"/>
          <w:szCs w:val="20"/>
          <w:color w:val="auto"/>
        </w:rPr>
      </w:pPr>
      <w:r>
        <w:rPr>
          <w:rFonts w:ascii="Arial" w:cs="Arial" w:eastAsia="Arial" w:hAnsi="Arial"/>
          <w:sz w:val="16"/>
          <w:szCs w:val="16"/>
          <w:color w:val="auto"/>
        </w:rPr>
        <w:t>The chart below indicates the Compensation Committee’s approved annual incentive bonus award for each NEO under the 2024 VPP. All of our NEOs received a bonus payment at the funding multiplier level with no further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-1905</wp:posOffset>
            </wp:positionV>
            <wp:extent cx="8255" cy="5740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255" cy="574040"/>
                    </a:xfrm>
                    <a:prstGeom prst="rect">
                      <a:avLst/>
                    </a:prstGeom>
                    <a:noFill/>
                  </pic:spPr>
                </pic:pic>
              </a:graphicData>
            </a:graphic>
          </wp:anchor>
        </w:drawing>
        <w:drawing>
          <wp:anchor simplePos="0" relativeHeight="251657728" behindDoc="1" locked="0" layoutInCell="0" allowOverlap="1">
            <wp:simplePos x="0" y="0"/>
            <wp:positionH relativeFrom="column">
              <wp:posOffset>3365500</wp:posOffset>
            </wp:positionH>
            <wp:positionV relativeFrom="paragraph">
              <wp:posOffset>-1905</wp:posOffset>
            </wp:positionV>
            <wp:extent cx="8255" cy="5740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255" cy="574040"/>
                    </a:xfrm>
                    <a:prstGeom prst="rect">
                      <a:avLst/>
                    </a:prstGeom>
                    <a:noFill/>
                  </pic:spPr>
                </pic:pic>
              </a:graphicData>
            </a:graphic>
          </wp:anchor>
        </w:drawing>
        <w:drawing>
          <wp:anchor simplePos="0" relativeHeight="251657728" behindDoc="1" locked="0" layoutInCell="0" allowOverlap="1">
            <wp:simplePos x="0" y="0"/>
            <wp:positionH relativeFrom="column">
              <wp:posOffset>441960</wp:posOffset>
            </wp:positionH>
            <wp:positionV relativeFrom="paragraph">
              <wp:posOffset>-1905</wp:posOffset>
            </wp:positionV>
            <wp:extent cx="8890" cy="57404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574040"/>
                    </a:xfrm>
                    <a:prstGeom prst="rect">
                      <a:avLst/>
                    </a:prstGeom>
                    <a:noFill/>
                  </pic:spPr>
                </pic:pic>
              </a:graphicData>
            </a:graphic>
          </wp:anchor>
        </w:drawing>
        <w:drawing>
          <wp:anchor simplePos="0" relativeHeight="251657728" behindDoc="1" locked="0" layoutInCell="0" allowOverlap="1">
            <wp:simplePos x="0" y="0"/>
            <wp:positionH relativeFrom="column">
              <wp:posOffset>2619375</wp:posOffset>
            </wp:positionH>
            <wp:positionV relativeFrom="paragraph">
              <wp:posOffset>-1905</wp:posOffset>
            </wp:positionV>
            <wp:extent cx="8890" cy="57404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574040"/>
                    </a:xfrm>
                    <a:prstGeom prst="rect">
                      <a:avLst/>
                    </a:prstGeom>
                    <a:noFill/>
                  </pic:spPr>
                </pic:pic>
              </a:graphicData>
            </a:graphic>
          </wp:anchor>
        </w:drawing>
      </w:r>
    </w:p>
    <w:tbl>
      <w:tblPr>
        <w:tblLayout w:type="fixed"/>
        <w:tblInd w:w="700" w:type="dxa"/>
        <w:tblCellMar>
          <w:top w:w="0" w:type="dxa"/>
          <w:left w:w="0" w:type="dxa"/>
          <w:bottom w:w="0" w:type="dxa"/>
          <w:right w:w="0" w:type="dxa"/>
        </w:tblCellMar>
      </w:tblPr>
      <w:tr>
        <w:trPr>
          <w:trHeight w:val="192"/>
        </w:trPr>
        <w:tc>
          <w:tcPr>
            <w:tcW w:w="3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BONUS</w:t>
            </w: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3040" w:type="dxa"/>
            <w:vAlign w:val="bottom"/>
            <w:tcBorders>
              <w:bottom w:val="single" w:sz="8" w:color="auto"/>
            </w:tcBorders>
            <w:gridSpan w:val="5"/>
          </w:tcPr>
          <w:p>
            <w:pPr>
              <w:ind w:left="980"/>
              <w:spacing w:after="0"/>
              <w:rPr>
                <w:sz w:val="20"/>
                <w:szCs w:val="20"/>
                <w:color w:val="auto"/>
              </w:rPr>
            </w:pPr>
            <w:r>
              <w:rPr>
                <w:rFonts w:ascii="Arial" w:cs="Arial" w:eastAsia="Arial" w:hAnsi="Arial"/>
                <w:sz w:val="13"/>
                <w:szCs w:val="13"/>
                <w:b w:val="1"/>
                <w:bCs w:val="1"/>
                <w:color w:val="auto"/>
              </w:rPr>
              <w:t>2024 ACTUAL BONUS PAYMENT</w:t>
            </w: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2024</w:t>
            </w: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TARGET</w:t>
            </w:r>
          </w:p>
        </w:tc>
        <w:tc>
          <w:tcPr>
            <w:tcW w:w="2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FUNDING</w:t>
            </w:r>
          </w:p>
        </w:tc>
        <w:tc>
          <w:tcPr>
            <w:tcW w:w="100" w:type="dxa"/>
            <w:vAlign w:val="bottom"/>
            <w:tcBorders>
              <w:right w:val="single" w:sz="8" w:color="auto"/>
            </w:tcBorders>
          </w:tcPr>
          <w:p>
            <w:pPr>
              <w:spacing w:after="0"/>
              <w:rPr>
                <w:sz w:val="16"/>
                <w:szCs w:val="16"/>
                <w:color w:val="auto"/>
              </w:rPr>
            </w:pPr>
          </w:p>
        </w:tc>
        <w:tc>
          <w:tcPr>
            <w:tcW w:w="12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ACTUAL</w:t>
            </w:r>
          </w:p>
        </w:tc>
        <w:tc>
          <w:tcPr>
            <w:tcW w:w="36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ACTUAL</w:t>
            </w: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AS A % OF</w:t>
            </w: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MULTIPLIER</w:t>
            </w:r>
          </w:p>
        </w:tc>
        <w:tc>
          <w:tcPr>
            <w:tcW w:w="10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PAYOUT</w:t>
            </w:r>
          </w:p>
        </w:tc>
        <w:tc>
          <w:tcPr>
            <w:tcW w:w="3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BASE</w:t>
            </w: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BASE</w:t>
            </w:r>
          </w:p>
        </w:tc>
        <w:tc>
          <w:tcPr>
            <w:tcW w:w="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AS A % OF</w:t>
            </w:r>
          </w:p>
        </w:tc>
        <w:tc>
          <w:tcPr>
            <w:tcW w:w="100" w:type="dxa"/>
            <w:vAlign w:val="bottom"/>
            <w:tcBorders>
              <w:right w:val="single" w:sz="8" w:color="auto"/>
            </w:tcBorders>
          </w:tcPr>
          <w:p>
            <w:pPr>
              <w:spacing w:after="0"/>
              <w:rPr>
                <w:sz w:val="12"/>
                <w:szCs w:val="12"/>
                <w:color w:val="auto"/>
              </w:rPr>
            </w:pPr>
          </w:p>
        </w:tc>
        <w:tc>
          <w:tcPr>
            <w:tcW w:w="12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AS A % OF</w:t>
            </w:r>
          </w:p>
        </w:tc>
        <w:tc>
          <w:tcPr>
            <w:tcW w:w="360" w:type="dxa"/>
            <w:vAlign w:val="bottom"/>
          </w:tcPr>
          <w:p>
            <w:pPr>
              <w:spacing w:after="0"/>
              <w:rPr>
                <w:sz w:val="12"/>
                <w:szCs w:val="12"/>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PAYOUT</w:t>
            </w:r>
          </w:p>
        </w:tc>
        <w:tc>
          <w:tcPr>
            <w:tcW w:w="0" w:type="dxa"/>
            <w:vAlign w:val="bottom"/>
          </w:tcPr>
          <w:p>
            <w:pPr>
              <w:spacing w:after="0"/>
              <w:rPr>
                <w:sz w:val="1"/>
                <w:szCs w:val="1"/>
                <w:color w:val="auto"/>
              </w:rPr>
            </w:pPr>
          </w:p>
        </w:tc>
      </w:tr>
      <w:tr>
        <w:trPr>
          <w:trHeight w:val="172"/>
        </w:trPr>
        <w:tc>
          <w:tcPr>
            <w:tcW w:w="3420" w:type="dxa"/>
            <w:vAlign w:val="bottom"/>
          </w:tcPr>
          <w:p>
            <w:pPr>
              <w:ind w:left="1540"/>
              <w:spacing w:after="0"/>
              <w:rPr>
                <w:sz w:val="20"/>
                <w:szCs w:val="20"/>
                <w:color w:val="auto"/>
              </w:rPr>
            </w:pPr>
            <w:r>
              <w:rPr>
                <w:rFonts w:ascii="Arial" w:cs="Arial" w:eastAsia="Arial" w:hAnsi="Arial"/>
                <w:sz w:val="13"/>
                <w:szCs w:val="13"/>
                <w:b w:val="1"/>
                <w:bCs w:val="1"/>
                <w:color w:val="auto"/>
              </w:rPr>
              <w:t>NAME</w:t>
            </w:r>
          </w:p>
        </w:tc>
        <w:tc>
          <w:tcPr>
            <w:tcW w:w="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3"/>
                <w:szCs w:val="13"/>
                <w:b w:val="1"/>
                <w:bCs w:val="1"/>
                <w:color w:val="auto"/>
              </w:rPr>
              <w:t>SALARY</w:t>
            </w:r>
          </w:p>
        </w:tc>
        <w:tc>
          <w:tcPr>
            <w:tcW w:w="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b w:val="1"/>
                <w:bCs w:val="1"/>
                <w:color w:val="auto"/>
              </w:rPr>
              <w:t>SALARY</w:t>
            </w:r>
          </w:p>
        </w:tc>
        <w:tc>
          <w:tcPr>
            <w:tcW w:w="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1300" w:type="dxa"/>
            <w:vAlign w:val="bottom"/>
          </w:tcPr>
          <w:p>
            <w:pPr>
              <w:jc w:val="right"/>
              <w:spacing w:after="0"/>
              <w:rPr>
                <w:sz w:val="20"/>
                <w:szCs w:val="20"/>
                <w:color w:val="auto"/>
              </w:rPr>
            </w:pPr>
            <w:r>
              <w:rPr>
                <w:rFonts w:ascii="Arial" w:cs="Arial" w:eastAsia="Arial" w:hAnsi="Arial"/>
                <w:sz w:val="13"/>
                <w:szCs w:val="13"/>
                <w:b w:val="1"/>
                <w:bCs w:val="1"/>
                <w:color w:val="auto"/>
              </w:rPr>
              <w:t>TARGET</w:t>
            </w:r>
          </w:p>
        </w:tc>
        <w:tc>
          <w:tcPr>
            <w:tcW w:w="100" w:type="dxa"/>
            <w:vAlign w:val="bottom"/>
            <w:tcBorders>
              <w:right w:val="single" w:sz="8" w:color="auto"/>
            </w:tcBorders>
          </w:tcPr>
          <w:p>
            <w:pPr>
              <w:spacing w:after="0"/>
              <w:rPr>
                <w:sz w:val="14"/>
                <w:szCs w:val="14"/>
                <w:color w:val="auto"/>
              </w:rPr>
            </w:pPr>
          </w:p>
        </w:tc>
        <w:tc>
          <w:tcPr>
            <w:tcW w:w="1280" w:type="dxa"/>
            <w:vAlign w:val="bottom"/>
            <w:tcBorders>
              <w:right w:val="single" w:sz="8" w:color="auto"/>
            </w:tcBorders>
            <w:gridSpan w:val="2"/>
          </w:tcPr>
          <w:p>
            <w:pPr>
              <w:jc w:val="right"/>
              <w:ind w:right="140"/>
              <w:spacing w:after="0"/>
              <w:rPr>
                <w:sz w:val="20"/>
                <w:szCs w:val="20"/>
                <w:color w:val="auto"/>
              </w:rPr>
            </w:pPr>
            <w:r>
              <w:rPr>
                <w:rFonts w:ascii="Arial" w:cs="Arial" w:eastAsia="Arial" w:hAnsi="Arial"/>
                <w:sz w:val="13"/>
                <w:szCs w:val="13"/>
                <w:b w:val="1"/>
                <w:bCs w:val="1"/>
                <w:color w:val="auto"/>
              </w:rPr>
              <w:t>TARGET</w:t>
            </w:r>
          </w:p>
        </w:tc>
        <w:tc>
          <w:tcPr>
            <w:tcW w:w="36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3"/>
                <w:szCs w:val="13"/>
                <w:b w:val="1"/>
                <w:bCs w:val="1"/>
                <w:color w:val="auto"/>
              </w:rPr>
              <w:t>AMOUNT</w:t>
            </w:r>
          </w:p>
        </w:tc>
        <w:tc>
          <w:tcPr>
            <w:tcW w:w="0" w:type="dxa"/>
            <w:vAlign w:val="bottom"/>
          </w:tcPr>
          <w:p>
            <w:pPr>
              <w:spacing w:after="0"/>
              <w:rPr>
                <w:sz w:val="1"/>
                <w:szCs w:val="1"/>
                <w:color w:val="auto"/>
              </w:rPr>
            </w:pPr>
          </w:p>
        </w:tc>
      </w:tr>
      <w:tr>
        <w:trPr>
          <w:trHeight w:val="22"/>
        </w:trPr>
        <w:tc>
          <w:tcPr>
            <w:tcW w:w="3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3"/>
        </w:trPr>
        <w:tc>
          <w:tcPr>
            <w:tcW w:w="3420" w:type="dxa"/>
            <w:vAlign w:val="bottom"/>
            <w:tcBorders>
              <w:bottom w:val="single" w:sz="8" w:color="B6B6B6"/>
            </w:tcBorders>
            <w:shd w:val="clear" w:color="auto" w:fill="E6E7E8"/>
          </w:tcPr>
          <w:p>
            <w:pPr>
              <w:ind w:left="20"/>
              <w:spacing w:after="0"/>
              <w:rPr>
                <w:sz w:val="20"/>
                <w:szCs w:val="20"/>
                <w:color w:val="auto"/>
              </w:rPr>
            </w:pPr>
            <w:r>
              <w:rPr>
                <w:rFonts w:ascii="Arial" w:cs="Arial" w:eastAsia="Arial" w:hAnsi="Arial"/>
                <w:sz w:val="16"/>
                <w:szCs w:val="16"/>
                <w:b w:val="1"/>
                <w:bCs w:val="1"/>
                <w:color w:val="004A98"/>
              </w:rPr>
              <w:t>D. James Bidzos</w:t>
            </w:r>
          </w:p>
        </w:tc>
        <w:tc>
          <w:tcPr>
            <w:tcW w:w="20" w:type="dxa"/>
            <w:vAlign w:val="bottom"/>
          </w:tcPr>
          <w:p>
            <w:pPr>
              <w:spacing w:after="0"/>
              <w:rPr>
                <w:sz w:val="20"/>
                <w:szCs w:val="20"/>
                <w:color w:val="auto"/>
              </w:rPr>
            </w:pPr>
          </w:p>
        </w:tc>
        <w:tc>
          <w:tcPr>
            <w:tcW w:w="100" w:type="dxa"/>
            <w:vAlign w:val="bottom"/>
            <w:tcBorders>
              <w:right w:val="single" w:sz="8" w:color="E6E7E8"/>
            </w:tcBorders>
          </w:tcPr>
          <w:p>
            <w:pPr>
              <w:spacing w:after="0"/>
              <w:rPr>
                <w:sz w:val="20"/>
                <w:szCs w:val="20"/>
                <w:color w:val="auto"/>
              </w:rPr>
            </w:pPr>
          </w:p>
        </w:tc>
        <w:tc>
          <w:tcPr>
            <w:tcW w:w="1060" w:type="dxa"/>
            <w:vAlign w:val="bottom"/>
            <w:tcBorders>
              <w:bottom w:val="single" w:sz="8" w:color="B6B6B6"/>
            </w:tcBorders>
            <w:shd w:val="clear" w:color="auto" w:fill="E6E7E8"/>
          </w:tcPr>
          <w:p>
            <w:pPr>
              <w:jc w:val="right"/>
              <w:spacing w:after="0"/>
              <w:rPr>
                <w:sz w:val="20"/>
                <w:szCs w:val="20"/>
                <w:color w:val="auto"/>
              </w:rPr>
            </w:pPr>
            <w:r>
              <w:rPr>
                <w:rFonts w:ascii="Arial" w:cs="Arial" w:eastAsia="Arial" w:hAnsi="Arial"/>
                <w:sz w:val="14"/>
                <w:szCs w:val="14"/>
                <w:color w:val="auto"/>
              </w:rPr>
              <w:t>$950,000</w:t>
            </w:r>
          </w:p>
        </w:tc>
        <w:tc>
          <w:tcPr>
            <w:tcW w:w="20" w:type="dxa"/>
            <w:vAlign w:val="bottom"/>
          </w:tcPr>
          <w:p>
            <w:pPr>
              <w:spacing w:after="0"/>
              <w:rPr>
                <w:sz w:val="20"/>
                <w:szCs w:val="20"/>
                <w:color w:val="auto"/>
              </w:rPr>
            </w:pPr>
          </w:p>
        </w:tc>
        <w:tc>
          <w:tcPr>
            <w:tcW w:w="100" w:type="dxa"/>
            <w:vAlign w:val="bottom"/>
            <w:tcBorders>
              <w:right w:val="single" w:sz="8" w:color="E6E7E8"/>
            </w:tcBorders>
          </w:tcPr>
          <w:p>
            <w:pPr>
              <w:spacing w:after="0"/>
              <w:rPr>
                <w:sz w:val="20"/>
                <w:szCs w:val="20"/>
                <w:color w:val="auto"/>
              </w:rPr>
            </w:pPr>
          </w:p>
        </w:tc>
        <w:tc>
          <w:tcPr>
            <w:tcW w:w="1020" w:type="dxa"/>
            <w:vAlign w:val="bottom"/>
            <w:tcBorders>
              <w:bottom w:val="single" w:sz="8" w:color="B6B6B6"/>
            </w:tcBorders>
            <w:shd w:val="clear" w:color="auto" w:fill="E6E7E8"/>
          </w:tcPr>
          <w:p>
            <w:pPr>
              <w:jc w:val="right"/>
              <w:spacing w:after="0"/>
              <w:rPr>
                <w:sz w:val="20"/>
                <w:szCs w:val="20"/>
                <w:color w:val="auto"/>
              </w:rPr>
            </w:pPr>
            <w:r>
              <w:rPr>
                <w:rFonts w:ascii="Arial" w:cs="Arial" w:eastAsia="Arial" w:hAnsi="Arial"/>
                <w:sz w:val="14"/>
                <w:szCs w:val="14"/>
                <w:color w:val="auto"/>
              </w:rPr>
              <w:t>150%</w:t>
            </w:r>
          </w:p>
        </w:tc>
        <w:tc>
          <w:tcPr>
            <w:tcW w:w="20" w:type="dxa"/>
            <w:vAlign w:val="bottom"/>
          </w:tcPr>
          <w:p>
            <w:pPr>
              <w:spacing w:after="0"/>
              <w:rPr>
                <w:sz w:val="20"/>
                <w:szCs w:val="20"/>
                <w:color w:val="auto"/>
              </w:rPr>
            </w:pPr>
          </w:p>
        </w:tc>
        <w:tc>
          <w:tcPr>
            <w:tcW w:w="100" w:type="dxa"/>
            <w:vAlign w:val="bottom"/>
            <w:tcBorders>
              <w:right w:val="single" w:sz="8" w:color="E6E7E8"/>
            </w:tcBorders>
          </w:tcPr>
          <w:p>
            <w:pPr>
              <w:spacing w:after="0"/>
              <w:rPr>
                <w:sz w:val="20"/>
                <w:szCs w:val="20"/>
                <w:color w:val="auto"/>
              </w:rPr>
            </w:pPr>
          </w:p>
        </w:tc>
        <w:tc>
          <w:tcPr>
            <w:tcW w:w="130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96.3 %</w:t>
            </w:r>
          </w:p>
        </w:tc>
        <w:tc>
          <w:tcPr>
            <w:tcW w:w="100" w:type="dxa"/>
            <w:vAlign w:val="bottom"/>
            <w:tcBorders>
              <w:right w:val="single" w:sz="8" w:color="E6E7E8"/>
            </w:tcBorders>
          </w:tcPr>
          <w:p>
            <w:pPr>
              <w:spacing w:after="0"/>
              <w:rPr>
                <w:sz w:val="20"/>
                <w:szCs w:val="20"/>
                <w:color w:val="auto"/>
              </w:rPr>
            </w:pPr>
          </w:p>
        </w:tc>
        <w:tc>
          <w:tcPr>
            <w:tcW w:w="116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96.3 %</w:t>
            </w:r>
          </w:p>
        </w:tc>
        <w:tc>
          <w:tcPr>
            <w:tcW w:w="120" w:type="dxa"/>
            <w:vAlign w:val="bottom"/>
            <w:tcBorders>
              <w:right w:val="single" w:sz="8" w:color="E6E7E8"/>
            </w:tcBorders>
          </w:tcPr>
          <w:p>
            <w:pPr>
              <w:spacing w:after="0"/>
              <w:rPr>
                <w:sz w:val="20"/>
                <w:szCs w:val="20"/>
                <w:color w:val="auto"/>
              </w:rPr>
            </w:pPr>
          </w:p>
        </w:tc>
        <w:tc>
          <w:tcPr>
            <w:tcW w:w="360" w:type="dxa"/>
            <w:vAlign w:val="bottom"/>
            <w:tcBorders>
              <w:bottom w:val="single" w:sz="8" w:color="939598"/>
            </w:tcBorders>
            <w:shd w:val="clear" w:color="auto" w:fill="E6E7E8"/>
          </w:tcPr>
          <w:p>
            <w:pPr>
              <w:spacing w:after="0"/>
              <w:rPr>
                <w:sz w:val="20"/>
                <w:szCs w:val="20"/>
                <w:color w:val="auto"/>
              </w:rPr>
            </w:pPr>
          </w:p>
        </w:tc>
        <w:tc>
          <w:tcPr>
            <w:tcW w:w="86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$1,372,275</w:t>
            </w:r>
          </w:p>
        </w:tc>
        <w:tc>
          <w:tcPr>
            <w:tcW w:w="0" w:type="dxa"/>
            <w:vAlign w:val="bottom"/>
          </w:tcPr>
          <w:p>
            <w:pPr>
              <w:spacing w:after="0"/>
              <w:rPr>
                <w:sz w:val="1"/>
                <w:szCs w:val="1"/>
                <w:color w:val="auto"/>
              </w:rPr>
            </w:pPr>
          </w:p>
        </w:tc>
      </w:tr>
      <w:tr>
        <w:trPr>
          <w:trHeight w:val="239"/>
        </w:trPr>
        <w:tc>
          <w:tcPr>
            <w:tcW w:w="3420" w:type="dxa"/>
            <w:vAlign w:val="bottom"/>
          </w:tcPr>
          <w:p>
            <w:pPr>
              <w:ind w:left="20"/>
              <w:spacing w:after="0"/>
              <w:rPr>
                <w:sz w:val="20"/>
                <w:szCs w:val="20"/>
                <w:color w:val="auto"/>
              </w:rPr>
            </w:pPr>
            <w:r>
              <w:rPr>
                <w:rFonts w:ascii="Arial" w:cs="Arial" w:eastAsia="Arial" w:hAnsi="Arial"/>
                <w:sz w:val="16"/>
                <w:szCs w:val="16"/>
                <w:b w:val="1"/>
                <w:bCs w:val="1"/>
                <w:color w:val="004A98"/>
              </w:rPr>
              <w:t>Todd B. Strubbe</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$590,000</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jc w:val="right"/>
              <w:ind w:right="13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0"/>
                <w:szCs w:val="20"/>
                <w:color w:val="auto"/>
              </w:rPr>
            </w:pPr>
          </w:p>
        </w:tc>
        <w:tc>
          <w:tcPr>
            <w:tcW w:w="1640" w:type="dxa"/>
            <w:vAlign w:val="bottom"/>
            <w:gridSpan w:val="3"/>
          </w:tcPr>
          <w:p>
            <w:pPr>
              <w:jc w:val="right"/>
              <w:ind w:right="68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4"/>
        </w:trPr>
        <w:tc>
          <w:tcPr>
            <w:tcW w:w="3420" w:type="dxa"/>
            <w:vAlign w:val="bottom"/>
            <w:tcBorders>
              <w:top w:val="single" w:sz="8" w:color="B6B6B6"/>
              <w:bottom w:val="single" w:sz="8" w:color="B6B6B6"/>
            </w:tcBorders>
            <w:shd w:val="clear" w:color="auto" w:fill="E6E7E8"/>
          </w:tcPr>
          <w:p>
            <w:pPr>
              <w:ind w:left="20"/>
              <w:spacing w:after="0"/>
              <w:rPr>
                <w:sz w:val="20"/>
                <w:szCs w:val="20"/>
                <w:color w:val="auto"/>
              </w:rPr>
            </w:pPr>
            <w:r>
              <w:rPr>
                <w:rFonts w:ascii="Arial" w:cs="Arial" w:eastAsia="Arial" w:hAnsi="Arial"/>
                <w:sz w:val="16"/>
                <w:szCs w:val="16"/>
                <w:b w:val="1"/>
                <w:bCs w:val="1"/>
                <w:color w:val="004A98"/>
              </w:rPr>
              <w:t>George E. Kilguss, III</w:t>
            </w:r>
          </w:p>
        </w:tc>
        <w:tc>
          <w:tcPr>
            <w:tcW w:w="20" w:type="dxa"/>
            <w:vAlign w:val="bottom"/>
          </w:tcPr>
          <w:p>
            <w:pPr>
              <w:spacing w:after="0"/>
              <w:rPr>
                <w:sz w:val="20"/>
                <w:szCs w:val="20"/>
                <w:color w:val="auto"/>
              </w:rPr>
            </w:pPr>
          </w:p>
        </w:tc>
        <w:tc>
          <w:tcPr>
            <w:tcW w:w="100" w:type="dxa"/>
            <w:vAlign w:val="bottom"/>
            <w:tcBorders>
              <w:right w:val="single" w:sz="8" w:color="E6E7E8"/>
            </w:tcBorders>
          </w:tcPr>
          <w:p>
            <w:pPr>
              <w:spacing w:after="0"/>
              <w:rPr>
                <w:sz w:val="20"/>
                <w:szCs w:val="20"/>
                <w:color w:val="auto"/>
              </w:rPr>
            </w:pPr>
          </w:p>
        </w:tc>
        <w:tc>
          <w:tcPr>
            <w:tcW w:w="1060" w:type="dxa"/>
            <w:vAlign w:val="bottom"/>
            <w:tcBorders>
              <w:top w:val="single" w:sz="8" w:color="B6B6B6"/>
              <w:bottom w:val="single" w:sz="8" w:color="B6B6B6"/>
            </w:tcBorders>
            <w:shd w:val="clear" w:color="auto" w:fill="E6E7E8"/>
          </w:tcPr>
          <w:p>
            <w:pPr>
              <w:jc w:val="right"/>
              <w:spacing w:after="0"/>
              <w:rPr>
                <w:sz w:val="20"/>
                <w:szCs w:val="20"/>
                <w:color w:val="auto"/>
              </w:rPr>
            </w:pPr>
            <w:r>
              <w:rPr>
                <w:rFonts w:ascii="Arial" w:cs="Arial" w:eastAsia="Arial" w:hAnsi="Arial"/>
                <w:sz w:val="14"/>
                <w:szCs w:val="14"/>
                <w:color w:val="auto"/>
              </w:rPr>
              <w:t>$555,000</w:t>
            </w:r>
          </w:p>
        </w:tc>
        <w:tc>
          <w:tcPr>
            <w:tcW w:w="20" w:type="dxa"/>
            <w:vAlign w:val="bottom"/>
          </w:tcPr>
          <w:p>
            <w:pPr>
              <w:spacing w:after="0"/>
              <w:rPr>
                <w:sz w:val="20"/>
                <w:szCs w:val="20"/>
                <w:color w:val="auto"/>
              </w:rPr>
            </w:pPr>
          </w:p>
        </w:tc>
        <w:tc>
          <w:tcPr>
            <w:tcW w:w="100" w:type="dxa"/>
            <w:vAlign w:val="bottom"/>
            <w:tcBorders>
              <w:right w:val="single" w:sz="8" w:color="E6E7E8"/>
            </w:tcBorders>
          </w:tcPr>
          <w:p>
            <w:pPr>
              <w:spacing w:after="0"/>
              <w:rPr>
                <w:sz w:val="20"/>
                <w:szCs w:val="20"/>
                <w:color w:val="auto"/>
              </w:rPr>
            </w:pPr>
          </w:p>
        </w:tc>
        <w:tc>
          <w:tcPr>
            <w:tcW w:w="1020" w:type="dxa"/>
            <w:vAlign w:val="bottom"/>
            <w:tcBorders>
              <w:top w:val="single" w:sz="8" w:color="B6B6B6"/>
              <w:bottom w:val="single" w:sz="8" w:color="B6B6B6"/>
            </w:tcBorders>
            <w:shd w:val="clear" w:color="auto" w:fill="E6E7E8"/>
          </w:tcPr>
          <w:p>
            <w:pPr>
              <w:jc w:val="right"/>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20"/>
                <w:szCs w:val="20"/>
                <w:color w:val="auto"/>
              </w:rPr>
            </w:pPr>
          </w:p>
        </w:tc>
        <w:tc>
          <w:tcPr>
            <w:tcW w:w="100" w:type="dxa"/>
            <w:vAlign w:val="bottom"/>
            <w:tcBorders>
              <w:right w:val="single" w:sz="8" w:color="E6E7E8"/>
            </w:tcBorders>
          </w:tcPr>
          <w:p>
            <w:pPr>
              <w:spacing w:after="0"/>
              <w:rPr>
                <w:sz w:val="20"/>
                <w:szCs w:val="20"/>
                <w:color w:val="auto"/>
              </w:rPr>
            </w:pPr>
          </w:p>
        </w:tc>
        <w:tc>
          <w:tcPr>
            <w:tcW w:w="1300" w:type="dxa"/>
            <w:vAlign w:val="bottom"/>
            <w:tcBorders>
              <w:top w:val="single" w:sz="8" w:color="939598"/>
              <w:bottom w:val="single" w:sz="8" w:color="949699"/>
            </w:tcBorders>
            <w:shd w:val="clear" w:color="auto" w:fill="E6E7E8"/>
          </w:tcPr>
          <w:p>
            <w:pPr>
              <w:jc w:val="right"/>
              <w:spacing w:after="0"/>
              <w:rPr>
                <w:sz w:val="20"/>
                <w:szCs w:val="20"/>
                <w:color w:val="auto"/>
              </w:rPr>
            </w:pPr>
            <w:r>
              <w:rPr>
                <w:rFonts w:ascii="Arial" w:cs="Arial" w:eastAsia="Arial" w:hAnsi="Arial"/>
                <w:sz w:val="14"/>
                <w:szCs w:val="14"/>
                <w:color w:val="auto"/>
              </w:rPr>
              <w:t>96.3 %</w:t>
            </w:r>
          </w:p>
        </w:tc>
        <w:tc>
          <w:tcPr>
            <w:tcW w:w="100" w:type="dxa"/>
            <w:vAlign w:val="bottom"/>
            <w:tcBorders>
              <w:right w:val="single" w:sz="8" w:color="E6E7E8"/>
            </w:tcBorders>
          </w:tcPr>
          <w:p>
            <w:pPr>
              <w:spacing w:after="0"/>
              <w:rPr>
                <w:sz w:val="20"/>
                <w:szCs w:val="20"/>
                <w:color w:val="auto"/>
              </w:rPr>
            </w:pPr>
          </w:p>
        </w:tc>
        <w:tc>
          <w:tcPr>
            <w:tcW w:w="1160" w:type="dxa"/>
            <w:vAlign w:val="bottom"/>
            <w:tcBorders>
              <w:top w:val="single" w:sz="8" w:color="939598"/>
              <w:bottom w:val="single" w:sz="8" w:color="949699"/>
            </w:tcBorders>
            <w:shd w:val="clear" w:color="auto" w:fill="E6E7E8"/>
          </w:tcPr>
          <w:p>
            <w:pPr>
              <w:jc w:val="right"/>
              <w:spacing w:after="0"/>
              <w:rPr>
                <w:sz w:val="20"/>
                <w:szCs w:val="20"/>
                <w:color w:val="auto"/>
              </w:rPr>
            </w:pPr>
            <w:r>
              <w:rPr>
                <w:rFonts w:ascii="Arial" w:cs="Arial" w:eastAsia="Arial" w:hAnsi="Arial"/>
                <w:sz w:val="14"/>
                <w:szCs w:val="14"/>
                <w:color w:val="auto"/>
              </w:rPr>
              <w:t>96.3 %</w:t>
            </w:r>
          </w:p>
        </w:tc>
        <w:tc>
          <w:tcPr>
            <w:tcW w:w="120" w:type="dxa"/>
            <w:vAlign w:val="bottom"/>
            <w:tcBorders>
              <w:right w:val="single" w:sz="8" w:color="E6E7E8"/>
            </w:tcBorders>
          </w:tcPr>
          <w:p>
            <w:pPr>
              <w:spacing w:after="0"/>
              <w:rPr>
                <w:sz w:val="20"/>
                <w:szCs w:val="20"/>
                <w:color w:val="auto"/>
              </w:rPr>
            </w:pPr>
          </w:p>
        </w:tc>
        <w:tc>
          <w:tcPr>
            <w:tcW w:w="360" w:type="dxa"/>
            <w:vAlign w:val="bottom"/>
            <w:tcBorders>
              <w:top w:val="single" w:sz="8" w:color="939598"/>
              <w:bottom w:val="single" w:sz="8" w:color="929292"/>
            </w:tcBorders>
            <w:shd w:val="clear" w:color="auto" w:fill="E6E7E8"/>
          </w:tcPr>
          <w:p>
            <w:pPr>
              <w:spacing w:after="0"/>
              <w:rPr>
                <w:sz w:val="20"/>
                <w:szCs w:val="20"/>
                <w:color w:val="auto"/>
              </w:rPr>
            </w:pPr>
          </w:p>
        </w:tc>
        <w:tc>
          <w:tcPr>
            <w:tcW w:w="860" w:type="dxa"/>
            <w:vAlign w:val="bottom"/>
            <w:tcBorders>
              <w:top w:val="single" w:sz="8" w:color="939598"/>
              <w:bottom w:val="single" w:sz="8" w:color="929292"/>
            </w:tcBorders>
            <w:shd w:val="clear" w:color="auto" w:fill="E6E7E8"/>
          </w:tcPr>
          <w:p>
            <w:pPr>
              <w:jc w:val="right"/>
              <w:spacing w:after="0"/>
              <w:rPr>
                <w:sz w:val="20"/>
                <w:szCs w:val="20"/>
                <w:color w:val="auto"/>
              </w:rPr>
            </w:pPr>
            <w:r>
              <w:rPr>
                <w:rFonts w:ascii="Arial" w:cs="Arial" w:eastAsia="Arial" w:hAnsi="Arial"/>
                <w:sz w:val="14"/>
                <w:szCs w:val="14"/>
                <w:color w:val="auto"/>
              </w:rPr>
              <w:t>$534,465</w:t>
            </w:r>
          </w:p>
        </w:tc>
        <w:tc>
          <w:tcPr>
            <w:tcW w:w="0" w:type="dxa"/>
            <w:vAlign w:val="bottom"/>
          </w:tcPr>
          <w:p>
            <w:pPr>
              <w:spacing w:after="0"/>
              <w:rPr>
                <w:sz w:val="1"/>
                <w:szCs w:val="1"/>
                <w:color w:val="auto"/>
              </w:rPr>
            </w:pPr>
          </w:p>
        </w:tc>
      </w:tr>
      <w:tr>
        <w:trPr>
          <w:trHeight w:val="237"/>
        </w:trPr>
        <w:tc>
          <w:tcPr>
            <w:tcW w:w="3420" w:type="dxa"/>
            <w:vAlign w:val="bottom"/>
          </w:tcPr>
          <w:p>
            <w:pPr>
              <w:ind w:left="20"/>
              <w:spacing w:after="0"/>
              <w:rPr>
                <w:sz w:val="20"/>
                <w:szCs w:val="20"/>
                <w:color w:val="auto"/>
              </w:rPr>
            </w:pPr>
            <w:r>
              <w:rPr>
                <w:rFonts w:ascii="Arial" w:cs="Arial" w:eastAsia="Arial" w:hAnsi="Arial"/>
                <w:sz w:val="16"/>
                <w:szCs w:val="16"/>
                <w:b w:val="1"/>
                <w:bCs w:val="1"/>
                <w:color w:val="004A98"/>
              </w:rPr>
              <w:t>Danny R. McPherson</w:t>
            </w:r>
          </w:p>
        </w:tc>
        <w:tc>
          <w:tcPr>
            <w:tcW w:w="1180" w:type="dxa"/>
            <w:vAlign w:val="bottom"/>
            <w:gridSpan w:val="3"/>
          </w:tcPr>
          <w:p>
            <w:pPr>
              <w:jc w:val="right"/>
              <w:spacing w:after="0"/>
              <w:rPr>
                <w:sz w:val="20"/>
                <w:szCs w:val="20"/>
                <w:color w:val="auto"/>
              </w:rPr>
            </w:pPr>
            <w:r>
              <w:rPr>
                <w:rFonts w:ascii="Arial" w:cs="Arial" w:eastAsia="Arial" w:hAnsi="Arial"/>
                <w:sz w:val="14"/>
                <w:szCs w:val="14"/>
                <w:color w:val="auto"/>
              </w:rPr>
              <w:t>$555,000</w:t>
            </w:r>
          </w:p>
        </w:tc>
        <w:tc>
          <w:tcPr>
            <w:tcW w:w="1140" w:type="dxa"/>
            <w:vAlign w:val="bottom"/>
            <w:gridSpan w:val="3"/>
          </w:tcPr>
          <w:p>
            <w:pPr>
              <w:jc w:val="right"/>
              <w:spacing w:after="0"/>
              <w:rPr>
                <w:sz w:val="20"/>
                <w:szCs w:val="20"/>
                <w:color w:val="auto"/>
              </w:rPr>
            </w:pPr>
            <w:r>
              <w:rPr>
                <w:rFonts w:ascii="Arial" w:cs="Arial" w:eastAsia="Arial" w:hAnsi="Arial"/>
                <w:sz w:val="14"/>
                <w:szCs w:val="14"/>
                <w:color w:val="auto"/>
              </w:rPr>
              <w:t>100%</w:t>
            </w:r>
          </w:p>
        </w:tc>
        <w:tc>
          <w:tcPr>
            <w:tcW w:w="1420" w:type="dxa"/>
            <w:vAlign w:val="bottom"/>
            <w:gridSpan w:val="3"/>
          </w:tcPr>
          <w:p>
            <w:pPr>
              <w:jc w:val="right"/>
              <w:spacing w:after="0"/>
              <w:rPr>
                <w:sz w:val="20"/>
                <w:szCs w:val="20"/>
                <w:color w:val="auto"/>
              </w:rPr>
            </w:pPr>
            <w:r>
              <w:rPr>
                <w:rFonts w:ascii="Arial" w:cs="Arial" w:eastAsia="Arial" w:hAnsi="Arial"/>
                <w:sz w:val="14"/>
                <w:szCs w:val="14"/>
                <w:color w:val="auto"/>
              </w:rPr>
              <w:t>96.3 %</w:t>
            </w:r>
          </w:p>
        </w:tc>
        <w:tc>
          <w:tcPr>
            <w:tcW w:w="1260" w:type="dxa"/>
            <w:vAlign w:val="bottom"/>
            <w:gridSpan w:val="2"/>
          </w:tcPr>
          <w:p>
            <w:pPr>
              <w:jc w:val="right"/>
              <w:spacing w:after="0"/>
              <w:rPr>
                <w:sz w:val="20"/>
                <w:szCs w:val="20"/>
                <w:color w:val="auto"/>
              </w:rPr>
            </w:pPr>
            <w:r>
              <w:rPr>
                <w:rFonts w:ascii="Arial" w:cs="Arial" w:eastAsia="Arial" w:hAnsi="Arial"/>
                <w:sz w:val="14"/>
                <w:szCs w:val="14"/>
                <w:color w:val="auto"/>
              </w:rPr>
              <w:t>96.3 %</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$534,465</w:t>
            </w:r>
          </w:p>
        </w:tc>
        <w:tc>
          <w:tcPr>
            <w:tcW w:w="0" w:type="dxa"/>
            <w:vAlign w:val="bottom"/>
          </w:tcPr>
          <w:p>
            <w:pPr>
              <w:spacing w:after="0"/>
              <w:rPr>
                <w:sz w:val="1"/>
                <w:szCs w:val="1"/>
                <w:color w:val="auto"/>
              </w:rPr>
            </w:pPr>
          </w:p>
        </w:tc>
      </w:tr>
      <w:tr>
        <w:trPr>
          <w:trHeight w:val="237"/>
        </w:trPr>
        <w:tc>
          <w:tcPr>
            <w:tcW w:w="3420" w:type="dxa"/>
            <w:vAlign w:val="bottom"/>
            <w:tcBorders>
              <w:top w:val="single" w:sz="8" w:color="949699"/>
              <w:bottom w:val="single" w:sz="8" w:color="949699"/>
            </w:tcBorders>
            <w:shd w:val="clear" w:color="auto" w:fill="E6E7E8"/>
          </w:tcPr>
          <w:p>
            <w:pPr>
              <w:ind w:left="20"/>
              <w:spacing w:after="0"/>
              <w:rPr>
                <w:sz w:val="20"/>
                <w:szCs w:val="20"/>
                <w:color w:val="auto"/>
              </w:rPr>
            </w:pPr>
            <w:r>
              <w:rPr>
                <w:rFonts w:ascii="Arial" w:cs="Arial" w:eastAsia="Arial" w:hAnsi="Arial"/>
                <w:sz w:val="16"/>
                <w:szCs w:val="16"/>
                <w:b w:val="1"/>
                <w:bCs w:val="1"/>
                <w:color w:val="004A98"/>
              </w:rPr>
              <w:t>Thomas C. Indelicarto</w:t>
            </w:r>
          </w:p>
        </w:tc>
        <w:tc>
          <w:tcPr>
            <w:tcW w:w="20" w:type="dxa"/>
            <w:vAlign w:val="bottom"/>
          </w:tcPr>
          <w:p>
            <w:pPr>
              <w:spacing w:after="0"/>
              <w:rPr>
                <w:sz w:val="20"/>
                <w:szCs w:val="20"/>
                <w:color w:val="auto"/>
              </w:rPr>
            </w:pPr>
          </w:p>
        </w:tc>
        <w:tc>
          <w:tcPr>
            <w:tcW w:w="100" w:type="dxa"/>
            <w:vAlign w:val="bottom"/>
            <w:tcBorders>
              <w:right w:val="single" w:sz="8" w:color="E6E7E8"/>
            </w:tcBorders>
          </w:tcPr>
          <w:p>
            <w:pPr>
              <w:spacing w:after="0"/>
              <w:rPr>
                <w:sz w:val="20"/>
                <w:szCs w:val="20"/>
                <w:color w:val="auto"/>
              </w:rPr>
            </w:pPr>
          </w:p>
        </w:tc>
        <w:tc>
          <w:tcPr>
            <w:tcW w:w="1060" w:type="dxa"/>
            <w:vAlign w:val="bottom"/>
            <w:tcBorders>
              <w:top w:val="single" w:sz="8" w:color="949699"/>
              <w:bottom w:val="single" w:sz="8" w:color="949699"/>
            </w:tcBorders>
            <w:shd w:val="clear" w:color="auto" w:fill="E6E7E8"/>
          </w:tcPr>
          <w:p>
            <w:pPr>
              <w:jc w:val="right"/>
              <w:spacing w:after="0"/>
              <w:rPr>
                <w:sz w:val="20"/>
                <w:szCs w:val="20"/>
                <w:color w:val="auto"/>
              </w:rPr>
            </w:pPr>
            <w:r>
              <w:rPr>
                <w:rFonts w:ascii="Arial" w:cs="Arial" w:eastAsia="Arial" w:hAnsi="Arial"/>
                <w:sz w:val="14"/>
                <w:szCs w:val="14"/>
                <w:color w:val="auto"/>
              </w:rPr>
              <w:t>$555,000</w:t>
            </w:r>
          </w:p>
        </w:tc>
        <w:tc>
          <w:tcPr>
            <w:tcW w:w="20" w:type="dxa"/>
            <w:vAlign w:val="bottom"/>
          </w:tcPr>
          <w:p>
            <w:pPr>
              <w:spacing w:after="0"/>
              <w:rPr>
                <w:sz w:val="20"/>
                <w:szCs w:val="20"/>
                <w:color w:val="auto"/>
              </w:rPr>
            </w:pPr>
          </w:p>
        </w:tc>
        <w:tc>
          <w:tcPr>
            <w:tcW w:w="100" w:type="dxa"/>
            <w:vAlign w:val="bottom"/>
            <w:tcBorders>
              <w:right w:val="single" w:sz="8" w:color="E6E7E8"/>
            </w:tcBorders>
          </w:tcPr>
          <w:p>
            <w:pPr>
              <w:spacing w:after="0"/>
              <w:rPr>
                <w:sz w:val="20"/>
                <w:szCs w:val="20"/>
                <w:color w:val="auto"/>
              </w:rPr>
            </w:pPr>
          </w:p>
        </w:tc>
        <w:tc>
          <w:tcPr>
            <w:tcW w:w="1020" w:type="dxa"/>
            <w:vAlign w:val="bottom"/>
            <w:tcBorders>
              <w:top w:val="single" w:sz="8" w:color="949699"/>
              <w:bottom w:val="single" w:sz="8" w:color="949699"/>
            </w:tcBorders>
            <w:shd w:val="clear" w:color="auto" w:fill="E6E7E8"/>
          </w:tcPr>
          <w:p>
            <w:pPr>
              <w:jc w:val="right"/>
              <w:spacing w:after="0"/>
              <w:rPr>
                <w:sz w:val="20"/>
                <w:szCs w:val="20"/>
                <w:color w:val="auto"/>
              </w:rPr>
            </w:pPr>
            <w:r>
              <w:rPr>
                <w:rFonts w:ascii="Arial" w:cs="Arial" w:eastAsia="Arial" w:hAnsi="Arial"/>
                <w:sz w:val="14"/>
                <w:szCs w:val="14"/>
                <w:color w:val="auto"/>
              </w:rPr>
              <w:t>100%</w:t>
            </w:r>
          </w:p>
        </w:tc>
        <w:tc>
          <w:tcPr>
            <w:tcW w:w="20" w:type="dxa"/>
            <w:vAlign w:val="bottom"/>
          </w:tcPr>
          <w:p>
            <w:pPr>
              <w:spacing w:after="0"/>
              <w:rPr>
                <w:sz w:val="20"/>
                <w:szCs w:val="20"/>
                <w:color w:val="auto"/>
              </w:rPr>
            </w:pPr>
          </w:p>
        </w:tc>
        <w:tc>
          <w:tcPr>
            <w:tcW w:w="100" w:type="dxa"/>
            <w:vAlign w:val="bottom"/>
            <w:tcBorders>
              <w:right w:val="single" w:sz="8" w:color="E6E7E8"/>
            </w:tcBorders>
          </w:tcPr>
          <w:p>
            <w:pPr>
              <w:spacing w:after="0"/>
              <w:rPr>
                <w:sz w:val="20"/>
                <w:szCs w:val="20"/>
                <w:color w:val="auto"/>
              </w:rPr>
            </w:pPr>
          </w:p>
        </w:tc>
        <w:tc>
          <w:tcPr>
            <w:tcW w:w="1300" w:type="dxa"/>
            <w:vAlign w:val="bottom"/>
            <w:tcBorders>
              <w:top w:val="single" w:sz="8" w:color="949699"/>
              <w:bottom w:val="single" w:sz="8" w:color="949699"/>
            </w:tcBorders>
            <w:shd w:val="clear" w:color="auto" w:fill="E6E7E8"/>
          </w:tcPr>
          <w:p>
            <w:pPr>
              <w:jc w:val="right"/>
              <w:spacing w:after="0"/>
              <w:rPr>
                <w:sz w:val="20"/>
                <w:szCs w:val="20"/>
                <w:color w:val="auto"/>
              </w:rPr>
            </w:pPr>
            <w:r>
              <w:rPr>
                <w:rFonts w:ascii="Arial" w:cs="Arial" w:eastAsia="Arial" w:hAnsi="Arial"/>
                <w:sz w:val="14"/>
                <w:szCs w:val="14"/>
                <w:color w:val="auto"/>
              </w:rPr>
              <w:t>96.3 %</w:t>
            </w:r>
          </w:p>
        </w:tc>
        <w:tc>
          <w:tcPr>
            <w:tcW w:w="100" w:type="dxa"/>
            <w:vAlign w:val="bottom"/>
            <w:tcBorders>
              <w:right w:val="single" w:sz="8" w:color="E6E7E8"/>
            </w:tcBorders>
          </w:tcPr>
          <w:p>
            <w:pPr>
              <w:spacing w:after="0"/>
              <w:rPr>
                <w:sz w:val="20"/>
                <w:szCs w:val="20"/>
                <w:color w:val="auto"/>
              </w:rPr>
            </w:pPr>
          </w:p>
        </w:tc>
        <w:tc>
          <w:tcPr>
            <w:tcW w:w="1160" w:type="dxa"/>
            <w:vAlign w:val="bottom"/>
            <w:tcBorders>
              <w:top w:val="single" w:sz="8" w:color="949699"/>
              <w:bottom w:val="single" w:sz="8" w:color="949699"/>
            </w:tcBorders>
            <w:shd w:val="clear" w:color="auto" w:fill="E6E7E8"/>
          </w:tcPr>
          <w:p>
            <w:pPr>
              <w:jc w:val="right"/>
              <w:spacing w:after="0"/>
              <w:rPr>
                <w:sz w:val="20"/>
                <w:szCs w:val="20"/>
                <w:color w:val="auto"/>
              </w:rPr>
            </w:pPr>
            <w:r>
              <w:rPr>
                <w:rFonts w:ascii="Arial" w:cs="Arial" w:eastAsia="Arial" w:hAnsi="Arial"/>
                <w:sz w:val="14"/>
                <w:szCs w:val="14"/>
                <w:color w:val="auto"/>
              </w:rPr>
              <w:t>96.3 %</w:t>
            </w:r>
          </w:p>
        </w:tc>
        <w:tc>
          <w:tcPr>
            <w:tcW w:w="120" w:type="dxa"/>
            <w:vAlign w:val="bottom"/>
            <w:tcBorders>
              <w:right w:val="single" w:sz="8" w:color="E6E7E8"/>
            </w:tcBorders>
          </w:tcPr>
          <w:p>
            <w:pPr>
              <w:spacing w:after="0"/>
              <w:rPr>
                <w:sz w:val="20"/>
                <w:szCs w:val="20"/>
                <w:color w:val="auto"/>
              </w:rPr>
            </w:pPr>
          </w:p>
        </w:tc>
        <w:tc>
          <w:tcPr>
            <w:tcW w:w="360" w:type="dxa"/>
            <w:vAlign w:val="bottom"/>
            <w:tcBorders>
              <w:top w:val="single" w:sz="8" w:color="929292"/>
              <w:bottom w:val="single" w:sz="8" w:color="B6B6B6"/>
            </w:tcBorders>
            <w:shd w:val="clear" w:color="auto" w:fill="E6E7E8"/>
          </w:tcPr>
          <w:p>
            <w:pPr>
              <w:spacing w:after="0"/>
              <w:rPr>
                <w:sz w:val="20"/>
                <w:szCs w:val="20"/>
                <w:color w:val="auto"/>
              </w:rPr>
            </w:pPr>
          </w:p>
        </w:tc>
        <w:tc>
          <w:tcPr>
            <w:tcW w:w="860" w:type="dxa"/>
            <w:vAlign w:val="bottom"/>
            <w:tcBorders>
              <w:top w:val="single" w:sz="8" w:color="929292"/>
              <w:bottom w:val="single" w:sz="8" w:color="B6B6B6"/>
            </w:tcBorders>
            <w:shd w:val="clear" w:color="auto" w:fill="E6E7E8"/>
          </w:tcPr>
          <w:p>
            <w:pPr>
              <w:jc w:val="right"/>
              <w:spacing w:after="0"/>
              <w:rPr>
                <w:sz w:val="20"/>
                <w:szCs w:val="20"/>
                <w:color w:val="auto"/>
              </w:rPr>
            </w:pPr>
            <w:r>
              <w:rPr>
                <w:rFonts w:ascii="Arial" w:cs="Arial" w:eastAsia="Arial" w:hAnsi="Arial"/>
                <w:sz w:val="14"/>
                <w:szCs w:val="14"/>
                <w:color w:val="auto"/>
              </w:rPr>
              <w:t>$534,465</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Note: Mr. Strubbe retired from the company in April 2024, and as such, he did not receive a bonus under the 2024 VPP.</w:t>
      </w:r>
    </w:p>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Long-Term Incentive Compensation</w:t>
      </w:r>
    </w:p>
    <w:p>
      <w:pPr>
        <w:spacing w:after="0" w:line="112"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Equity-based grants are a key element of our total compensation program, and we issue them in accordance with our Amended and Restated VeriSign, Inc. 2006 Equity Incentive Plan (the “2006 Plan”). Consistent with our compensation philosophy, we believe it is important that these awards have a performance component and that they are based in part on TSR. Individual target award amounts are based on several factors including competitiveness as determined by data provided by our compensation consultant, job responsibilities, individual contributions, and the future potential of the NEO.</w:t>
      </w:r>
    </w:p>
    <w:p>
      <w:pPr>
        <w:spacing w:after="0" w:line="65" w:lineRule="exact"/>
        <w:rPr>
          <w:sz w:val="20"/>
          <w:szCs w:val="20"/>
          <w:color w:val="auto"/>
        </w:rPr>
      </w:pPr>
    </w:p>
    <w:p>
      <w:pPr>
        <w:ind w:right="240"/>
        <w:spacing w:after="0" w:line="241" w:lineRule="auto"/>
        <w:rPr>
          <w:sz w:val="20"/>
          <w:szCs w:val="20"/>
          <w:color w:val="auto"/>
        </w:rPr>
      </w:pPr>
      <w:r>
        <w:rPr>
          <w:rFonts w:ascii="Arial" w:cs="Arial" w:eastAsia="Arial" w:hAnsi="Arial"/>
          <w:sz w:val="16"/>
          <w:szCs w:val="16"/>
          <w:color w:val="auto"/>
        </w:rPr>
        <w:t>In 2024, the Compensation Committee granted (i) a long-term equity award to Mr. Bidzos consisting of 60% performance-based restricted stock units (“PSUs”) and 40% time-based restricted stock units (“RSUs”) and (ii) long-term equity awards to our other NEOs consisting of 50% PSUs and 50% RSUs. The RSUs provide strong retention value for our executive talent as they vest ratably over four years (25% on the first anniversary of the grant date and</w:t>
      </w:r>
    </w:p>
    <w:p>
      <w:pPr>
        <w:spacing w:after="0" w:line="2" w:lineRule="exact"/>
        <w:rPr>
          <w:sz w:val="20"/>
          <w:szCs w:val="20"/>
          <w:color w:val="auto"/>
        </w:rPr>
      </w:pPr>
    </w:p>
    <w:p>
      <w:pPr>
        <w:ind w:right="40"/>
        <w:spacing w:after="0" w:line="238" w:lineRule="auto"/>
        <w:rPr>
          <w:sz w:val="20"/>
          <w:szCs w:val="20"/>
          <w:color w:val="auto"/>
        </w:rPr>
      </w:pPr>
      <w:r>
        <w:rPr>
          <w:rFonts w:ascii="Arial" w:cs="Arial" w:eastAsia="Arial" w:hAnsi="Arial"/>
          <w:sz w:val="16"/>
          <w:szCs w:val="16"/>
          <w:color w:val="auto"/>
        </w:rPr>
        <w:t>6.25% on each quarterly anniversary thereafter), subject to continued employment. They are also directly linked to changes in stockholder value as their value goes up or down in connection with Verisign’s stock price. The performance metrics associated with the 2024 PSUs consist of two measures, each measured over a three-year performance period from January 1, 2024 through December 31, 2026. These measures are: (i) compound annual growth rate (“CAGR”) of the Company’s operating income and (ii) TSR of Verisign compared to the TSR of the S&amp;P 500 Index. The number of PSUs earned may range from 75% to 150% of the target award based on CAGR of operating income for the performance period, but no more than 100% of the target may be earned unless the TSR of Verisign equals or outperforms the TSR of the S&amp;P 500 Index for the performance period. In 2024, the payout range was refined, shifting from a broader 50%–200% span to a more focused 75%–150% range. We believe that these performance metrics coincide with the interests of our stockholders, create a long-term performance focus, and complement the performance metrics underlying the Company’s short term annual cash incentive plan. Cliff vesting after the three-year performance period of the 2024 PSUs supports long-term alignment with shareholder value and provides strong retention of the Company’s NEOs.</w:t>
      </w:r>
    </w:p>
    <w:p>
      <w:pPr>
        <w:spacing w:after="0" w:line="90"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The Compensation Committee granted equity awards on the basis described above to our NEOs on February 12, 2024 at its regularly scheduled meeting. Before determining the number of PSUs and RSUs to be granted to each NEO, the Compensation Committee determined the total dollar value of the target awards it wished to make to each NEO. The target number of PSUs granted to each of our NEOs was determined by dividing the total dollar value of the target award by the closing stock price on the date of grant rounded down to the nearest whole number of shares.</w:t>
      </w:r>
    </w:p>
    <w:p>
      <w:pPr>
        <w:spacing w:after="0" w:line="281"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Executive Compensation</w:t>
      </w:r>
    </w:p>
    <w:p>
      <w:pPr>
        <w:spacing w:after="0" w:line="316" w:lineRule="exact"/>
        <w:rPr>
          <w:sz w:val="20"/>
          <w:szCs w:val="20"/>
          <w:color w:val="auto"/>
        </w:rPr>
      </w:pPr>
    </w:p>
    <w:p>
      <w:pPr>
        <w:spacing w:after="0"/>
        <w:rPr>
          <w:sz w:val="20"/>
          <w:szCs w:val="20"/>
          <w:color w:val="auto"/>
        </w:rPr>
      </w:pPr>
      <w:r>
        <w:rPr>
          <w:rFonts w:ascii="Arial" w:cs="Arial" w:eastAsia="Arial" w:hAnsi="Arial"/>
          <w:sz w:val="16"/>
          <w:szCs w:val="16"/>
          <w:color w:val="auto"/>
        </w:rPr>
        <w:t>The chart below shows the equity awards granted to each NEO in February 2024:</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80" w:type="dxa"/>
            <w:vAlign w:val="bottom"/>
            <w:gridSpan w:val="3"/>
          </w:tcPr>
          <w:p>
            <w:pPr>
              <w:ind w:left="1220"/>
              <w:spacing w:after="0"/>
              <w:rPr>
                <w:sz w:val="20"/>
                <w:szCs w:val="20"/>
                <w:color w:val="auto"/>
              </w:rPr>
            </w:pPr>
            <w:r>
              <w:rPr>
                <w:rFonts w:ascii="Arial" w:cs="Arial" w:eastAsia="Arial" w:hAnsi="Arial"/>
                <w:sz w:val="13"/>
                <w:szCs w:val="13"/>
                <w:b w:val="1"/>
                <w:bCs w:val="1"/>
                <w:color w:val="auto"/>
              </w:rPr>
              <w:t>2024 EQUITY GRANTS</w:t>
            </w: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3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2"/>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6"/>
        </w:trPr>
        <w:tc>
          <w:tcPr>
            <w:tcW w:w="3000" w:type="dxa"/>
            <w:vAlign w:val="bottom"/>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20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 MARKET VALUE</w:t>
            </w:r>
          </w:p>
        </w:tc>
        <w:tc>
          <w:tcPr>
            <w:tcW w:w="120" w:type="dxa"/>
            <w:vAlign w:val="bottom"/>
            <w:tcBorders>
              <w:right w:val="single" w:sz="8" w:color="auto"/>
            </w:tcBorders>
          </w:tcPr>
          <w:p>
            <w:pPr>
              <w:spacing w:after="0"/>
              <w:rPr>
                <w:sz w:val="21"/>
                <w:szCs w:val="21"/>
                <w:color w:val="auto"/>
              </w:rPr>
            </w:pPr>
          </w:p>
        </w:tc>
        <w:tc>
          <w:tcPr>
            <w:tcW w:w="202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3"/>
                <w:szCs w:val="13"/>
                <w:b w:val="1"/>
                <w:bCs w:val="1"/>
                <w:color w:val="auto"/>
              </w:rPr>
              <w:t>GRANT DATE</w:t>
            </w:r>
          </w:p>
        </w:tc>
        <w:tc>
          <w:tcPr>
            <w:tcW w:w="660" w:type="dxa"/>
            <w:vAlign w:val="bottom"/>
          </w:tcPr>
          <w:p>
            <w:pPr>
              <w:spacing w:after="0"/>
              <w:rPr>
                <w:sz w:val="21"/>
                <w:szCs w:val="21"/>
                <w:color w:val="auto"/>
              </w:rPr>
            </w:pPr>
          </w:p>
        </w:tc>
        <w:tc>
          <w:tcPr>
            <w:tcW w:w="12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TIME-BASED RSUs</w:t>
            </w:r>
          </w:p>
        </w:tc>
        <w:tc>
          <w:tcPr>
            <w:tcW w:w="120" w:type="dxa"/>
            <w:vAlign w:val="bottom"/>
            <w:tcBorders>
              <w:right w:val="single" w:sz="8" w:color="auto"/>
            </w:tcBorders>
          </w:tcPr>
          <w:p>
            <w:pPr>
              <w:spacing w:after="0"/>
              <w:rPr>
                <w:sz w:val="21"/>
                <w:szCs w:val="21"/>
                <w:color w:val="auto"/>
              </w:rPr>
            </w:pPr>
          </w:p>
        </w:tc>
        <w:tc>
          <w:tcPr>
            <w:tcW w:w="19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TARGET PSUs</w:t>
            </w:r>
          </w:p>
        </w:tc>
        <w:tc>
          <w:tcPr>
            <w:tcW w:w="0" w:type="dxa"/>
            <w:vAlign w:val="bottom"/>
          </w:tcPr>
          <w:p>
            <w:pPr>
              <w:spacing w:after="0"/>
              <w:rPr>
                <w:sz w:val="1"/>
                <w:szCs w:val="1"/>
                <w:color w:val="auto"/>
              </w:rPr>
            </w:pPr>
          </w:p>
        </w:tc>
      </w:tr>
      <w:tr>
        <w:trPr>
          <w:trHeight w:val="126"/>
        </w:trPr>
        <w:tc>
          <w:tcPr>
            <w:tcW w:w="30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00" w:type="dxa"/>
            <w:vAlign w:val="bottom"/>
            <w:tcBorders>
              <w:right w:val="single" w:sz="8" w:color="auto"/>
            </w:tcBorders>
          </w:tcPr>
          <w:p>
            <w:pPr>
              <w:spacing w:after="0"/>
              <w:rPr>
                <w:sz w:val="10"/>
                <w:szCs w:val="10"/>
                <w:color w:val="auto"/>
              </w:rPr>
            </w:pPr>
          </w:p>
        </w:tc>
        <w:tc>
          <w:tcPr>
            <w:tcW w:w="204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020" w:type="dxa"/>
            <w:vAlign w:val="bottom"/>
            <w:tcBorders>
              <w:right w:val="single" w:sz="8" w:color="auto"/>
            </w:tcBorders>
            <w:gridSpan w:val="2"/>
          </w:tcPr>
          <w:p>
            <w:pPr>
              <w:jc w:val="right"/>
              <w:ind w:right="180"/>
              <w:spacing w:after="0" w:line="126" w:lineRule="exact"/>
              <w:rPr>
                <w:sz w:val="20"/>
                <w:szCs w:val="20"/>
                <w:color w:val="auto"/>
              </w:rPr>
            </w:pPr>
            <w:r>
              <w:rPr>
                <w:rFonts w:ascii="Arial" w:cs="Arial" w:eastAsia="Arial" w:hAnsi="Arial"/>
                <w:sz w:val="13"/>
                <w:szCs w:val="13"/>
                <w:b w:val="1"/>
                <w:bCs w:val="1"/>
                <w:color w:val="auto"/>
              </w:rPr>
              <w:t>FAIR VALUE PER</w:t>
            </w:r>
          </w:p>
        </w:tc>
        <w:tc>
          <w:tcPr>
            <w:tcW w:w="66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300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2040" w:type="dxa"/>
            <w:vAlign w:val="bottom"/>
          </w:tcPr>
          <w:p>
            <w:pPr>
              <w:jc w:val="right"/>
              <w:spacing w:after="0" w:line="175" w:lineRule="exact"/>
              <w:rPr>
                <w:sz w:val="20"/>
                <w:szCs w:val="20"/>
                <w:color w:val="auto"/>
              </w:rPr>
            </w:pPr>
            <w:r>
              <w:rPr>
                <w:rFonts w:ascii="Arial" w:cs="Arial" w:eastAsia="Arial" w:hAnsi="Arial"/>
                <w:sz w:val="13"/>
                <w:szCs w:val="13"/>
                <w:b w:val="1"/>
                <w:bCs w:val="1"/>
                <w:color w:val="auto"/>
              </w:rPr>
              <w:t>OF EQUITY GRANT</w:t>
            </w:r>
            <w:r>
              <w:rPr>
                <w:rFonts w:ascii="Arial" w:cs="Arial" w:eastAsia="Arial" w:hAnsi="Arial"/>
                <w:sz w:val="16"/>
                <w:szCs w:val="16"/>
                <w:b w:val="1"/>
                <w:bCs w:val="1"/>
                <w:color w:val="auto"/>
                <w:vertAlign w:val="superscript"/>
              </w:rPr>
              <w:t>(1)</w:t>
            </w:r>
          </w:p>
        </w:tc>
        <w:tc>
          <w:tcPr>
            <w:tcW w:w="120" w:type="dxa"/>
            <w:vAlign w:val="bottom"/>
            <w:tcBorders>
              <w:right w:val="single" w:sz="8" w:color="auto"/>
            </w:tcBorders>
          </w:tcPr>
          <w:p>
            <w:pPr>
              <w:spacing w:after="0"/>
              <w:rPr>
                <w:sz w:val="15"/>
                <w:szCs w:val="15"/>
                <w:color w:val="auto"/>
              </w:rPr>
            </w:pPr>
          </w:p>
        </w:tc>
        <w:tc>
          <w:tcPr>
            <w:tcW w:w="2020" w:type="dxa"/>
            <w:vAlign w:val="bottom"/>
            <w:tcBorders>
              <w:right w:val="single" w:sz="8" w:color="auto"/>
            </w:tcBorders>
            <w:gridSpan w:val="2"/>
          </w:tcPr>
          <w:p>
            <w:pPr>
              <w:jc w:val="center"/>
              <w:ind w:left="1147"/>
              <w:spacing w:after="0"/>
              <w:rPr>
                <w:sz w:val="20"/>
                <w:szCs w:val="20"/>
                <w:color w:val="auto"/>
              </w:rPr>
            </w:pPr>
            <w:r>
              <w:rPr>
                <w:rFonts w:ascii="Arial" w:cs="Arial" w:eastAsia="Arial" w:hAnsi="Arial"/>
                <w:sz w:val="13"/>
                <w:szCs w:val="13"/>
                <w:b w:val="1"/>
                <w:bCs w:val="1"/>
                <w:color w:val="auto"/>
                <w:w w:val="96"/>
              </w:rPr>
              <w:t>SHARE</w:t>
            </w:r>
          </w:p>
        </w:tc>
        <w:tc>
          <w:tcPr>
            <w:tcW w:w="660" w:type="dxa"/>
            <w:vAlign w:val="bottom"/>
          </w:tcPr>
          <w:p>
            <w:pPr>
              <w:spacing w:after="0"/>
              <w:rPr>
                <w:sz w:val="15"/>
                <w:szCs w:val="15"/>
                <w:color w:val="auto"/>
              </w:rPr>
            </w:pPr>
          </w:p>
        </w:tc>
        <w:tc>
          <w:tcPr>
            <w:tcW w:w="1260" w:type="dxa"/>
            <w:vAlign w:val="bottom"/>
          </w:tcPr>
          <w:p>
            <w:pPr>
              <w:jc w:val="right"/>
              <w:spacing w:after="0" w:line="175" w:lineRule="exact"/>
              <w:rPr>
                <w:sz w:val="20"/>
                <w:szCs w:val="20"/>
                <w:color w:val="auto"/>
              </w:rPr>
            </w:pPr>
            <w:r>
              <w:rPr>
                <w:rFonts w:ascii="Arial" w:cs="Arial" w:eastAsia="Arial" w:hAnsi="Arial"/>
                <w:sz w:val="13"/>
                <w:szCs w:val="13"/>
                <w:b w:val="1"/>
                <w:bCs w:val="1"/>
                <w:color w:val="auto"/>
              </w:rPr>
              <w:t>GRANTED</w:t>
            </w:r>
            <w:r>
              <w:rPr>
                <w:rFonts w:ascii="Arial" w:cs="Arial" w:eastAsia="Arial" w:hAnsi="Arial"/>
                <w:sz w:val="16"/>
                <w:szCs w:val="16"/>
                <w:b w:val="1"/>
                <w:bCs w:val="1"/>
                <w:color w:val="auto"/>
                <w:vertAlign w:val="superscript"/>
              </w:rPr>
              <w:t>(2)</w:t>
            </w:r>
          </w:p>
        </w:tc>
        <w:tc>
          <w:tcPr>
            <w:tcW w:w="120" w:type="dxa"/>
            <w:vAlign w:val="bottom"/>
            <w:tcBorders>
              <w:right w:val="single" w:sz="8" w:color="auto"/>
            </w:tcBorders>
          </w:tcPr>
          <w:p>
            <w:pPr>
              <w:spacing w:after="0"/>
              <w:rPr>
                <w:sz w:val="15"/>
                <w:szCs w:val="15"/>
                <w:color w:val="auto"/>
              </w:rPr>
            </w:pPr>
          </w:p>
        </w:tc>
        <w:tc>
          <w:tcPr>
            <w:tcW w:w="1920" w:type="dxa"/>
            <w:vAlign w:val="bottom"/>
          </w:tcPr>
          <w:p>
            <w:pPr>
              <w:jc w:val="right"/>
              <w:spacing w:after="0" w:line="175" w:lineRule="exact"/>
              <w:rPr>
                <w:sz w:val="20"/>
                <w:szCs w:val="20"/>
                <w:color w:val="auto"/>
              </w:rPr>
            </w:pPr>
            <w:r>
              <w:rPr>
                <w:rFonts w:ascii="Arial" w:cs="Arial" w:eastAsia="Arial" w:hAnsi="Arial"/>
                <w:sz w:val="13"/>
                <w:szCs w:val="13"/>
                <w:b w:val="1"/>
                <w:bCs w:val="1"/>
                <w:color w:val="auto"/>
              </w:rPr>
              <w:t>GRANTED</w:t>
            </w:r>
            <w:r>
              <w:rPr>
                <w:rFonts w:ascii="Arial" w:cs="Arial" w:eastAsia="Arial" w:hAnsi="Arial"/>
                <w:sz w:val="16"/>
                <w:szCs w:val="16"/>
                <w:b w:val="1"/>
                <w:bCs w:val="1"/>
                <w:color w:val="auto"/>
                <w:vertAlign w:val="superscript"/>
              </w:rPr>
              <w:t>(3)</w:t>
            </w:r>
          </w:p>
        </w:tc>
        <w:tc>
          <w:tcPr>
            <w:tcW w:w="0" w:type="dxa"/>
            <w:vAlign w:val="bottom"/>
          </w:tcPr>
          <w:p>
            <w:pPr>
              <w:spacing w:after="0"/>
              <w:rPr>
                <w:sz w:val="1"/>
                <w:szCs w:val="1"/>
                <w:color w:val="auto"/>
              </w:rPr>
            </w:pPr>
          </w:p>
        </w:tc>
      </w:tr>
      <w:tr>
        <w:trPr>
          <w:trHeight w:val="210"/>
        </w:trPr>
        <w:tc>
          <w:tcPr>
            <w:tcW w:w="3000" w:type="dxa"/>
            <w:vAlign w:val="bottom"/>
            <w:tcBorders>
              <w:top w:val="single" w:sz="8" w:color="auto"/>
              <w:bottom w:val="single" w:sz="8" w:color="B6B6B6"/>
            </w:tcBorders>
            <w:shd w:val="clear" w:color="auto" w:fill="E5E5E5"/>
          </w:tcPr>
          <w:p>
            <w:pPr>
              <w:ind w:left="20"/>
              <w:spacing w:after="0"/>
              <w:rPr>
                <w:sz w:val="20"/>
                <w:szCs w:val="20"/>
                <w:color w:val="auto"/>
              </w:rPr>
            </w:pPr>
            <w:r>
              <w:rPr>
                <w:rFonts w:ascii="Arial" w:cs="Arial" w:eastAsia="Arial" w:hAnsi="Arial"/>
                <w:sz w:val="16"/>
                <w:szCs w:val="16"/>
                <w:b w:val="1"/>
                <w:bCs w:val="1"/>
                <w:color w:val="004A98"/>
              </w:rPr>
              <w:t>D. James Bidzos</w:t>
            </w:r>
          </w:p>
        </w:tc>
        <w:tc>
          <w:tcPr>
            <w:tcW w:w="100" w:type="dxa"/>
            <w:vAlign w:val="bottom"/>
            <w:tcBorders>
              <w:right w:val="single" w:sz="8" w:color="E6E7E8"/>
            </w:tcBorders>
          </w:tcPr>
          <w:p>
            <w:pPr>
              <w:spacing w:after="0"/>
              <w:rPr>
                <w:sz w:val="18"/>
                <w:szCs w:val="18"/>
                <w:color w:val="auto"/>
              </w:rPr>
            </w:pPr>
          </w:p>
        </w:tc>
        <w:tc>
          <w:tcPr>
            <w:tcW w:w="2040" w:type="dxa"/>
            <w:vAlign w:val="bottom"/>
            <w:tcBorders>
              <w:top w:val="single" w:sz="8" w:color="auto"/>
              <w:bottom w:val="single" w:sz="8" w:color="B6B6B6"/>
            </w:tcBorders>
            <w:shd w:val="clear" w:color="auto" w:fill="E6E7E8"/>
          </w:tcPr>
          <w:p>
            <w:pPr>
              <w:jc w:val="right"/>
              <w:spacing w:after="0"/>
              <w:rPr>
                <w:sz w:val="20"/>
                <w:szCs w:val="20"/>
                <w:color w:val="auto"/>
              </w:rPr>
            </w:pPr>
            <w:r>
              <w:rPr>
                <w:rFonts w:ascii="Arial" w:cs="Arial" w:eastAsia="Arial" w:hAnsi="Arial"/>
                <w:sz w:val="16"/>
                <w:szCs w:val="16"/>
                <w:color w:val="auto"/>
              </w:rPr>
              <w:t>$11,732,383</w:t>
            </w:r>
          </w:p>
        </w:tc>
        <w:tc>
          <w:tcPr>
            <w:tcW w:w="120" w:type="dxa"/>
            <w:vAlign w:val="bottom"/>
            <w:tcBorders>
              <w:right w:val="single" w:sz="8" w:color="E5E5E5"/>
            </w:tcBorders>
          </w:tcPr>
          <w:p>
            <w:pPr>
              <w:spacing w:after="0"/>
              <w:rPr>
                <w:sz w:val="18"/>
                <w:szCs w:val="18"/>
                <w:color w:val="auto"/>
              </w:rPr>
            </w:pPr>
          </w:p>
        </w:tc>
        <w:tc>
          <w:tcPr>
            <w:tcW w:w="1900" w:type="dxa"/>
            <w:vAlign w:val="bottom"/>
            <w:tcBorders>
              <w:top w:val="single" w:sz="8" w:color="auto"/>
              <w:bottom w:val="single" w:sz="8" w:color="B6B6B6"/>
            </w:tcBorders>
            <w:shd w:val="clear" w:color="auto" w:fill="E5E5E5"/>
          </w:tcPr>
          <w:p>
            <w:pPr>
              <w:jc w:val="center"/>
              <w:ind w:left="1207"/>
              <w:spacing w:after="0"/>
              <w:rPr>
                <w:sz w:val="20"/>
                <w:szCs w:val="20"/>
                <w:color w:val="auto"/>
              </w:rPr>
            </w:pPr>
            <w:r>
              <w:rPr>
                <w:rFonts w:ascii="Arial" w:cs="Arial" w:eastAsia="Arial" w:hAnsi="Arial"/>
                <w:sz w:val="16"/>
                <w:szCs w:val="16"/>
                <w:color w:val="auto"/>
              </w:rPr>
              <w:t>$195.84</w:t>
            </w:r>
          </w:p>
        </w:tc>
        <w:tc>
          <w:tcPr>
            <w:tcW w:w="120" w:type="dxa"/>
            <w:vAlign w:val="bottom"/>
            <w:tcBorders>
              <w:right w:val="single" w:sz="8" w:color="E5E5E5"/>
            </w:tcBorders>
          </w:tcPr>
          <w:p>
            <w:pPr>
              <w:spacing w:after="0"/>
              <w:rPr>
                <w:sz w:val="18"/>
                <w:szCs w:val="18"/>
                <w:color w:val="auto"/>
              </w:rPr>
            </w:pPr>
          </w:p>
        </w:tc>
        <w:tc>
          <w:tcPr>
            <w:tcW w:w="660" w:type="dxa"/>
            <w:vAlign w:val="bottom"/>
            <w:tcBorders>
              <w:top w:val="single" w:sz="8" w:color="auto"/>
              <w:bottom w:val="single" w:sz="8" w:color="B6B6B6"/>
            </w:tcBorders>
            <w:shd w:val="clear" w:color="auto" w:fill="E5E5E5"/>
          </w:tcPr>
          <w:p>
            <w:pPr>
              <w:spacing w:after="0"/>
              <w:rPr>
                <w:sz w:val="18"/>
                <w:szCs w:val="18"/>
                <w:color w:val="auto"/>
              </w:rPr>
            </w:pPr>
          </w:p>
        </w:tc>
        <w:tc>
          <w:tcPr>
            <w:tcW w:w="1260" w:type="dxa"/>
            <w:vAlign w:val="bottom"/>
            <w:tcBorders>
              <w:top w:val="single" w:sz="8" w:color="auto"/>
              <w:bottom w:val="single" w:sz="8" w:color="B6B6B6"/>
            </w:tcBorders>
            <w:shd w:val="clear" w:color="auto" w:fill="E5E5E5"/>
          </w:tcPr>
          <w:p>
            <w:pPr>
              <w:jc w:val="right"/>
              <w:spacing w:after="0"/>
              <w:rPr>
                <w:sz w:val="20"/>
                <w:szCs w:val="20"/>
                <w:color w:val="auto"/>
              </w:rPr>
            </w:pPr>
            <w:r>
              <w:rPr>
                <w:rFonts w:ascii="Arial" w:cs="Arial" w:eastAsia="Arial" w:hAnsi="Arial"/>
                <w:sz w:val="16"/>
                <w:szCs w:val="16"/>
                <w:color w:val="auto"/>
              </w:rPr>
              <w:t>23,963</w:t>
            </w:r>
          </w:p>
        </w:tc>
        <w:tc>
          <w:tcPr>
            <w:tcW w:w="120" w:type="dxa"/>
            <w:vAlign w:val="bottom"/>
            <w:tcBorders>
              <w:right w:val="single" w:sz="8" w:color="E5E5E5"/>
            </w:tcBorders>
          </w:tcPr>
          <w:p>
            <w:pPr>
              <w:spacing w:after="0"/>
              <w:rPr>
                <w:sz w:val="18"/>
                <w:szCs w:val="18"/>
                <w:color w:val="auto"/>
              </w:rPr>
            </w:pPr>
          </w:p>
        </w:tc>
        <w:tc>
          <w:tcPr>
            <w:tcW w:w="1920" w:type="dxa"/>
            <w:vAlign w:val="bottom"/>
            <w:tcBorders>
              <w:top w:val="single" w:sz="8" w:color="auto"/>
              <w:bottom w:val="single" w:sz="8" w:color="B6B6B6"/>
            </w:tcBorders>
            <w:shd w:val="clear" w:color="auto" w:fill="E5E5E5"/>
          </w:tcPr>
          <w:p>
            <w:pPr>
              <w:jc w:val="right"/>
              <w:spacing w:after="0"/>
              <w:rPr>
                <w:sz w:val="20"/>
                <w:szCs w:val="20"/>
                <w:color w:val="auto"/>
              </w:rPr>
            </w:pPr>
            <w:r>
              <w:rPr>
                <w:rFonts w:ascii="Arial" w:cs="Arial" w:eastAsia="Arial" w:hAnsi="Arial"/>
                <w:sz w:val="16"/>
                <w:szCs w:val="16"/>
                <w:color w:val="auto"/>
              </w:rPr>
              <w:t>35,945</w:t>
            </w:r>
          </w:p>
        </w:tc>
        <w:tc>
          <w:tcPr>
            <w:tcW w:w="0" w:type="dxa"/>
            <w:vAlign w:val="bottom"/>
          </w:tcPr>
          <w:p>
            <w:pPr>
              <w:spacing w:after="0"/>
              <w:rPr>
                <w:sz w:val="1"/>
                <w:szCs w:val="1"/>
                <w:color w:val="auto"/>
              </w:rPr>
            </w:pPr>
          </w:p>
        </w:tc>
      </w:tr>
      <w:tr>
        <w:trPr>
          <w:trHeight w:val="209"/>
        </w:trPr>
        <w:tc>
          <w:tcPr>
            <w:tcW w:w="3000" w:type="dxa"/>
            <w:vAlign w:val="bottom"/>
            <w:tcBorders>
              <w:bottom w:val="single" w:sz="8" w:color="B6B6B6"/>
            </w:tcBorders>
          </w:tcPr>
          <w:p>
            <w:pPr>
              <w:ind w:left="20"/>
              <w:spacing w:after="0" w:line="210" w:lineRule="exact"/>
              <w:rPr>
                <w:sz w:val="20"/>
                <w:szCs w:val="20"/>
                <w:color w:val="auto"/>
              </w:rPr>
            </w:pPr>
            <w:r>
              <w:rPr>
                <w:rFonts w:ascii="Arial" w:cs="Arial" w:eastAsia="Arial" w:hAnsi="Arial"/>
                <w:sz w:val="16"/>
                <w:szCs w:val="16"/>
                <w:b w:val="1"/>
                <w:bCs w:val="1"/>
                <w:color w:val="004A98"/>
              </w:rPr>
              <w:t>Todd B. Strubbe</w:t>
            </w:r>
            <w:r>
              <w:rPr>
                <w:rFonts w:ascii="Arial" w:cs="Arial" w:eastAsia="Arial" w:hAnsi="Arial"/>
                <w:sz w:val="21"/>
                <w:szCs w:val="21"/>
                <w:b w:val="1"/>
                <w:bCs w:val="1"/>
                <w:color w:val="004A98"/>
                <w:vertAlign w:val="superscript"/>
              </w:rPr>
              <w:t>(4)</w:t>
            </w:r>
          </w:p>
        </w:tc>
        <w:tc>
          <w:tcPr>
            <w:tcW w:w="100" w:type="dxa"/>
            <w:vAlign w:val="bottom"/>
          </w:tcPr>
          <w:p>
            <w:pPr>
              <w:spacing w:after="0"/>
              <w:rPr>
                <w:sz w:val="18"/>
                <w:szCs w:val="18"/>
                <w:color w:val="auto"/>
              </w:rPr>
            </w:pPr>
          </w:p>
        </w:tc>
        <w:tc>
          <w:tcPr>
            <w:tcW w:w="204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$3,499,661</w:t>
            </w:r>
          </w:p>
        </w:tc>
        <w:tc>
          <w:tcPr>
            <w:tcW w:w="120" w:type="dxa"/>
            <w:vAlign w:val="bottom"/>
          </w:tcPr>
          <w:p>
            <w:pPr>
              <w:spacing w:after="0"/>
              <w:rPr>
                <w:sz w:val="18"/>
                <w:szCs w:val="18"/>
                <w:color w:val="auto"/>
              </w:rPr>
            </w:pPr>
          </w:p>
        </w:tc>
        <w:tc>
          <w:tcPr>
            <w:tcW w:w="1900" w:type="dxa"/>
            <w:vAlign w:val="bottom"/>
            <w:tcBorders>
              <w:bottom w:val="single" w:sz="8" w:color="B6B6B6"/>
            </w:tcBorders>
          </w:tcPr>
          <w:p>
            <w:pPr>
              <w:jc w:val="center"/>
              <w:ind w:left="1207"/>
              <w:spacing w:after="0"/>
              <w:rPr>
                <w:sz w:val="20"/>
                <w:szCs w:val="20"/>
                <w:color w:val="auto"/>
              </w:rPr>
            </w:pPr>
            <w:r>
              <w:rPr>
                <w:rFonts w:ascii="Arial" w:cs="Arial" w:eastAsia="Arial" w:hAnsi="Arial"/>
                <w:sz w:val="16"/>
                <w:szCs w:val="16"/>
                <w:color w:val="auto"/>
              </w:rPr>
              <w:t>$195.84</w:t>
            </w:r>
          </w:p>
        </w:tc>
        <w:tc>
          <w:tcPr>
            <w:tcW w:w="120" w:type="dxa"/>
            <w:vAlign w:val="bottom"/>
          </w:tcPr>
          <w:p>
            <w:pPr>
              <w:spacing w:after="0"/>
              <w:rPr>
                <w:sz w:val="18"/>
                <w:szCs w:val="18"/>
                <w:color w:val="auto"/>
              </w:rPr>
            </w:pPr>
          </w:p>
        </w:tc>
        <w:tc>
          <w:tcPr>
            <w:tcW w:w="660" w:type="dxa"/>
            <w:vAlign w:val="bottom"/>
            <w:tcBorders>
              <w:bottom w:val="single" w:sz="8" w:color="B6B6B6"/>
            </w:tcBorders>
          </w:tcPr>
          <w:p>
            <w:pPr>
              <w:spacing w:after="0"/>
              <w:rPr>
                <w:sz w:val="18"/>
                <w:szCs w:val="18"/>
                <w:color w:val="auto"/>
              </w:rPr>
            </w:pPr>
          </w:p>
        </w:tc>
        <w:tc>
          <w:tcPr>
            <w:tcW w:w="126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8,935</w:t>
            </w:r>
          </w:p>
        </w:tc>
        <w:tc>
          <w:tcPr>
            <w:tcW w:w="120" w:type="dxa"/>
            <w:vAlign w:val="bottom"/>
          </w:tcPr>
          <w:p>
            <w:pPr>
              <w:spacing w:after="0"/>
              <w:rPr>
                <w:sz w:val="18"/>
                <w:szCs w:val="18"/>
                <w:color w:val="auto"/>
              </w:rPr>
            </w:pPr>
          </w:p>
        </w:tc>
        <w:tc>
          <w:tcPr>
            <w:tcW w:w="192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8,935</w:t>
            </w:r>
          </w:p>
        </w:tc>
        <w:tc>
          <w:tcPr>
            <w:tcW w:w="0" w:type="dxa"/>
            <w:vAlign w:val="bottom"/>
          </w:tcPr>
          <w:p>
            <w:pPr>
              <w:spacing w:after="0"/>
              <w:rPr>
                <w:sz w:val="1"/>
                <w:szCs w:val="1"/>
                <w:color w:val="auto"/>
              </w:rPr>
            </w:pPr>
          </w:p>
        </w:tc>
      </w:tr>
      <w:tr>
        <w:trPr>
          <w:trHeight w:val="210"/>
        </w:trPr>
        <w:tc>
          <w:tcPr>
            <w:tcW w:w="3000" w:type="dxa"/>
            <w:vAlign w:val="bottom"/>
            <w:tcBorders>
              <w:bottom w:val="single" w:sz="8" w:color="B6B6B6"/>
            </w:tcBorders>
            <w:shd w:val="clear" w:color="auto" w:fill="E5E5E5"/>
          </w:tcPr>
          <w:p>
            <w:pPr>
              <w:ind w:left="20"/>
              <w:spacing w:after="0"/>
              <w:rPr>
                <w:sz w:val="20"/>
                <w:szCs w:val="20"/>
                <w:color w:val="auto"/>
              </w:rPr>
            </w:pPr>
            <w:r>
              <w:rPr>
                <w:rFonts w:ascii="Arial" w:cs="Arial" w:eastAsia="Arial" w:hAnsi="Arial"/>
                <w:sz w:val="16"/>
                <w:szCs w:val="16"/>
                <w:b w:val="1"/>
                <w:bCs w:val="1"/>
                <w:color w:val="004A98"/>
              </w:rPr>
              <w:t>George E. Kilguss, III</w:t>
            </w:r>
          </w:p>
        </w:tc>
        <w:tc>
          <w:tcPr>
            <w:tcW w:w="100" w:type="dxa"/>
            <w:vAlign w:val="bottom"/>
            <w:tcBorders>
              <w:right w:val="single" w:sz="8" w:color="E5E5E5"/>
            </w:tcBorders>
          </w:tcPr>
          <w:p>
            <w:pPr>
              <w:spacing w:after="0"/>
              <w:rPr>
                <w:sz w:val="18"/>
                <w:szCs w:val="18"/>
                <w:color w:val="auto"/>
              </w:rPr>
            </w:pPr>
          </w:p>
        </w:tc>
        <w:tc>
          <w:tcPr>
            <w:tcW w:w="204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6"/>
                <w:szCs w:val="16"/>
                <w:color w:val="auto"/>
              </w:rPr>
              <w:t>$3,501,619</w:t>
            </w:r>
          </w:p>
        </w:tc>
        <w:tc>
          <w:tcPr>
            <w:tcW w:w="120" w:type="dxa"/>
            <w:vAlign w:val="bottom"/>
            <w:tcBorders>
              <w:right w:val="single" w:sz="8" w:color="E5E5E5"/>
            </w:tcBorders>
          </w:tcPr>
          <w:p>
            <w:pPr>
              <w:spacing w:after="0"/>
              <w:rPr>
                <w:sz w:val="18"/>
                <w:szCs w:val="18"/>
                <w:color w:val="auto"/>
              </w:rPr>
            </w:pPr>
          </w:p>
        </w:tc>
        <w:tc>
          <w:tcPr>
            <w:tcW w:w="1900" w:type="dxa"/>
            <w:vAlign w:val="bottom"/>
            <w:tcBorders>
              <w:bottom w:val="single" w:sz="8" w:color="B6B6B6"/>
            </w:tcBorders>
            <w:shd w:val="clear" w:color="auto" w:fill="E5E5E5"/>
          </w:tcPr>
          <w:p>
            <w:pPr>
              <w:jc w:val="center"/>
              <w:ind w:left="1207"/>
              <w:spacing w:after="0"/>
              <w:rPr>
                <w:sz w:val="20"/>
                <w:szCs w:val="20"/>
                <w:color w:val="auto"/>
              </w:rPr>
            </w:pPr>
            <w:r>
              <w:rPr>
                <w:rFonts w:ascii="Arial" w:cs="Arial" w:eastAsia="Arial" w:hAnsi="Arial"/>
                <w:sz w:val="16"/>
                <w:szCs w:val="16"/>
                <w:color w:val="auto"/>
              </w:rPr>
              <w:t>$195.84</w:t>
            </w:r>
          </w:p>
        </w:tc>
        <w:tc>
          <w:tcPr>
            <w:tcW w:w="120" w:type="dxa"/>
            <w:vAlign w:val="bottom"/>
            <w:tcBorders>
              <w:right w:val="single" w:sz="8" w:color="E5E5E5"/>
            </w:tcBorders>
          </w:tcPr>
          <w:p>
            <w:pPr>
              <w:spacing w:after="0"/>
              <w:rPr>
                <w:sz w:val="18"/>
                <w:szCs w:val="18"/>
                <w:color w:val="auto"/>
              </w:rPr>
            </w:pPr>
          </w:p>
        </w:tc>
        <w:tc>
          <w:tcPr>
            <w:tcW w:w="660" w:type="dxa"/>
            <w:vAlign w:val="bottom"/>
            <w:tcBorders>
              <w:bottom w:val="single" w:sz="8" w:color="B6B6B6"/>
            </w:tcBorders>
            <w:shd w:val="clear" w:color="auto" w:fill="E5E5E5"/>
          </w:tcPr>
          <w:p>
            <w:pPr>
              <w:spacing w:after="0"/>
              <w:rPr>
                <w:sz w:val="18"/>
                <w:szCs w:val="18"/>
                <w:color w:val="auto"/>
              </w:rPr>
            </w:pPr>
          </w:p>
        </w:tc>
        <w:tc>
          <w:tcPr>
            <w:tcW w:w="126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6"/>
                <w:szCs w:val="16"/>
                <w:color w:val="auto"/>
              </w:rPr>
              <w:t>8,940</w:t>
            </w:r>
          </w:p>
        </w:tc>
        <w:tc>
          <w:tcPr>
            <w:tcW w:w="120" w:type="dxa"/>
            <w:vAlign w:val="bottom"/>
            <w:tcBorders>
              <w:right w:val="single" w:sz="8" w:color="E5E5E5"/>
            </w:tcBorders>
          </w:tcPr>
          <w:p>
            <w:pPr>
              <w:spacing w:after="0"/>
              <w:rPr>
                <w:sz w:val="18"/>
                <w:szCs w:val="18"/>
                <w:color w:val="auto"/>
              </w:rPr>
            </w:pPr>
          </w:p>
        </w:tc>
        <w:tc>
          <w:tcPr>
            <w:tcW w:w="192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6"/>
                <w:szCs w:val="16"/>
                <w:color w:val="auto"/>
              </w:rPr>
              <w:t>8,940</w:t>
            </w:r>
          </w:p>
        </w:tc>
        <w:tc>
          <w:tcPr>
            <w:tcW w:w="0" w:type="dxa"/>
            <w:vAlign w:val="bottom"/>
          </w:tcPr>
          <w:p>
            <w:pPr>
              <w:spacing w:after="0"/>
              <w:rPr>
                <w:sz w:val="1"/>
                <w:szCs w:val="1"/>
                <w:color w:val="auto"/>
              </w:rPr>
            </w:pPr>
          </w:p>
        </w:tc>
      </w:tr>
      <w:tr>
        <w:trPr>
          <w:trHeight w:val="209"/>
        </w:trPr>
        <w:tc>
          <w:tcPr>
            <w:tcW w:w="3000" w:type="dxa"/>
            <w:vAlign w:val="bottom"/>
            <w:tcBorders>
              <w:bottom w:val="single" w:sz="8" w:color="B6B6B6"/>
            </w:tcBorders>
          </w:tcPr>
          <w:p>
            <w:pPr>
              <w:ind w:left="20"/>
              <w:spacing w:after="0"/>
              <w:rPr>
                <w:sz w:val="20"/>
                <w:szCs w:val="20"/>
                <w:color w:val="auto"/>
              </w:rPr>
            </w:pPr>
            <w:r>
              <w:rPr>
                <w:rFonts w:ascii="Arial" w:cs="Arial" w:eastAsia="Arial" w:hAnsi="Arial"/>
                <w:sz w:val="16"/>
                <w:szCs w:val="16"/>
                <w:b w:val="1"/>
                <w:bCs w:val="1"/>
                <w:color w:val="004A98"/>
              </w:rPr>
              <w:t>Danny R. McPherson</w:t>
            </w:r>
          </w:p>
        </w:tc>
        <w:tc>
          <w:tcPr>
            <w:tcW w:w="100" w:type="dxa"/>
            <w:vAlign w:val="bottom"/>
          </w:tcPr>
          <w:p>
            <w:pPr>
              <w:spacing w:after="0"/>
              <w:rPr>
                <w:sz w:val="18"/>
                <w:szCs w:val="18"/>
                <w:color w:val="auto"/>
              </w:rPr>
            </w:pPr>
          </w:p>
        </w:tc>
        <w:tc>
          <w:tcPr>
            <w:tcW w:w="204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$3,501,619</w:t>
            </w:r>
          </w:p>
        </w:tc>
        <w:tc>
          <w:tcPr>
            <w:tcW w:w="120" w:type="dxa"/>
            <w:vAlign w:val="bottom"/>
          </w:tcPr>
          <w:p>
            <w:pPr>
              <w:spacing w:after="0"/>
              <w:rPr>
                <w:sz w:val="18"/>
                <w:szCs w:val="18"/>
                <w:color w:val="auto"/>
              </w:rPr>
            </w:pPr>
          </w:p>
        </w:tc>
        <w:tc>
          <w:tcPr>
            <w:tcW w:w="1900" w:type="dxa"/>
            <w:vAlign w:val="bottom"/>
            <w:tcBorders>
              <w:bottom w:val="single" w:sz="8" w:color="B6B6B6"/>
            </w:tcBorders>
          </w:tcPr>
          <w:p>
            <w:pPr>
              <w:jc w:val="center"/>
              <w:ind w:left="1207"/>
              <w:spacing w:after="0"/>
              <w:rPr>
                <w:sz w:val="20"/>
                <w:szCs w:val="20"/>
                <w:color w:val="auto"/>
              </w:rPr>
            </w:pPr>
            <w:r>
              <w:rPr>
                <w:rFonts w:ascii="Arial" w:cs="Arial" w:eastAsia="Arial" w:hAnsi="Arial"/>
                <w:sz w:val="16"/>
                <w:szCs w:val="16"/>
                <w:color w:val="auto"/>
              </w:rPr>
              <w:t>$195.84</w:t>
            </w:r>
          </w:p>
        </w:tc>
        <w:tc>
          <w:tcPr>
            <w:tcW w:w="120" w:type="dxa"/>
            <w:vAlign w:val="bottom"/>
          </w:tcPr>
          <w:p>
            <w:pPr>
              <w:spacing w:after="0"/>
              <w:rPr>
                <w:sz w:val="18"/>
                <w:szCs w:val="18"/>
                <w:color w:val="auto"/>
              </w:rPr>
            </w:pPr>
          </w:p>
        </w:tc>
        <w:tc>
          <w:tcPr>
            <w:tcW w:w="660" w:type="dxa"/>
            <w:vAlign w:val="bottom"/>
            <w:tcBorders>
              <w:bottom w:val="single" w:sz="8" w:color="B6B6B6"/>
            </w:tcBorders>
          </w:tcPr>
          <w:p>
            <w:pPr>
              <w:spacing w:after="0"/>
              <w:rPr>
                <w:sz w:val="18"/>
                <w:szCs w:val="18"/>
                <w:color w:val="auto"/>
              </w:rPr>
            </w:pPr>
          </w:p>
        </w:tc>
        <w:tc>
          <w:tcPr>
            <w:tcW w:w="126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8,940</w:t>
            </w:r>
          </w:p>
        </w:tc>
        <w:tc>
          <w:tcPr>
            <w:tcW w:w="120" w:type="dxa"/>
            <w:vAlign w:val="bottom"/>
          </w:tcPr>
          <w:p>
            <w:pPr>
              <w:spacing w:after="0"/>
              <w:rPr>
                <w:sz w:val="18"/>
                <w:szCs w:val="18"/>
                <w:color w:val="auto"/>
              </w:rPr>
            </w:pPr>
          </w:p>
        </w:tc>
        <w:tc>
          <w:tcPr>
            <w:tcW w:w="192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8,940</w:t>
            </w:r>
          </w:p>
        </w:tc>
        <w:tc>
          <w:tcPr>
            <w:tcW w:w="0" w:type="dxa"/>
            <w:vAlign w:val="bottom"/>
          </w:tcPr>
          <w:p>
            <w:pPr>
              <w:spacing w:after="0"/>
              <w:rPr>
                <w:sz w:val="1"/>
                <w:szCs w:val="1"/>
                <w:color w:val="auto"/>
              </w:rPr>
            </w:pPr>
          </w:p>
        </w:tc>
      </w:tr>
      <w:tr>
        <w:trPr>
          <w:trHeight w:val="209"/>
        </w:trPr>
        <w:tc>
          <w:tcPr>
            <w:tcW w:w="3000" w:type="dxa"/>
            <w:vAlign w:val="bottom"/>
            <w:tcBorders>
              <w:bottom w:val="single" w:sz="8" w:color="B6B6B6"/>
            </w:tcBorders>
            <w:shd w:val="clear" w:color="auto" w:fill="E6E7E8"/>
          </w:tcPr>
          <w:p>
            <w:pPr>
              <w:ind w:left="20"/>
              <w:spacing w:after="0"/>
              <w:rPr>
                <w:sz w:val="20"/>
                <w:szCs w:val="20"/>
                <w:color w:val="auto"/>
              </w:rPr>
            </w:pPr>
            <w:r>
              <w:rPr>
                <w:rFonts w:ascii="Arial" w:cs="Arial" w:eastAsia="Arial" w:hAnsi="Arial"/>
                <w:sz w:val="16"/>
                <w:szCs w:val="16"/>
                <w:b w:val="1"/>
                <w:bCs w:val="1"/>
                <w:color w:val="004A98"/>
              </w:rPr>
              <w:t>Thomas C. Indelicarto</w:t>
            </w:r>
          </w:p>
        </w:tc>
        <w:tc>
          <w:tcPr>
            <w:tcW w:w="100" w:type="dxa"/>
            <w:vAlign w:val="bottom"/>
            <w:tcBorders>
              <w:right w:val="single" w:sz="8" w:color="E6E7E8"/>
            </w:tcBorders>
          </w:tcPr>
          <w:p>
            <w:pPr>
              <w:spacing w:after="0"/>
              <w:rPr>
                <w:sz w:val="18"/>
                <w:szCs w:val="18"/>
                <w:color w:val="auto"/>
              </w:rPr>
            </w:pPr>
          </w:p>
        </w:tc>
        <w:tc>
          <w:tcPr>
            <w:tcW w:w="2040" w:type="dxa"/>
            <w:vAlign w:val="bottom"/>
            <w:tcBorders>
              <w:bottom w:val="single" w:sz="8" w:color="B6B6B6"/>
            </w:tcBorders>
            <w:shd w:val="clear" w:color="auto" w:fill="E6E7E8"/>
          </w:tcPr>
          <w:p>
            <w:pPr>
              <w:jc w:val="right"/>
              <w:spacing w:after="0"/>
              <w:rPr>
                <w:sz w:val="20"/>
                <w:szCs w:val="20"/>
                <w:color w:val="auto"/>
              </w:rPr>
            </w:pPr>
            <w:r>
              <w:rPr>
                <w:rFonts w:ascii="Arial" w:cs="Arial" w:eastAsia="Arial" w:hAnsi="Arial"/>
                <w:sz w:val="16"/>
                <w:szCs w:val="16"/>
                <w:color w:val="auto"/>
              </w:rPr>
              <w:t>$3,501,619</w:t>
            </w:r>
          </w:p>
        </w:tc>
        <w:tc>
          <w:tcPr>
            <w:tcW w:w="120" w:type="dxa"/>
            <w:vAlign w:val="bottom"/>
            <w:tcBorders>
              <w:right w:val="single" w:sz="8" w:color="E6E7E8"/>
            </w:tcBorders>
          </w:tcPr>
          <w:p>
            <w:pPr>
              <w:spacing w:after="0"/>
              <w:rPr>
                <w:sz w:val="18"/>
                <w:szCs w:val="18"/>
                <w:color w:val="auto"/>
              </w:rPr>
            </w:pPr>
          </w:p>
        </w:tc>
        <w:tc>
          <w:tcPr>
            <w:tcW w:w="1900" w:type="dxa"/>
            <w:vAlign w:val="bottom"/>
            <w:tcBorders>
              <w:bottom w:val="single" w:sz="8" w:color="B6B6B6"/>
            </w:tcBorders>
            <w:shd w:val="clear" w:color="auto" w:fill="E6E7E8"/>
          </w:tcPr>
          <w:p>
            <w:pPr>
              <w:jc w:val="center"/>
              <w:ind w:left="1207"/>
              <w:spacing w:after="0"/>
              <w:rPr>
                <w:sz w:val="20"/>
                <w:szCs w:val="20"/>
                <w:color w:val="auto"/>
              </w:rPr>
            </w:pPr>
            <w:r>
              <w:rPr>
                <w:rFonts w:ascii="Arial" w:cs="Arial" w:eastAsia="Arial" w:hAnsi="Arial"/>
                <w:sz w:val="16"/>
                <w:szCs w:val="16"/>
                <w:color w:val="auto"/>
              </w:rPr>
              <w:t>$195.84</w:t>
            </w:r>
          </w:p>
        </w:tc>
        <w:tc>
          <w:tcPr>
            <w:tcW w:w="120" w:type="dxa"/>
            <w:vAlign w:val="bottom"/>
            <w:tcBorders>
              <w:right w:val="single" w:sz="8" w:color="E6E7E8"/>
            </w:tcBorders>
          </w:tcPr>
          <w:p>
            <w:pPr>
              <w:spacing w:after="0"/>
              <w:rPr>
                <w:sz w:val="18"/>
                <w:szCs w:val="18"/>
                <w:color w:val="auto"/>
              </w:rPr>
            </w:pPr>
          </w:p>
        </w:tc>
        <w:tc>
          <w:tcPr>
            <w:tcW w:w="660" w:type="dxa"/>
            <w:vAlign w:val="bottom"/>
            <w:tcBorders>
              <w:bottom w:val="single" w:sz="8" w:color="B6B6B6"/>
            </w:tcBorders>
            <w:shd w:val="clear" w:color="auto" w:fill="E6E7E8"/>
          </w:tcPr>
          <w:p>
            <w:pPr>
              <w:spacing w:after="0"/>
              <w:rPr>
                <w:sz w:val="18"/>
                <w:szCs w:val="18"/>
                <w:color w:val="auto"/>
              </w:rPr>
            </w:pPr>
          </w:p>
        </w:tc>
        <w:tc>
          <w:tcPr>
            <w:tcW w:w="1260" w:type="dxa"/>
            <w:vAlign w:val="bottom"/>
            <w:tcBorders>
              <w:bottom w:val="single" w:sz="8" w:color="B6B6B6"/>
            </w:tcBorders>
            <w:shd w:val="clear" w:color="auto" w:fill="E6E7E8"/>
          </w:tcPr>
          <w:p>
            <w:pPr>
              <w:jc w:val="right"/>
              <w:spacing w:after="0"/>
              <w:rPr>
                <w:sz w:val="20"/>
                <w:szCs w:val="20"/>
                <w:color w:val="auto"/>
              </w:rPr>
            </w:pPr>
            <w:r>
              <w:rPr>
                <w:rFonts w:ascii="Arial" w:cs="Arial" w:eastAsia="Arial" w:hAnsi="Arial"/>
                <w:sz w:val="16"/>
                <w:szCs w:val="16"/>
                <w:color w:val="auto"/>
              </w:rPr>
              <w:t>8,940</w:t>
            </w:r>
          </w:p>
        </w:tc>
        <w:tc>
          <w:tcPr>
            <w:tcW w:w="120" w:type="dxa"/>
            <w:vAlign w:val="bottom"/>
            <w:tcBorders>
              <w:right w:val="single" w:sz="8" w:color="E6E7E8"/>
            </w:tcBorders>
          </w:tcPr>
          <w:p>
            <w:pPr>
              <w:spacing w:after="0"/>
              <w:rPr>
                <w:sz w:val="18"/>
                <w:szCs w:val="18"/>
                <w:color w:val="auto"/>
              </w:rPr>
            </w:pPr>
          </w:p>
        </w:tc>
        <w:tc>
          <w:tcPr>
            <w:tcW w:w="1920" w:type="dxa"/>
            <w:vAlign w:val="bottom"/>
            <w:tcBorders>
              <w:bottom w:val="single" w:sz="8" w:color="B6B6B6"/>
            </w:tcBorders>
            <w:shd w:val="clear" w:color="auto" w:fill="E6E7E8"/>
          </w:tcPr>
          <w:p>
            <w:pPr>
              <w:jc w:val="right"/>
              <w:spacing w:after="0"/>
              <w:rPr>
                <w:sz w:val="20"/>
                <w:szCs w:val="20"/>
                <w:color w:val="auto"/>
              </w:rPr>
            </w:pPr>
            <w:r>
              <w:rPr>
                <w:rFonts w:ascii="Arial" w:cs="Arial" w:eastAsia="Arial" w:hAnsi="Arial"/>
                <w:sz w:val="16"/>
                <w:szCs w:val="16"/>
                <w:color w:val="auto"/>
              </w:rPr>
              <w:t>8,940</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280" w:hanging="272"/>
        <w:spacing w:after="0"/>
        <w:tabs>
          <w:tab w:leader="none" w:pos="280"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The total market value of the equity award is the combined value of RSUs and PSUs based on the grant date fair value per share.</w:t>
      </w:r>
    </w:p>
    <w:p>
      <w:pPr>
        <w:spacing w:after="0" w:line="57" w:lineRule="exact"/>
        <w:rPr>
          <w:rFonts w:ascii="Arial" w:cs="Arial" w:eastAsia="Arial" w:hAnsi="Arial"/>
          <w:sz w:val="19"/>
          <w:szCs w:val="19"/>
          <w:color w:val="auto"/>
          <w:vertAlign w:val="superscript"/>
        </w:rPr>
      </w:pPr>
    </w:p>
    <w:p>
      <w:pPr>
        <w:ind w:left="280" w:hanging="272"/>
        <w:spacing w:after="0" w:line="204" w:lineRule="auto"/>
        <w:tabs>
          <w:tab w:leader="none" w:pos="280" w:val="left"/>
        </w:tabs>
        <w:numPr>
          <w:ilvl w:val="0"/>
          <w:numId w:val="30"/>
        </w:numPr>
        <w:rPr>
          <w:rFonts w:ascii="Arial" w:cs="Arial" w:eastAsia="Arial" w:hAnsi="Arial"/>
          <w:sz w:val="19"/>
          <w:szCs w:val="19"/>
          <w:color w:val="auto"/>
          <w:vertAlign w:val="superscript"/>
        </w:rPr>
      </w:pPr>
      <w:r>
        <w:rPr>
          <w:rFonts w:ascii="Arial" w:cs="Arial" w:eastAsia="Arial" w:hAnsi="Arial"/>
          <w:sz w:val="14"/>
          <w:szCs w:val="14"/>
          <w:color w:val="auto"/>
        </w:rPr>
        <w:t>25% vested on February 15, 2025, and the remainder vests ratably, 6.25% each quarter for three years thereafter.</w:t>
      </w:r>
    </w:p>
    <w:p>
      <w:pPr>
        <w:spacing w:after="0" w:line="57" w:lineRule="exact"/>
        <w:rPr>
          <w:rFonts w:ascii="Arial" w:cs="Arial" w:eastAsia="Arial" w:hAnsi="Arial"/>
          <w:sz w:val="19"/>
          <w:szCs w:val="19"/>
          <w:color w:val="auto"/>
          <w:vertAlign w:val="superscript"/>
        </w:rPr>
      </w:pPr>
    </w:p>
    <w:p>
      <w:pPr>
        <w:jc w:val="both"/>
        <w:ind w:left="260" w:right="140" w:hanging="252"/>
        <w:spacing w:after="0" w:line="280" w:lineRule="auto"/>
        <w:tabs>
          <w:tab w:leader="none" w:pos="264" w:val="left"/>
        </w:tabs>
        <w:numPr>
          <w:ilvl w:val="0"/>
          <w:numId w:val="30"/>
        </w:numPr>
        <w:rPr>
          <w:rFonts w:ascii="Arial" w:cs="Arial" w:eastAsia="Arial" w:hAnsi="Arial"/>
          <w:sz w:val="9"/>
          <w:szCs w:val="9"/>
          <w:color w:val="auto"/>
        </w:rPr>
      </w:pPr>
      <w:r>
        <w:rPr>
          <w:rFonts w:ascii="Arial" w:cs="Arial" w:eastAsia="Arial" w:hAnsi="Arial"/>
          <w:sz w:val="14"/>
          <w:szCs w:val="14"/>
          <w:color w:val="auto"/>
        </w:rPr>
        <w:t>The number of target PSUs granted represents shares that would be earned based on achievement at 100% of target. The performance period is January 1, 2024 through December 31, 2026. Vesting occurs after the performance achievement has been certified by the Compensation Committee and the Company has received an unqualified signed opinion on the Company’s financial statements for the year ending December 31, 2026 from its independent registered public accounting firm.</w:t>
      </w:r>
    </w:p>
    <w:p>
      <w:pPr>
        <w:spacing w:after="0" w:line="26" w:lineRule="exact"/>
        <w:rPr>
          <w:rFonts w:ascii="Arial" w:cs="Arial" w:eastAsia="Arial" w:hAnsi="Arial"/>
          <w:sz w:val="9"/>
          <w:szCs w:val="9"/>
          <w:color w:val="auto"/>
        </w:rPr>
      </w:pPr>
    </w:p>
    <w:p>
      <w:pPr>
        <w:ind w:left="280" w:hanging="272"/>
        <w:spacing w:after="0"/>
        <w:tabs>
          <w:tab w:leader="none" w:pos="280" w:val="left"/>
        </w:tabs>
        <w:numPr>
          <w:ilvl w:val="0"/>
          <w:numId w:val="30"/>
        </w:numPr>
        <w:rPr>
          <w:rFonts w:ascii="Arial" w:cs="Arial" w:eastAsia="Arial" w:hAnsi="Arial"/>
          <w:sz w:val="11"/>
          <w:szCs w:val="11"/>
          <w:color w:val="auto"/>
        </w:rPr>
      </w:pPr>
      <w:r>
        <w:rPr>
          <w:rFonts w:ascii="Arial" w:cs="Arial" w:eastAsia="Arial" w:hAnsi="Arial"/>
          <w:sz w:val="14"/>
          <w:szCs w:val="14"/>
          <w:color w:val="auto"/>
        </w:rPr>
        <w:t>Mr. Strubbe’s equity awards were forfeited upon his retirement in April 2024.</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Vesting of PSUs Granted in 2022</w:t>
      </w:r>
    </w:p>
    <w:p>
      <w:pPr>
        <w:spacing w:after="0" w:line="122" w:lineRule="exact"/>
        <w:rPr>
          <w:sz w:val="20"/>
          <w:szCs w:val="20"/>
          <w:color w:val="auto"/>
        </w:rPr>
      </w:pPr>
    </w:p>
    <w:p>
      <w:pPr>
        <w:jc w:val="both"/>
        <w:ind w:right="20"/>
        <w:spacing w:after="0" w:line="263" w:lineRule="auto"/>
        <w:rPr>
          <w:sz w:val="20"/>
          <w:szCs w:val="20"/>
          <w:color w:val="auto"/>
        </w:rPr>
      </w:pPr>
      <w:r>
        <w:rPr>
          <w:rFonts w:ascii="Arial" w:cs="Arial" w:eastAsia="Arial" w:hAnsi="Arial"/>
          <w:sz w:val="16"/>
          <w:szCs w:val="16"/>
          <w:color w:val="auto"/>
        </w:rPr>
        <w:t>In February 2022, the Compensation Committee granted PSUs with a performance period of January 1, 2022 through December 31, 2024 to our NEOs. The number of PSUs that could be earned ranged from 50% to 200% of the target award based on CAGR of operating income for the performance period, but no more than 100% of target could be earned unless the TSR of Verisign equaled or outperformed the TSR of the S&amp;P 500 Index for the performance period.</w:t>
      </w:r>
    </w:p>
    <w:p>
      <w:pPr>
        <w:spacing w:after="0" w:line="1" w:lineRule="exact"/>
        <w:rPr>
          <w:sz w:val="20"/>
          <w:szCs w:val="20"/>
          <w:color w:val="auto"/>
        </w:rPr>
      </w:pPr>
    </w:p>
    <w:p>
      <w:pPr>
        <w:ind w:right="40"/>
        <w:spacing w:after="0" w:line="258" w:lineRule="auto"/>
        <w:rPr>
          <w:sz w:val="20"/>
          <w:szCs w:val="20"/>
          <w:color w:val="auto"/>
        </w:rPr>
      </w:pPr>
      <w:r>
        <w:rPr>
          <w:rFonts w:ascii="Arial" w:cs="Arial" w:eastAsia="Arial" w:hAnsi="Arial"/>
          <w:sz w:val="16"/>
          <w:szCs w:val="16"/>
          <w:color w:val="auto"/>
        </w:rPr>
        <w:t>The threshold for the CAGR of operating income was 5.0% to earn 50% of the PSUs granted. In order to receive an award of 100% of the PSUs granted, attainment of 9.0% CAGR of operating income was necessary. Attainment of at least 13.0% CAGR of operating income was required to earn 200% of the PSUs granted. In February 2025, the Compensation Committee reviewed the Company’s performance against the performance goals for these PSUs. The CAGR of operating income for the performance period was 6.9% compared to the target of 9.0%. This resulted in a calculated achievement of 74% of target. The chart below shows the number of PSUs that were determined to be earned and vested in February 2025 based on achievement of the performance goals for the performance period.</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586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20" w:type="dxa"/>
            <w:vAlign w:val="bottom"/>
            <w:tcBorders>
              <w:right w:val="single" w:sz="8" w:color="auto"/>
            </w:tcBorders>
          </w:tcPr>
          <w:p>
            <w:pPr>
              <w:spacing w:after="0"/>
              <w:rPr>
                <w:sz w:val="12"/>
                <w:szCs w:val="12"/>
                <w:color w:val="auto"/>
              </w:rPr>
            </w:pPr>
          </w:p>
        </w:tc>
        <w:tc>
          <w:tcPr>
            <w:tcW w:w="1500" w:type="dxa"/>
            <w:vAlign w:val="bottom"/>
          </w:tcPr>
          <w:p>
            <w:pPr>
              <w:jc w:val="right"/>
              <w:ind w:right="5"/>
              <w:spacing w:after="0"/>
              <w:rPr>
                <w:sz w:val="20"/>
                <w:szCs w:val="20"/>
                <w:color w:val="auto"/>
              </w:rPr>
            </w:pPr>
            <w:r>
              <w:rPr>
                <w:rFonts w:ascii="Arial" w:cs="Arial" w:eastAsia="Arial" w:hAnsi="Arial"/>
                <w:sz w:val="13"/>
                <w:szCs w:val="13"/>
                <w:b w:val="1"/>
                <w:bCs w:val="1"/>
                <w:color w:val="auto"/>
              </w:rPr>
              <w:t>TOTAL PSUs</w:t>
            </w:r>
          </w:p>
        </w:tc>
        <w:tc>
          <w:tcPr>
            <w:tcW w:w="100" w:type="dxa"/>
            <w:vAlign w:val="bottom"/>
            <w:tcBorders>
              <w:right w:val="single" w:sz="8" w:color="auto"/>
            </w:tcBorders>
          </w:tcPr>
          <w:p>
            <w:pPr>
              <w:spacing w:after="0"/>
              <w:rPr>
                <w:sz w:val="12"/>
                <w:szCs w:val="12"/>
                <w:color w:val="auto"/>
              </w:rPr>
            </w:pPr>
          </w:p>
        </w:tc>
        <w:tc>
          <w:tcPr>
            <w:tcW w:w="1280" w:type="dxa"/>
            <w:vAlign w:val="bottom"/>
          </w:tcPr>
          <w:p>
            <w:pPr>
              <w:jc w:val="right"/>
              <w:ind w:right="5"/>
              <w:spacing w:after="0"/>
              <w:rPr>
                <w:sz w:val="20"/>
                <w:szCs w:val="20"/>
                <w:color w:val="auto"/>
              </w:rPr>
            </w:pPr>
            <w:r>
              <w:rPr>
                <w:rFonts w:ascii="Arial" w:cs="Arial" w:eastAsia="Arial" w:hAnsi="Arial"/>
                <w:sz w:val="13"/>
                <w:szCs w:val="13"/>
                <w:b w:val="1"/>
                <w:bCs w:val="1"/>
                <w:color w:val="auto"/>
              </w:rPr>
              <w:t>GOAL</w:t>
            </w:r>
          </w:p>
        </w:tc>
        <w:tc>
          <w:tcPr>
            <w:tcW w:w="100" w:type="dxa"/>
            <w:vAlign w:val="bottom"/>
            <w:tcBorders>
              <w:right w:val="single" w:sz="8" w:color="auto"/>
            </w:tcBorders>
          </w:tcPr>
          <w:p>
            <w:pPr>
              <w:spacing w:after="0"/>
              <w:rPr>
                <w:sz w:val="12"/>
                <w:szCs w:val="12"/>
                <w:color w:val="auto"/>
              </w:rPr>
            </w:pPr>
          </w:p>
        </w:tc>
        <w:tc>
          <w:tcPr>
            <w:tcW w:w="2280" w:type="dxa"/>
            <w:vAlign w:val="bottom"/>
          </w:tcPr>
          <w:p>
            <w:pPr>
              <w:jc w:val="right"/>
              <w:ind w:right="5"/>
              <w:spacing w:after="0"/>
              <w:rPr>
                <w:sz w:val="20"/>
                <w:szCs w:val="20"/>
                <w:color w:val="auto"/>
              </w:rPr>
            </w:pPr>
            <w:r>
              <w:rPr>
                <w:rFonts w:ascii="Arial" w:cs="Arial" w:eastAsia="Arial" w:hAnsi="Arial"/>
                <w:sz w:val="13"/>
                <w:szCs w:val="13"/>
                <w:b w:val="1"/>
                <w:bCs w:val="1"/>
                <w:color w:val="auto"/>
              </w:rPr>
              <w:t>ACTUAL PSUs EARNED AND</w:t>
            </w:r>
          </w:p>
        </w:tc>
        <w:tc>
          <w:tcPr>
            <w:tcW w:w="0" w:type="dxa"/>
            <w:vAlign w:val="bottom"/>
          </w:tcPr>
          <w:p>
            <w:pPr>
              <w:spacing w:after="0"/>
              <w:rPr>
                <w:sz w:val="1"/>
                <w:szCs w:val="1"/>
                <w:color w:val="auto"/>
              </w:rPr>
            </w:pPr>
          </w:p>
        </w:tc>
      </w:tr>
      <w:tr>
        <w:trPr>
          <w:trHeight w:val="185"/>
        </w:trPr>
        <w:tc>
          <w:tcPr>
            <w:tcW w:w="5860" w:type="dxa"/>
            <w:vAlign w:val="bottom"/>
            <w:tcBorders>
              <w:bottom w:val="single" w:sz="8" w:color="auto"/>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500" w:type="dxa"/>
            <w:vAlign w:val="bottom"/>
            <w:tcBorders>
              <w:bottom w:val="single" w:sz="8" w:color="auto"/>
            </w:tcBorders>
          </w:tcPr>
          <w:p>
            <w:pPr>
              <w:jc w:val="right"/>
              <w:ind w:right="5"/>
              <w:spacing w:after="0"/>
              <w:rPr>
                <w:sz w:val="20"/>
                <w:szCs w:val="20"/>
                <w:color w:val="auto"/>
              </w:rPr>
            </w:pPr>
            <w:r>
              <w:rPr>
                <w:rFonts w:ascii="Arial" w:cs="Arial" w:eastAsia="Arial" w:hAnsi="Arial"/>
                <w:sz w:val="13"/>
                <w:szCs w:val="13"/>
                <w:b w:val="1"/>
                <w:bCs w:val="1"/>
                <w:color w:val="auto"/>
              </w:rPr>
              <w:t>GRANTED IN 2022</w:t>
            </w:r>
          </w:p>
        </w:tc>
        <w:tc>
          <w:tcPr>
            <w:tcW w:w="100" w:type="dxa"/>
            <w:vAlign w:val="bottom"/>
            <w:tcBorders>
              <w:right w:val="single" w:sz="8" w:color="auto"/>
            </w:tcBorders>
          </w:tcPr>
          <w:p>
            <w:pPr>
              <w:spacing w:after="0"/>
              <w:rPr>
                <w:sz w:val="16"/>
                <w:szCs w:val="16"/>
                <w:color w:val="auto"/>
              </w:rPr>
            </w:pPr>
          </w:p>
        </w:tc>
        <w:tc>
          <w:tcPr>
            <w:tcW w:w="1280" w:type="dxa"/>
            <w:vAlign w:val="bottom"/>
            <w:tcBorders>
              <w:bottom w:val="single" w:sz="8" w:color="auto"/>
            </w:tcBorders>
          </w:tcPr>
          <w:p>
            <w:pPr>
              <w:jc w:val="right"/>
              <w:ind w:right="5"/>
              <w:spacing w:after="0"/>
              <w:rPr>
                <w:sz w:val="20"/>
                <w:szCs w:val="20"/>
                <w:color w:val="auto"/>
              </w:rPr>
            </w:pPr>
            <w:r>
              <w:rPr>
                <w:rFonts w:ascii="Arial" w:cs="Arial" w:eastAsia="Arial" w:hAnsi="Arial"/>
                <w:sz w:val="13"/>
                <w:szCs w:val="13"/>
                <w:b w:val="1"/>
                <w:bCs w:val="1"/>
                <w:color w:val="auto"/>
              </w:rPr>
              <w:t>ACHIEVEMENT</w:t>
            </w:r>
          </w:p>
        </w:tc>
        <w:tc>
          <w:tcPr>
            <w:tcW w:w="100" w:type="dxa"/>
            <w:vAlign w:val="bottom"/>
            <w:tcBorders>
              <w:right w:val="single" w:sz="8" w:color="auto"/>
            </w:tcBorders>
          </w:tcPr>
          <w:p>
            <w:pPr>
              <w:spacing w:after="0"/>
              <w:rPr>
                <w:sz w:val="16"/>
                <w:szCs w:val="16"/>
                <w:color w:val="auto"/>
              </w:rPr>
            </w:pPr>
          </w:p>
        </w:tc>
        <w:tc>
          <w:tcPr>
            <w:tcW w:w="2280" w:type="dxa"/>
            <w:vAlign w:val="bottom"/>
            <w:tcBorders>
              <w:bottom w:val="single" w:sz="8" w:color="auto"/>
            </w:tcBorders>
          </w:tcPr>
          <w:p>
            <w:pPr>
              <w:jc w:val="right"/>
              <w:ind w:right="5"/>
              <w:spacing w:after="0"/>
              <w:rPr>
                <w:sz w:val="20"/>
                <w:szCs w:val="20"/>
                <w:color w:val="auto"/>
              </w:rPr>
            </w:pPr>
            <w:r>
              <w:rPr>
                <w:rFonts w:ascii="Arial" w:cs="Arial" w:eastAsia="Arial" w:hAnsi="Arial"/>
                <w:sz w:val="13"/>
                <w:szCs w:val="13"/>
                <w:b w:val="1"/>
                <w:bCs w:val="1"/>
                <w:color w:val="auto"/>
              </w:rPr>
              <w:t>VESTED IN FEBRUARY 2025</w:t>
            </w:r>
          </w:p>
        </w:tc>
        <w:tc>
          <w:tcPr>
            <w:tcW w:w="0" w:type="dxa"/>
            <w:vAlign w:val="bottom"/>
          </w:tcPr>
          <w:p>
            <w:pPr>
              <w:spacing w:after="0"/>
              <w:rPr>
                <w:sz w:val="1"/>
                <w:szCs w:val="1"/>
                <w:color w:val="auto"/>
              </w:rPr>
            </w:pPr>
          </w:p>
        </w:tc>
      </w:tr>
      <w:tr>
        <w:trPr>
          <w:trHeight w:val="213"/>
        </w:trPr>
        <w:tc>
          <w:tcPr>
            <w:tcW w:w="5860" w:type="dxa"/>
            <w:vAlign w:val="bottom"/>
            <w:tcBorders>
              <w:bottom w:val="single" w:sz="8" w:color="B6B6B6"/>
            </w:tcBorders>
            <w:shd w:val="clear" w:color="auto" w:fill="E6E7E8"/>
          </w:tcPr>
          <w:p>
            <w:pPr>
              <w:ind w:left="20"/>
              <w:spacing w:after="0"/>
              <w:rPr>
                <w:sz w:val="20"/>
                <w:szCs w:val="20"/>
                <w:color w:val="auto"/>
              </w:rPr>
            </w:pPr>
            <w:r>
              <w:rPr>
                <w:rFonts w:ascii="Arial" w:cs="Arial" w:eastAsia="Arial" w:hAnsi="Arial"/>
                <w:sz w:val="16"/>
                <w:szCs w:val="16"/>
                <w:b w:val="1"/>
                <w:bCs w:val="1"/>
                <w:color w:val="004A98"/>
              </w:rPr>
              <w:t>D. James Bidzos</w:t>
            </w:r>
          </w:p>
        </w:tc>
        <w:tc>
          <w:tcPr>
            <w:tcW w:w="120" w:type="dxa"/>
            <w:vAlign w:val="bottom"/>
            <w:tcBorders>
              <w:right w:val="single" w:sz="8" w:color="E6E7E8"/>
            </w:tcBorders>
          </w:tcPr>
          <w:p>
            <w:pPr>
              <w:spacing w:after="0"/>
              <w:rPr>
                <w:sz w:val="18"/>
                <w:szCs w:val="18"/>
                <w:color w:val="auto"/>
              </w:rPr>
            </w:pPr>
          </w:p>
        </w:tc>
        <w:tc>
          <w:tcPr>
            <w:tcW w:w="1500" w:type="dxa"/>
            <w:vAlign w:val="bottom"/>
            <w:tcBorders>
              <w:bottom w:val="single" w:sz="8" w:color="B6B6B6"/>
            </w:tcBorders>
            <w:shd w:val="clear" w:color="auto" w:fill="E6E7E8"/>
          </w:tcPr>
          <w:p>
            <w:pPr>
              <w:jc w:val="right"/>
              <w:spacing w:after="0"/>
              <w:rPr>
                <w:sz w:val="20"/>
                <w:szCs w:val="20"/>
                <w:color w:val="auto"/>
              </w:rPr>
            </w:pPr>
            <w:r>
              <w:rPr>
                <w:rFonts w:ascii="Arial" w:cs="Arial" w:eastAsia="Arial" w:hAnsi="Arial"/>
                <w:sz w:val="16"/>
                <w:szCs w:val="16"/>
                <w:color w:val="auto"/>
              </w:rPr>
              <w:t>25,285</w:t>
            </w:r>
          </w:p>
        </w:tc>
        <w:tc>
          <w:tcPr>
            <w:tcW w:w="100" w:type="dxa"/>
            <w:vAlign w:val="bottom"/>
            <w:tcBorders>
              <w:right w:val="single" w:sz="8" w:color="E6E7E8"/>
            </w:tcBorders>
          </w:tcPr>
          <w:p>
            <w:pPr>
              <w:spacing w:after="0"/>
              <w:rPr>
                <w:sz w:val="18"/>
                <w:szCs w:val="18"/>
                <w:color w:val="auto"/>
              </w:rPr>
            </w:pPr>
          </w:p>
        </w:tc>
        <w:tc>
          <w:tcPr>
            <w:tcW w:w="1280" w:type="dxa"/>
            <w:vAlign w:val="bottom"/>
            <w:tcBorders>
              <w:bottom w:val="single" w:sz="8" w:color="B6B6B6"/>
            </w:tcBorders>
            <w:shd w:val="clear" w:color="auto" w:fill="E6E7E8"/>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right w:val="single" w:sz="8" w:color="E6E7E8"/>
            </w:tcBorders>
          </w:tcPr>
          <w:p>
            <w:pPr>
              <w:spacing w:after="0"/>
              <w:rPr>
                <w:sz w:val="18"/>
                <w:szCs w:val="18"/>
                <w:color w:val="auto"/>
              </w:rPr>
            </w:pPr>
          </w:p>
        </w:tc>
        <w:tc>
          <w:tcPr>
            <w:tcW w:w="2280" w:type="dxa"/>
            <w:vAlign w:val="bottom"/>
            <w:tcBorders>
              <w:bottom w:val="single" w:sz="8" w:color="B6B6B6"/>
            </w:tcBorders>
            <w:shd w:val="clear" w:color="auto" w:fill="E6E7E8"/>
          </w:tcPr>
          <w:p>
            <w:pPr>
              <w:jc w:val="right"/>
              <w:spacing w:after="0"/>
              <w:rPr>
                <w:sz w:val="20"/>
                <w:szCs w:val="20"/>
                <w:color w:val="auto"/>
              </w:rPr>
            </w:pPr>
            <w:r>
              <w:rPr>
                <w:rFonts w:ascii="Arial" w:cs="Arial" w:eastAsia="Arial" w:hAnsi="Arial"/>
                <w:sz w:val="16"/>
                <w:szCs w:val="16"/>
                <w:color w:val="auto"/>
              </w:rPr>
              <w:t>18,710</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B6B6B6"/>
            </w:tcBorders>
          </w:tcPr>
          <w:p>
            <w:pPr>
              <w:ind w:left="20"/>
              <w:spacing w:after="0"/>
              <w:rPr>
                <w:sz w:val="20"/>
                <w:szCs w:val="20"/>
                <w:color w:val="auto"/>
              </w:rPr>
            </w:pPr>
            <w:r>
              <w:rPr>
                <w:rFonts w:ascii="Arial" w:cs="Arial" w:eastAsia="Arial" w:hAnsi="Arial"/>
                <w:sz w:val="16"/>
                <w:szCs w:val="16"/>
                <w:b w:val="1"/>
                <w:bCs w:val="1"/>
                <w:color w:val="004A98"/>
              </w:rPr>
              <w:t>George E. Kilguss, III</w:t>
            </w:r>
          </w:p>
        </w:tc>
        <w:tc>
          <w:tcPr>
            <w:tcW w:w="120" w:type="dxa"/>
            <w:vAlign w:val="bottom"/>
          </w:tcPr>
          <w:p>
            <w:pPr>
              <w:spacing w:after="0"/>
              <w:rPr>
                <w:sz w:val="18"/>
                <w:szCs w:val="18"/>
                <w:color w:val="auto"/>
              </w:rPr>
            </w:pPr>
          </w:p>
        </w:tc>
        <w:tc>
          <w:tcPr>
            <w:tcW w:w="150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6,555</w:t>
            </w:r>
          </w:p>
        </w:tc>
        <w:tc>
          <w:tcPr>
            <w:tcW w:w="100" w:type="dxa"/>
            <w:vAlign w:val="bottom"/>
          </w:tcPr>
          <w:p>
            <w:pPr>
              <w:spacing w:after="0"/>
              <w:rPr>
                <w:sz w:val="18"/>
                <w:szCs w:val="18"/>
                <w:color w:val="auto"/>
              </w:rPr>
            </w:pPr>
          </w:p>
        </w:tc>
        <w:tc>
          <w:tcPr>
            <w:tcW w:w="128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28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4,850</w:t>
            </w:r>
          </w:p>
        </w:tc>
        <w:tc>
          <w:tcPr>
            <w:tcW w:w="0" w:type="dxa"/>
            <w:vAlign w:val="bottom"/>
          </w:tcPr>
          <w:p>
            <w:pPr>
              <w:spacing w:after="0"/>
              <w:rPr>
                <w:sz w:val="1"/>
                <w:szCs w:val="1"/>
                <w:color w:val="auto"/>
              </w:rPr>
            </w:pPr>
          </w:p>
        </w:tc>
      </w:tr>
      <w:tr>
        <w:trPr>
          <w:trHeight w:val="210"/>
        </w:trPr>
        <w:tc>
          <w:tcPr>
            <w:tcW w:w="5860" w:type="dxa"/>
            <w:vAlign w:val="bottom"/>
            <w:tcBorders>
              <w:bottom w:val="single" w:sz="8" w:color="B6B6B6"/>
            </w:tcBorders>
            <w:shd w:val="clear" w:color="auto" w:fill="E6E7E8"/>
          </w:tcPr>
          <w:p>
            <w:pPr>
              <w:ind w:left="20"/>
              <w:spacing w:after="0" w:line="210" w:lineRule="exact"/>
              <w:rPr>
                <w:sz w:val="20"/>
                <w:szCs w:val="20"/>
                <w:color w:val="auto"/>
              </w:rPr>
            </w:pPr>
            <w:r>
              <w:rPr>
                <w:rFonts w:ascii="Arial" w:cs="Arial" w:eastAsia="Arial" w:hAnsi="Arial"/>
                <w:sz w:val="16"/>
                <w:szCs w:val="16"/>
                <w:b w:val="1"/>
                <w:bCs w:val="1"/>
                <w:color w:val="004A98"/>
              </w:rPr>
              <w:t>Danny R. McPherson</w:t>
            </w:r>
            <w:r>
              <w:rPr>
                <w:rFonts w:ascii="Arial" w:cs="Arial" w:eastAsia="Arial" w:hAnsi="Arial"/>
                <w:sz w:val="21"/>
                <w:szCs w:val="21"/>
                <w:b w:val="1"/>
                <w:bCs w:val="1"/>
                <w:color w:val="004A98"/>
                <w:vertAlign w:val="superscript"/>
              </w:rPr>
              <w:t>(1)</w:t>
            </w:r>
          </w:p>
        </w:tc>
        <w:tc>
          <w:tcPr>
            <w:tcW w:w="120" w:type="dxa"/>
            <w:vAlign w:val="bottom"/>
            <w:tcBorders>
              <w:right w:val="single" w:sz="8" w:color="E6E7E8"/>
            </w:tcBorders>
          </w:tcPr>
          <w:p>
            <w:pPr>
              <w:spacing w:after="0"/>
              <w:rPr>
                <w:sz w:val="18"/>
                <w:szCs w:val="18"/>
                <w:color w:val="auto"/>
              </w:rPr>
            </w:pPr>
          </w:p>
        </w:tc>
        <w:tc>
          <w:tcPr>
            <w:tcW w:w="1500" w:type="dxa"/>
            <w:vAlign w:val="bottom"/>
            <w:tcBorders>
              <w:bottom w:val="single" w:sz="8" w:color="B6B6B6"/>
            </w:tcBorders>
            <w:shd w:val="clear" w:color="auto" w:fill="E6E7E8"/>
          </w:tcPr>
          <w:p>
            <w:pPr>
              <w:jc w:val="right"/>
              <w:spacing w:after="0"/>
              <w:rPr>
                <w:sz w:val="20"/>
                <w:szCs w:val="20"/>
                <w:color w:val="auto"/>
              </w:rPr>
            </w:pPr>
            <w:r>
              <w:rPr>
                <w:rFonts w:ascii="Arial" w:cs="Arial" w:eastAsia="Arial" w:hAnsi="Arial"/>
                <w:sz w:val="16"/>
                <w:szCs w:val="16"/>
                <w:color w:val="auto"/>
              </w:rPr>
              <w:t>6,566</w:t>
            </w:r>
          </w:p>
        </w:tc>
        <w:tc>
          <w:tcPr>
            <w:tcW w:w="100" w:type="dxa"/>
            <w:vAlign w:val="bottom"/>
            <w:tcBorders>
              <w:right w:val="single" w:sz="8" w:color="E6E7E8"/>
            </w:tcBorders>
          </w:tcPr>
          <w:p>
            <w:pPr>
              <w:spacing w:after="0"/>
              <w:rPr>
                <w:sz w:val="18"/>
                <w:szCs w:val="18"/>
                <w:color w:val="auto"/>
              </w:rPr>
            </w:pPr>
          </w:p>
        </w:tc>
        <w:tc>
          <w:tcPr>
            <w:tcW w:w="1280" w:type="dxa"/>
            <w:vAlign w:val="bottom"/>
            <w:tcBorders>
              <w:bottom w:val="single" w:sz="8" w:color="B6B6B6"/>
            </w:tcBorders>
            <w:shd w:val="clear" w:color="auto" w:fill="E6E7E8"/>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right w:val="single" w:sz="8" w:color="E6E7E8"/>
            </w:tcBorders>
          </w:tcPr>
          <w:p>
            <w:pPr>
              <w:spacing w:after="0"/>
              <w:rPr>
                <w:sz w:val="18"/>
                <w:szCs w:val="18"/>
                <w:color w:val="auto"/>
              </w:rPr>
            </w:pPr>
          </w:p>
        </w:tc>
        <w:tc>
          <w:tcPr>
            <w:tcW w:w="2280" w:type="dxa"/>
            <w:vAlign w:val="bottom"/>
            <w:tcBorders>
              <w:bottom w:val="single" w:sz="8" w:color="B6B6B6"/>
            </w:tcBorders>
            <w:shd w:val="clear" w:color="auto" w:fill="E6E7E8"/>
          </w:tcPr>
          <w:p>
            <w:pPr>
              <w:jc w:val="right"/>
              <w:spacing w:after="0"/>
              <w:rPr>
                <w:sz w:val="20"/>
                <w:szCs w:val="20"/>
                <w:color w:val="auto"/>
              </w:rPr>
            </w:pPr>
            <w:r>
              <w:rPr>
                <w:rFonts w:ascii="Arial" w:cs="Arial" w:eastAsia="Arial" w:hAnsi="Arial"/>
                <w:sz w:val="16"/>
                <w:szCs w:val="16"/>
                <w:color w:val="auto"/>
              </w:rPr>
              <w:t>4,858</w:t>
            </w:r>
          </w:p>
        </w:tc>
        <w:tc>
          <w:tcPr>
            <w:tcW w:w="0" w:type="dxa"/>
            <w:vAlign w:val="bottom"/>
          </w:tcPr>
          <w:p>
            <w:pPr>
              <w:spacing w:after="0"/>
              <w:rPr>
                <w:sz w:val="1"/>
                <w:szCs w:val="1"/>
                <w:color w:val="auto"/>
              </w:rPr>
            </w:pPr>
          </w:p>
        </w:tc>
      </w:tr>
      <w:tr>
        <w:trPr>
          <w:trHeight w:val="209"/>
        </w:trPr>
        <w:tc>
          <w:tcPr>
            <w:tcW w:w="5860" w:type="dxa"/>
            <w:vAlign w:val="bottom"/>
            <w:tcBorders>
              <w:bottom w:val="single" w:sz="8" w:color="B6B6B6"/>
            </w:tcBorders>
          </w:tcPr>
          <w:p>
            <w:pPr>
              <w:ind w:left="20"/>
              <w:spacing w:after="0"/>
              <w:rPr>
                <w:sz w:val="20"/>
                <w:szCs w:val="20"/>
                <w:color w:val="auto"/>
              </w:rPr>
            </w:pPr>
            <w:r>
              <w:rPr>
                <w:rFonts w:ascii="Arial" w:cs="Arial" w:eastAsia="Arial" w:hAnsi="Arial"/>
                <w:sz w:val="16"/>
                <w:szCs w:val="16"/>
                <w:b w:val="1"/>
                <w:bCs w:val="1"/>
                <w:color w:val="004A98"/>
              </w:rPr>
              <w:t>Thomas C. Indelicarto</w:t>
            </w:r>
          </w:p>
        </w:tc>
        <w:tc>
          <w:tcPr>
            <w:tcW w:w="120" w:type="dxa"/>
            <w:vAlign w:val="bottom"/>
          </w:tcPr>
          <w:p>
            <w:pPr>
              <w:spacing w:after="0"/>
              <w:rPr>
                <w:sz w:val="18"/>
                <w:szCs w:val="18"/>
                <w:color w:val="auto"/>
              </w:rPr>
            </w:pPr>
          </w:p>
        </w:tc>
        <w:tc>
          <w:tcPr>
            <w:tcW w:w="150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5,619</w:t>
            </w:r>
          </w:p>
        </w:tc>
        <w:tc>
          <w:tcPr>
            <w:tcW w:w="100" w:type="dxa"/>
            <w:vAlign w:val="bottom"/>
          </w:tcPr>
          <w:p>
            <w:pPr>
              <w:spacing w:after="0"/>
              <w:rPr>
                <w:sz w:val="18"/>
                <w:szCs w:val="18"/>
                <w:color w:val="auto"/>
              </w:rPr>
            </w:pPr>
          </w:p>
        </w:tc>
        <w:tc>
          <w:tcPr>
            <w:tcW w:w="128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74%</w:t>
            </w:r>
          </w:p>
        </w:tc>
        <w:tc>
          <w:tcPr>
            <w:tcW w:w="100" w:type="dxa"/>
            <w:vAlign w:val="bottom"/>
          </w:tcPr>
          <w:p>
            <w:pPr>
              <w:spacing w:after="0"/>
              <w:rPr>
                <w:sz w:val="18"/>
                <w:szCs w:val="18"/>
                <w:color w:val="auto"/>
              </w:rPr>
            </w:pPr>
          </w:p>
        </w:tc>
        <w:tc>
          <w:tcPr>
            <w:tcW w:w="2280" w:type="dxa"/>
            <w:vAlign w:val="bottom"/>
            <w:tcBorders>
              <w:bottom w:val="single" w:sz="8" w:color="B6B6B6"/>
            </w:tcBorders>
          </w:tcPr>
          <w:p>
            <w:pPr>
              <w:jc w:val="right"/>
              <w:spacing w:after="0"/>
              <w:rPr>
                <w:sz w:val="20"/>
                <w:szCs w:val="20"/>
                <w:color w:val="auto"/>
              </w:rPr>
            </w:pPr>
            <w:r>
              <w:rPr>
                <w:rFonts w:ascii="Arial" w:cs="Arial" w:eastAsia="Arial" w:hAnsi="Arial"/>
                <w:sz w:val="16"/>
                <w:szCs w:val="16"/>
                <w:color w:val="auto"/>
              </w:rPr>
              <w:t>4,158</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40" w:hanging="252"/>
        <w:spacing w:after="0"/>
        <w:tabs>
          <w:tab w:leader="none" w:pos="264" w:val="left"/>
        </w:tabs>
        <w:numPr>
          <w:ilvl w:val="0"/>
          <w:numId w:val="31"/>
        </w:numPr>
        <w:rPr>
          <w:rFonts w:ascii="Arial" w:cs="Arial" w:eastAsia="Arial" w:hAnsi="Arial"/>
          <w:sz w:val="19"/>
          <w:szCs w:val="19"/>
          <w:color w:val="auto"/>
          <w:vertAlign w:val="superscript"/>
        </w:rPr>
      </w:pPr>
      <w:r>
        <w:rPr>
          <w:rFonts w:ascii="Arial" w:cs="Arial" w:eastAsia="Arial" w:hAnsi="Arial"/>
          <w:sz w:val="14"/>
          <w:szCs w:val="14"/>
          <w:color w:val="auto"/>
        </w:rPr>
        <w:t>Mr. McPherson also received a grant on April 25, 2022 subject to the same metrics and performance period noted above. 5,619 shares were granted in February 2022 and 947 additional shares were granted in April 2022. The Actual PSUs earned and vested in February 2025 are a combination of these two grants with the goal achievement of 74%.</w:t>
      </w:r>
    </w:p>
    <w:p>
      <w:pPr>
        <w:spacing w:after="0" w:line="201"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Note: Mr. Strubbe retired from the Company in April 2024, and as such, his 2022 PSUs were forfeited.</w:t>
      </w:r>
    </w:p>
    <w:p>
      <w:pPr>
        <w:spacing w:after="0" w:line="10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Features of our Executive Compensation Program</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Recovery of Incentive Compensation</w:t>
      </w:r>
    </w:p>
    <w:p>
      <w:pPr>
        <w:spacing w:after="0" w:line="99" w:lineRule="exact"/>
        <w:rPr>
          <w:sz w:val="20"/>
          <w:szCs w:val="20"/>
          <w:color w:val="auto"/>
        </w:rPr>
      </w:pPr>
    </w:p>
    <w:p>
      <w:pPr>
        <w:spacing w:after="0" w:line="243" w:lineRule="auto"/>
        <w:rPr>
          <w:sz w:val="20"/>
          <w:szCs w:val="20"/>
          <w:color w:val="auto"/>
        </w:rPr>
      </w:pPr>
      <w:r>
        <w:rPr>
          <w:rFonts w:ascii="Arial" w:cs="Arial" w:eastAsia="Arial" w:hAnsi="Arial"/>
          <w:sz w:val="16"/>
          <w:szCs w:val="16"/>
          <w:color w:val="auto"/>
        </w:rPr>
        <w:t>Effective October 2, 2023, we modified our compensation recoupment policy such that it now is intended to comply with the requirements of Nasdaq Listing Standard 5608 implementing Rule 10D-1 under the Securities Exchange Act of 1934. In the event the Company is required to prepare an accounting restatement of the Company’s financial statements due to material non-compliance with any financial reporting requirement under the federal securities laws, the Company will recover, on a reasonably prompt basis, the excess incentive-based compensation received by any covered executive, including the NEOs, during the prior three fiscal years that exceeds the amount that the covered executive otherwise would have received had the incentive-based compensation been determined based on the restated financial statements.</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Equity Award Practices</w:t>
      </w:r>
    </w:p>
    <w:p>
      <w:pPr>
        <w:spacing w:after="0" w:line="112"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The Compensation Committee approves all equity awards granted to our NEOs, the aggregate annual equity pool for all employees, employee grant guidelines, and all equity awards granted to eligible employees during the annual grant process, which generally takes place in February. A separate grant committee makes equity awards to non-executives at times other than the annual grant process. Our equity compensation programs do not currently include annual or periodic stock option awards.</w:t>
      </w:r>
    </w:p>
    <w:p>
      <w:pPr>
        <w:spacing w:after="0" w:line="350"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32</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ind w:left="9440"/>
        <w:spacing w:after="0"/>
        <w:rPr>
          <w:sz w:val="20"/>
          <w:szCs w:val="20"/>
          <w:color w:val="auto"/>
        </w:rPr>
      </w:pPr>
      <w:r>
        <w:rPr>
          <w:rFonts w:ascii="Arial" w:cs="Arial" w:eastAsia="Arial" w:hAnsi="Arial"/>
          <w:sz w:val="16"/>
          <w:szCs w:val="16"/>
          <w:color w:val="004A98"/>
        </w:rPr>
        <w:t>Executive Compensation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During 2024, the Company did not time the disclosure of material nonpublic information for the purpose of affecting the value of executive compensation.</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Benefits</w:t>
      </w:r>
    </w:p>
    <w:p>
      <w:pPr>
        <w:spacing w:after="0" w:line="112" w:lineRule="exact"/>
        <w:rPr>
          <w:sz w:val="20"/>
          <w:szCs w:val="20"/>
          <w:color w:val="auto"/>
        </w:rPr>
      </w:pPr>
    </w:p>
    <w:p>
      <w:pPr>
        <w:ind w:right="20"/>
        <w:spacing w:after="0" w:line="268" w:lineRule="auto"/>
        <w:rPr>
          <w:sz w:val="20"/>
          <w:szCs w:val="20"/>
          <w:color w:val="auto"/>
        </w:rPr>
      </w:pPr>
      <w:r>
        <w:rPr>
          <w:rFonts w:ascii="Arial" w:cs="Arial" w:eastAsia="Arial" w:hAnsi="Arial"/>
          <w:sz w:val="16"/>
          <w:szCs w:val="16"/>
          <w:color w:val="auto"/>
        </w:rPr>
        <w:t>We generally do not provide our NEOs with any benefits other than those provided to all of our other U.S.-based employees. All of our U.S.-based employees are eligible for medical, dental and vision insurance, life insurance, short and long-term disability, paid time off, an employee stock purchase plan, and a qualified 401(k) salary deferral plan. None of our NEOs are eligible to participate in any defined pension plans or non-qualified defined compensation plans.</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Severance or Employment Agreements</w:t>
      </w:r>
    </w:p>
    <w:p>
      <w:pPr>
        <w:spacing w:after="0" w:line="112" w:lineRule="exact"/>
        <w:rPr>
          <w:sz w:val="20"/>
          <w:szCs w:val="20"/>
          <w:color w:val="auto"/>
        </w:rPr>
      </w:pPr>
    </w:p>
    <w:p>
      <w:pPr>
        <w:jc w:val="both"/>
        <w:ind w:right="340"/>
        <w:spacing w:after="0" w:line="275" w:lineRule="auto"/>
        <w:rPr>
          <w:sz w:val="20"/>
          <w:szCs w:val="20"/>
          <w:color w:val="auto"/>
        </w:rPr>
      </w:pPr>
      <w:r>
        <w:rPr>
          <w:rFonts w:ascii="Arial" w:cs="Arial" w:eastAsia="Arial" w:hAnsi="Arial"/>
          <w:sz w:val="16"/>
          <w:szCs w:val="16"/>
          <w:color w:val="auto"/>
        </w:rPr>
        <w:t>We generally do not enter into severance or employment agreements with our NEOs (except as described below), nor do we provide severance or other benefits following voluntary termination. However, the Compensation Committee may determine in special circumstances that providing such severance payments or benefits or entering into employment agreements is necessary to attract an NEO or for other business considerations.</w:t>
      </w:r>
    </w:p>
    <w:p>
      <w:pPr>
        <w:spacing w:after="0" w:line="55"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Change in Control and Retention Agreements</w:t>
      </w:r>
    </w:p>
    <w:p>
      <w:pPr>
        <w:spacing w:after="0" w:line="112" w:lineRule="exact"/>
        <w:rPr>
          <w:sz w:val="20"/>
          <w:szCs w:val="20"/>
          <w:color w:val="auto"/>
        </w:rPr>
      </w:pPr>
    </w:p>
    <w:p>
      <w:pPr>
        <w:ind w:right="180"/>
        <w:spacing w:after="0" w:line="265" w:lineRule="auto"/>
        <w:rPr>
          <w:sz w:val="20"/>
          <w:szCs w:val="20"/>
          <w:color w:val="auto"/>
        </w:rPr>
      </w:pPr>
      <w:r>
        <w:rPr>
          <w:rFonts w:ascii="Arial" w:cs="Arial" w:eastAsia="Arial" w:hAnsi="Arial"/>
          <w:sz w:val="16"/>
          <w:szCs w:val="16"/>
          <w:color w:val="auto"/>
        </w:rPr>
        <w:t>We have entered into change in control and retention agreements with our NEOs. These agreements provide for change in control severance benefits and payments in the event the NEO’s employment is terminated in connection with a change in control of the Company. These agreements are “double trigger” agreements which means the NEOs will only be eligible for payments under the agreements if both a change in control of the Company occurs and the NEO’s employment is terminated without cause (or by the NEO for good reason) within 24 months of the change in control.</w:t>
      </w:r>
    </w:p>
    <w:p>
      <w:pPr>
        <w:spacing w:after="0" w:line="7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The Compensation Committee believes these agreements are necessary to attract and retain executive talent and to remove any potential conflicts of interests of our NEOs when making decisions related to potentially beneficial corporate transactions. The Compensation Committee periodically reviews the provisions of these agreements with its compensation consultant and makes adjustments as necessary to encourage alignment of NEOs’ interests with stockholders’ interests. The compensation consultant advised the Compensation Committee that the agreements were consistent with best practices, which include double trigger benefits, severance multiples less than or equal to 2x base salary and target bonus, and no tax-gross up provision. Based on the compensation consultant’s analysis and the Compensation Committee’s review, no changes were made to the benefits provided under the agreements in 2024. The CEO’s change in control agreement provides for a severance payment of 2x base salary and a bonus payment of 2x target bonus plus the cash equivalent of two years of continuation of health benefits if he participates in the Company’s health plans as of the date of his termination. The other terms of his change in control agreement are the same as the other NEOs. Additional details about these agreements, including potential payments, may be found in the “Potential Payments Upon Termination or Change in Control” section and the “Termination and Change in Control Benefit Estimates as of December 31, 2024” table below in this Proxy Statement.</w:t>
      </w:r>
    </w:p>
    <w:p>
      <w:pPr>
        <w:spacing w:after="0" w:line="73"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Risk Assessment</w:t>
      </w:r>
    </w:p>
    <w:p>
      <w:pPr>
        <w:spacing w:after="0" w:line="112"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In 2024, we performed a comprehensive assessment of our compensation policies and program design to determine whether risks arising under them would be reasonably likely to have a material adverse effect on the Company. The Compensation Committee reviewed Management’s risk assessment, which considered each element of our compensation programs and policies. Management’s risk assessment (which included input from FW Cook) determined that none of our compensation policies and programs creates a risk that is reasonably likely to have a material adverse effect on the Company.</w:t>
      </w:r>
    </w:p>
    <w:p>
      <w:pPr>
        <w:spacing w:after="0" w:line="299"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Executive Compensation</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Compensation Committee Report</w:t>
      </w:r>
    </w:p>
    <w:p>
      <w:pPr>
        <w:spacing w:after="0" w:line="148" w:lineRule="exact"/>
        <w:rPr>
          <w:sz w:val="20"/>
          <w:szCs w:val="20"/>
          <w:color w:val="auto"/>
        </w:rPr>
      </w:pPr>
    </w:p>
    <w:p>
      <w:pPr>
        <w:ind w:right="620"/>
        <w:spacing w:after="0" w:line="286" w:lineRule="auto"/>
        <w:rPr>
          <w:sz w:val="20"/>
          <w:szCs w:val="20"/>
          <w:color w:val="auto"/>
        </w:rPr>
      </w:pPr>
      <w:r>
        <w:rPr>
          <w:rFonts w:ascii="Arial" w:cs="Arial" w:eastAsia="Arial" w:hAnsi="Arial"/>
          <w:sz w:val="16"/>
          <w:szCs w:val="16"/>
          <w:color w:val="auto"/>
        </w:rPr>
        <w:t>The Compensation Committee has reviewed the Compensation Discussion and Analysis included in this Proxy Statement. Based on the review, the Compensation Committee recommended to the Board that the Compensation Discussion and Analysis be included in this Proxy Statement.</w:t>
      </w:r>
    </w:p>
    <w:p>
      <w:pPr>
        <w:spacing w:after="0" w:line="223"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This report is submitted by the Compensation Committee</w:t>
      </w:r>
    </w:p>
    <w:p>
      <w:pPr>
        <w:spacing w:after="0" w:line="221" w:lineRule="exact"/>
        <w:rPr>
          <w:sz w:val="20"/>
          <w:szCs w:val="20"/>
          <w:color w:val="auto"/>
        </w:rPr>
      </w:pPr>
    </w:p>
    <w:p>
      <w:pPr>
        <w:ind w:left="6160"/>
        <w:spacing w:after="0"/>
        <w:rPr>
          <w:sz w:val="20"/>
          <w:szCs w:val="20"/>
          <w:color w:val="auto"/>
        </w:rPr>
      </w:pPr>
      <w:r>
        <w:rPr>
          <w:rFonts w:ascii="Arial" w:cs="Arial" w:eastAsia="Arial" w:hAnsi="Arial"/>
          <w:sz w:val="16"/>
          <w:szCs w:val="16"/>
          <w:b w:val="1"/>
          <w:bCs w:val="1"/>
          <w:color w:val="004A98"/>
        </w:rPr>
        <w:t xml:space="preserve">Thomas F. Frist III </w:t>
      </w:r>
      <w:r>
        <w:rPr>
          <w:rFonts w:ascii="Arial" w:cs="Arial" w:eastAsia="Arial" w:hAnsi="Arial"/>
          <w:sz w:val="16"/>
          <w:szCs w:val="16"/>
          <w:color w:val="000000"/>
        </w:rPr>
        <w:t>(Chairperson)</w:t>
      </w:r>
    </w:p>
    <w:p>
      <w:pPr>
        <w:spacing w:after="0" w:line="46" w:lineRule="exact"/>
        <w:rPr>
          <w:sz w:val="20"/>
          <w:szCs w:val="20"/>
          <w:color w:val="auto"/>
        </w:rPr>
      </w:pPr>
    </w:p>
    <w:p>
      <w:pPr>
        <w:ind w:left="6160"/>
        <w:spacing w:after="0"/>
        <w:rPr>
          <w:sz w:val="20"/>
          <w:szCs w:val="20"/>
          <w:color w:val="auto"/>
        </w:rPr>
      </w:pPr>
      <w:r>
        <w:rPr>
          <w:rFonts w:ascii="Arial" w:cs="Arial" w:eastAsia="Arial" w:hAnsi="Arial"/>
          <w:sz w:val="16"/>
          <w:szCs w:val="16"/>
          <w:b w:val="1"/>
          <w:bCs w:val="1"/>
          <w:color w:val="004A98"/>
        </w:rPr>
        <w:t>Courtney D. Armstrong</w:t>
      </w:r>
    </w:p>
    <w:p>
      <w:pPr>
        <w:spacing w:after="0" w:line="39" w:lineRule="exact"/>
        <w:rPr>
          <w:sz w:val="20"/>
          <w:szCs w:val="20"/>
          <w:color w:val="auto"/>
        </w:rPr>
      </w:pPr>
    </w:p>
    <w:p>
      <w:pPr>
        <w:ind w:left="6160"/>
        <w:spacing w:after="0"/>
        <w:rPr>
          <w:sz w:val="20"/>
          <w:szCs w:val="20"/>
          <w:color w:val="auto"/>
        </w:rPr>
      </w:pPr>
      <w:r>
        <w:rPr>
          <w:rFonts w:ascii="Arial" w:cs="Arial" w:eastAsia="Arial" w:hAnsi="Arial"/>
          <w:sz w:val="16"/>
          <w:szCs w:val="16"/>
          <w:b w:val="1"/>
          <w:bCs w:val="1"/>
          <w:color w:val="004A98"/>
        </w:rPr>
        <w:t>Jamie S. Gorelick</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Compensation Committee Interlocks and Insider Participation</w:t>
      </w:r>
    </w:p>
    <w:p>
      <w:pPr>
        <w:spacing w:after="0" w:line="148" w:lineRule="exact"/>
        <w:rPr>
          <w:sz w:val="20"/>
          <w:szCs w:val="20"/>
          <w:color w:val="auto"/>
        </w:rPr>
      </w:pPr>
    </w:p>
    <w:p>
      <w:pPr>
        <w:spacing w:after="0" w:line="260" w:lineRule="auto"/>
        <w:rPr>
          <w:sz w:val="20"/>
          <w:szCs w:val="20"/>
          <w:color w:val="auto"/>
        </w:rPr>
      </w:pPr>
      <w:r>
        <w:rPr>
          <w:rFonts w:ascii="Arial" w:cs="Arial" w:eastAsia="Arial" w:hAnsi="Arial"/>
          <w:sz w:val="16"/>
          <w:szCs w:val="16"/>
          <w:color w:val="auto"/>
        </w:rPr>
        <w:t>The members of the Compensation Committee during 2024 were Thomas F. Frist III, Courtney D. Armstrong, Jamie S. Gorelick, and Timothy Tomlinson. All of the members of the Compensation Committee during 2024 were independent directors, and none of the members of the Compensation Committee during 2024 were employees or officers or former officers of Verisign during the prior three years, as required for director independence under the applicable Nasdaq rules. No Executive Officer of Verisign has served on the Compensation Committee (or other board committee performing equivalent functions, if any) or the board of directors of another entity, one of whose executive officers served as a member of the Compensation Committee of Verisign during 2024; and no Executive Officer of Verisign has served on the Compensation Committee (or other board committee performing equivalent functions or, in the absence of any such committee, the entire board of directors) of another entity, one of whose executive officers served as a member of our Board during 2024.</w:t>
      </w:r>
    </w:p>
    <w:p>
      <w:pPr>
        <w:spacing w:after="0" w:line="200" w:lineRule="exact"/>
        <w:rPr>
          <w:sz w:val="20"/>
          <w:szCs w:val="20"/>
          <w:color w:val="auto"/>
        </w:rPr>
      </w:pPr>
    </w:p>
    <w:p>
      <w:pPr>
        <w:spacing w:after="0" w:line="340"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34</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59"/>
          <w:szCs w:val="59"/>
          <w:color w:val="004A98"/>
        </w:rPr>
        <w:t>Executive Compensation Tables</w:t>
      </w:r>
    </w:p>
    <w:p>
      <w:pPr>
        <w:spacing w:after="0" w:line="373"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Summary Compensation Table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certain summary information concerning the compensation of our NEOs for 2024, 2023, and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6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06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right w:val="single" w:sz="8" w:color="auto"/>
            </w:tcBorders>
          </w:tcPr>
          <w:p>
            <w:pPr>
              <w:spacing w:after="0"/>
              <w:rPr>
                <w:sz w:val="13"/>
                <w:szCs w:val="13"/>
                <w:color w:val="auto"/>
              </w:rPr>
            </w:pPr>
          </w:p>
        </w:tc>
        <w:tc>
          <w:tcPr>
            <w:tcW w:w="1440" w:type="dxa"/>
            <w:vAlign w:val="bottom"/>
          </w:tcPr>
          <w:p>
            <w:pPr>
              <w:jc w:val="right"/>
              <w:spacing w:after="0"/>
              <w:rPr>
                <w:sz w:val="20"/>
                <w:szCs w:val="20"/>
                <w:color w:val="auto"/>
              </w:rPr>
            </w:pPr>
            <w:r>
              <w:rPr>
                <w:rFonts w:ascii="Arial" w:cs="Arial" w:eastAsia="Arial" w:hAnsi="Arial"/>
                <w:sz w:val="13"/>
                <w:szCs w:val="13"/>
                <w:b w:val="1"/>
                <w:bCs w:val="1"/>
                <w:color w:val="auto"/>
              </w:rPr>
              <w:t>NON-EQUITY</w:t>
            </w:r>
          </w:p>
        </w:tc>
        <w:tc>
          <w:tcPr>
            <w:tcW w:w="120" w:type="dxa"/>
            <w:vAlign w:val="bottom"/>
            <w:tcBorders>
              <w:right w:val="single" w:sz="8" w:color="auto"/>
            </w:tcBorders>
          </w:tcPr>
          <w:p>
            <w:pPr>
              <w:spacing w:after="0"/>
              <w:rPr>
                <w:sz w:val="13"/>
                <w:szCs w:val="13"/>
                <w:color w:val="auto"/>
              </w:rPr>
            </w:pPr>
          </w:p>
        </w:tc>
        <w:tc>
          <w:tcPr>
            <w:tcW w:w="13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ALL OTHER</w:t>
            </w:r>
          </w:p>
        </w:tc>
        <w:tc>
          <w:tcPr>
            <w:tcW w:w="120" w:type="dxa"/>
            <w:vAlign w:val="bottom"/>
            <w:tcBorders>
              <w:right w:val="single" w:sz="8" w:color="auto"/>
            </w:tcBorders>
          </w:tcPr>
          <w:p>
            <w:pPr>
              <w:spacing w:after="0"/>
              <w:rPr>
                <w:sz w:val="13"/>
                <w:szCs w:val="13"/>
                <w:color w:val="auto"/>
              </w:rPr>
            </w:pPr>
          </w:p>
        </w:tc>
        <w:tc>
          <w:tcPr>
            <w:tcW w:w="1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390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NAMED EXECUTIVE OFFICER</w:t>
            </w:r>
          </w:p>
        </w:tc>
        <w:tc>
          <w:tcPr>
            <w:tcW w:w="120" w:type="dxa"/>
            <w:vAlign w:val="bottom"/>
            <w:tcBorders>
              <w:righ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SALARY</w:t>
            </w:r>
          </w:p>
        </w:tc>
        <w:tc>
          <w:tcPr>
            <w:tcW w:w="120" w:type="dxa"/>
            <w:vAlign w:val="bottom"/>
            <w:tcBorders>
              <w:right w:val="single" w:sz="8" w:color="auto"/>
            </w:tcBorders>
          </w:tcPr>
          <w:p>
            <w:pPr>
              <w:spacing w:after="0"/>
              <w:rPr>
                <w:sz w:val="10"/>
                <w:szCs w:val="10"/>
                <w:color w:val="auto"/>
              </w:rPr>
            </w:pPr>
          </w:p>
        </w:tc>
        <w:tc>
          <w:tcPr>
            <w:tcW w:w="106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INCENTIVE PLAN</w:t>
            </w:r>
          </w:p>
        </w:tc>
        <w:tc>
          <w:tcPr>
            <w:tcW w:w="120" w:type="dxa"/>
            <w:vAlign w:val="bottom"/>
            <w:tcBorders>
              <w:right w:val="single" w:sz="8" w:color="auto"/>
            </w:tcBorders>
          </w:tcPr>
          <w:p>
            <w:pPr>
              <w:spacing w:after="0"/>
              <w:rPr>
                <w:sz w:val="10"/>
                <w:szCs w:val="10"/>
                <w:color w:val="auto"/>
              </w:rPr>
            </w:pPr>
          </w:p>
        </w:tc>
        <w:tc>
          <w:tcPr>
            <w:tcW w:w="134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22"/>
        </w:trPr>
        <w:tc>
          <w:tcPr>
            <w:tcW w:w="390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YEAR</w:t>
            </w:r>
          </w:p>
        </w:tc>
        <w:tc>
          <w:tcPr>
            <w:tcW w:w="120" w:type="dxa"/>
            <w:vAlign w:val="bottom"/>
            <w:tcBorders>
              <w:right w:val="single" w:sz="8" w:color="auto"/>
            </w:tcBorders>
          </w:tcPr>
          <w:p>
            <w:pPr>
              <w:spacing w:after="0"/>
              <w:rPr>
                <w:sz w:val="10"/>
                <w:szCs w:val="10"/>
                <w:color w:val="auto"/>
              </w:rPr>
            </w:pPr>
          </w:p>
        </w:tc>
        <w:tc>
          <w:tcPr>
            <w:tcW w:w="92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06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AWARDS</w:t>
            </w:r>
          </w:p>
        </w:tc>
        <w:tc>
          <w:tcPr>
            <w:tcW w:w="120" w:type="dxa"/>
            <w:vAlign w:val="bottom"/>
            <w:tcBorders>
              <w:right w:val="single" w:sz="8" w:color="auto"/>
            </w:tcBorders>
          </w:tcPr>
          <w:p>
            <w:pPr>
              <w:spacing w:after="0"/>
              <w:rPr>
                <w:sz w:val="10"/>
                <w:szCs w:val="10"/>
                <w:color w:val="auto"/>
              </w:rPr>
            </w:pPr>
          </w:p>
        </w:tc>
        <w:tc>
          <w:tcPr>
            <w:tcW w:w="14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COMPENSATION</w:t>
            </w:r>
          </w:p>
        </w:tc>
        <w:tc>
          <w:tcPr>
            <w:tcW w:w="120" w:type="dxa"/>
            <w:vAlign w:val="bottom"/>
            <w:tcBorders>
              <w:right w:val="single" w:sz="8" w:color="auto"/>
            </w:tcBorders>
          </w:tcPr>
          <w:p>
            <w:pPr>
              <w:spacing w:after="0"/>
              <w:rPr>
                <w:sz w:val="10"/>
                <w:szCs w:val="10"/>
                <w:color w:val="auto"/>
              </w:rPr>
            </w:pPr>
          </w:p>
        </w:tc>
        <w:tc>
          <w:tcPr>
            <w:tcW w:w="13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COMPENSATION</w:t>
            </w:r>
          </w:p>
        </w:tc>
        <w:tc>
          <w:tcPr>
            <w:tcW w:w="120" w:type="dxa"/>
            <w:vAlign w:val="bottom"/>
            <w:tcBorders>
              <w:right w:val="single" w:sz="8" w:color="auto"/>
            </w:tcBorders>
          </w:tcPr>
          <w:p>
            <w:pPr>
              <w:spacing w:after="0"/>
              <w:rPr>
                <w:sz w:val="10"/>
                <w:szCs w:val="10"/>
                <w:color w:val="auto"/>
              </w:rPr>
            </w:pPr>
          </w:p>
        </w:tc>
        <w:tc>
          <w:tcPr>
            <w:tcW w:w="11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390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AND PRINCIPAL POSITION</w:t>
            </w:r>
          </w:p>
        </w:tc>
        <w:tc>
          <w:tcPr>
            <w:tcW w:w="120" w:type="dxa"/>
            <w:vAlign w:val="bottom"/>
            <w:tcBorders>
              <w:right w:val="single" w:sz="8" w:color="auto"/>
            </w:tcBorders>
          </w:tcPr>
          <w:p>
            <w:pPr>
              <w:spacing w:after="0"/>
              <w:rPr>
                <w:sz w:val="16"/>
                <w:szCs w:val="16"/>
                <w:color w:val="auto"/>
              </w:rPr>
            </w:pPr>
          </w:p>
        </w:tc>
        <w:tc>
          <w:tcPr>
            <w:tcW w:w="680" w:type="dxa"/>
            <w:vAlign w:val="bottom"/>
            <w:tcBorders>
              <w:bottom w:val="single" w:sz="8" w:color="050505"/>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920" w:type="dxa"/>
            <w:vAlign w:val="bottom"/>
            <w:tcBorders>
              <w:bottom w:val="single" w:sz="8" w:color="050505"/>
            </w:tcBorders>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(1)</w:t>
            </w:r>
          </w:p>
        </w:tc>
        <w:tc>
          <w:tcPr>
            <w:tcW w:w="120" w:type="dxa"/>
            <w:vAlign w:val="bottom"/>
            <w:tcBorders>
              <w:right w:val="single" w:sz="8" w:color="auto"/>
            </w:tcBorders>
          </w:tcPr>
          <w:p>
            <w:pPr>
              <w:spacing w:after="0"/>
              <w:rPr>
                <w:sz w:val="16"/>
                <w:szCs w:val="16"/>
                <w:color w:val="auto"/>
              </w:rPr>
            </w:pPr>
          </w:p>
        </w:tc>
        <w:tc>
          <w:tcPr>
            <w:tcW w:w="1060" w:type="dxa"/>
            <w:vAlign w:val="bottom"/>
            <w:tcBorders>
              <w:bottom w:val="single" w:sz="8" w:color="050505"/>
            </w:tcBorders>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(2)</w:t>
            </w:r>
          </w:p>
        </w:tc>
        <w:tc>
          <w:tcPr>
            <w:tcW w:w="120" w:type="dxa"/>
            <w:vAlign w:val="bottom"/>
            <w:tcBorders>
              <w:right w:val="single" w:sz="8" w:color="auto"/>
            </w:tcBorders>
          </w:tcPr>
          <w:p>
            <w:pPr>
              <w:spacing w:after="0"/>
              <w:rPr>
                <w:sz w:val="16"/>
                <w:szCs w:val="16"/>
                <w:color w:val="auto"/>
              </w:rPr>
            </w:pPr>
          </w:p>
        </w:tc>
        <w:tc>
          <w:tcPr>
            <w:tcW w:w="1440" w:type="dxa"/>
            <w:vAlign w:val="bottom"/>
            <w:tcBorders>
              <w:bottom w:val="single" w:sz="8" w:color="050505"/>
            </w:tcBorders>
          </w:tcPr>
          <w:p>
            <w:pPr>
              <w:jc w:val="right"/>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(3)</w:t>
            </w:r>
          </w:p>
        </w:tc>
        <w:tc>
          <w:tcPr>
            <w:tcW w:w="120" w:type="dxa"/>
            <w:vAlign w:val="bottom"/>
            <w:tcBorders>
              <w:right w:val="single" w:sz="8" w:color="auto"/>
            </w:tcBorders>
          </w:tcPr>
          <w:p>
            <w:pPr>
              <w:spacing w:after="0"/>
              <w:rPr>
                <w:sz w:val="16"/>
                <w:szCs w:val="16"/>
                <w:color w:val="auto"/>
              </w:rPr>
            </w:pPr>
          </w:p>
        </w:tc>
        <w:tc>
          <w:tcPr>
            <w:tcW w:w="1340" w:type="dxa"/>
            <w:vAlign w:val="bottom"/>
            <w:tcBorders>
              <w:bottom w:val="single" w:sz="8" w:color="050505"/>
            </w:tcBorders>
          </w:tcPr>
          <w:p>
            <w:pPr>
              <w:jc w:val="right"/>
              <w:spacing w:after="0" w:line="189" w:lineRule="exact"/>
              <w:rPr>
                <w:sz w:val="20"/>
                <w:szCs w:val="20"/>
                <w:color w:val="auto"/>
              </w:rPr>
            </w:pPr>
            <w:r>
              <w:rPr>
                <w:rFonts w:ascii="Arial" w:cs="Arial" w:eastAsia="Arial" w:hAnsi="Arial"/>
                <w:sz w:val="21"/>
                <w:szCs w:val="21"/>
                <w:b w:val="1"/>
                <w:bCs w:val="1"/>
                <w:color w:val="auto"/>
                <w:vertAlign w:val="subscript"/>
              </w:rPr>
              <w:t>($)</w:t>
            </w:r>
            <w:r>
              <w:rPr>
                <w:rFonts w:ascii="Arial" w:cs="Arial" w:eastAsia="Arial" w:hAnsi="Arial"/>
                <w:sz w:val="8"/>
                <w:szCs w:val="8"/>
                <w:b w:val="1"/>
                <w:bCs w:val="1"/>
                <w:color w:val="auto"/>
              </w:rPr>
              <w:t>(4)(5)</w:t>
            </w:r>
          </w:p>
        </w:tc>
        <w:tc>
          <w:tcPr>
            <w:tcW w:w="120" w:type="dxa"/>
            <w:vAlign w:val="bottom"/>
            <w:tcBorders>
              <w:right w:val="single" w:sz="8" w:color="auto"/>
            </w:tcBorders>
          </w:tcPr>
          <w:p>
            <w:pPr>
              <w:spacing w:after="0"/>
              <w:rPr>
                <w:sz w:val="16"/>
                <w:szCs w:val="16"/>
                <w:color w:val="auto"/>
              </w:rPr>
            </w:pPr>
          </w:p>
        </w:tc>
        <w:tc>
          <w:tcPr>
            <w:tcW w:w="1180" w:type="dxa"/>
            <w:vAlign w:val="bottom"/>
            <w:tcBorders>
              <w:bottom w:val="single" w:sz="8" w:color="050505"/>
            </w:tcBorders>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09"/>
        </w:trPr>
        <w:tc>
          <w:tcPr>
            <w:tcW w:w="3900" w:type="dxa"/>
            <w:vAlign w:val="bottom"/>
            <w:tcBorders>
              <w:bottom w:val="single" w:sz="8" w:color="DBDBDB"/>
            </w:tcBorders>
            <w:shd w:val="clear" w:color="auto" w:fill="E6E7E8"/>
          </w:tcPr>
          <w:p>
            <w:pPr>
              <w:ind w:left="60"/>
              <w:spacing w:after="0"/>
              <w:rPr>
                <w:sz w:val="20"/>
                <w:szCs w:val="20"/>
                <w:color w:val="auto"/>
              </w:rPr>
            </w:pPr>
            <w:r>
              <w:rPr>
                <w:rFonts w:ascii="Arial" w:cs="Arial" w:eastAsia="Arial" w:hAnsi="Arial"/>
                <w:sz w:val="16"/>
                <w:szCs w:val="16"/>
                <w:b w:val="1"/>
                <w:bCs w:val="1"/>
                <w:color w:val="004A98"/>
              </w:rPr>
              <w:t>D. James Bidzos</w:t>
            </w:r>
          </w:p>
        </w:tc>
        <w:tc>
          <w:tcPr>
            <w:tcW w:w="120" w:type="dxa"/>
            <w:vAlign w:val="bottom"/>
            <w:tcBorders>
              <w:right w:val="single" w:sz="8" w:color="E5E5E5"/>
            </w:tcBorders>
          </w:tcPr>
          <w:p>
            <w:pPr>
              <w:spacing w:after="0"/>
              <w:rPr>
                <w:sz w:val="18"/>
                <w:szCs w:val="18"/>
                <w:color w:val="auto"/>
              </w:rPr>
            </w:pPr>
          </w:p>
        </w:tc>
        <w:tc>
          <w:tcPr>
            <w:tcW w:w="68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2024</w:t>
            </w:r>
          </w:p>
        </w:tc>
        <w:tc>
          <w:tcPr>
            <w:tcW w:w="120" w:type="dxa"/>
            <w:vAlign w:val="bottom"/>
            <w:tcBorders>
              <w:right w:val="single" w:sz="8" w:color="E5E5E5"/>
            </w:tcBorders>
          </w:tcPr>
          <w:p>
            <w:pPr>
              <w:spacing w:after="0"/>
              <w:rPr>
                <w:sz w:val="18"/>
                <w:szCs w:val="18"/>
                <w:color w:val="auto"/>
              </w:rPr>
            </w:pPr>
          </w:p>
        </w:tc>
        <w:tc>
          <w:tcPr>
            <w:tcW w:w="92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950,000</w:t>
            </w:r>
          </w:p>
        </w:tc>
        <w:tc>
          <w:tcPr>
            <w:tcW w:w="120" w:type="dxa"/>
            <w:vAlign w:val="bottom"/>
            <w:tcBorders>
              <w:right w:val="single" w:sz="8" w:color="E5E5E5"/>
            </w:tcBorders>
          </w:tcPr>
          <w:p>
            <w:pPr>
              <w:spacing w:after="0"/>
              <w:rPr>
                <w:sz w:val="18"/>
                <w:szCs w:val="18"/>
                <w:color w:val="auto"/>
              </w:rPr>
            </w:pPr>
          </w:p>
        </w:tc>
        <w:tc>
          <w:tcPr>
            <w:tcW w:w="106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11,732,383</w:t>
            </w:r>
          </w:p>
        </w:tc>
        <w:tc>
          <w:tcPr>
            <w:tcW w:w="120" w:type="dxa"/>
            <w:vAlign w:val="bottom"/>
            <w:tcBorders>
              <w:right w:val="single" w:sz="8" w:color="E5E5E5"/>
            </w:tcBorders>
          </w:tcPr>
          <w:p>
            <w:pPr>
              <w:spacing w:after="0"/>
              <w:rPr>
                <w:sz w:val="18"/>
                <w:szCs w:val="18"/>
                <w:color w:val="auto"/>
              </w:rPr>
            </w:pPr>
          </w:p>
        </w:tc>
        <w:tc>
          <w:tcPr>
            <w:tcW w:w="144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1,372,275</w:t>
            </w:r>
          </w:p>
        </w:tc>
        <w:tc>
          <w:tcPr>
            <w:tcW w:w="120" w:type="dxa"/>
            <w:vAlign w:val="bottom"/>
            <w:tcBorders>
              <w:right w:val="single" w:sz="8" w:color="E5E5E5"/>
            </w:tcBorders>
          </w:tcPr>
          <w:p>
            <w:pPr>
              <w:spacing w:after="0"/>
              <w:rPr>
                <w:sz w:val="18"/>
                <w:szCs w:val="18"/>
                <w:color w:val="auto"/>
              </w:rPr>
            </w:pPr>
          </w:p>
        </w:tc>
        <w:tc>
          <w:tcPr>
            <w:tcW w:w="134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720</w:t>
            </w:r>
          </w:p>
        </w:tc>
        <w:tc>
          <w:tcPr>
            <w:tcW w:w="120" w:type="dxa"/>
            <w:vAlign w:val="bottom"/>
            <w:tcBorders>
              <w:right w:val="single" w:sz="8" w:color="E5E5E5"/>
            </w:tcBorders>
          </w:tcPr>
          <w:p>
            <w:pPr>
              <w:spacing w:after="0"/>
              <w:rPr>
                <w:sz w:val="18"/>
                <w:szCs w:val="18"/>
                <w:color w:val="auto"/>
              </w:rPr>
            </w:pPr>
          </w:p>
        </w:tc>
        <w:tc>
          <w:tcPr>
            <w:tcW w:w="118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14,055,378</w:t>
            </w:r>
          </w:p>
        </w:tc>
        <w:tc>
          <w:tcPr>
            <w:tcW w:w="0" w:type="dxa"/>
            <w:vAlign w:val="bottom"/>
          </w:tcPr>
          <w:p>
            <w:pPr>
              <w:spacing w:after="0"/>
              <w:rPr>
                <w:sz w:val="1"/>
                <w:szCs w:val="1"/>
                <w:color w:val="auto"/>
              </w:rPr>
            </w:pPr>
          </w:p>
        </w:tc>
      </w:tr>
      <w:tr>
        <w:trPr>
          <w:trHeight w:val="209"/>
        </w:trPr>
        <w:tc>
          <w:tcPr>
            <w:tcW w:w="3900" w:type="dxa"/>
            <w:vAlign w:val="bottom"/>
            <w:tcBorders>
              <w:bottom w:val="single" w:sz="8" w:color="DBDBDB"/>
            </w:tcBorders>
            <w:shd w:val="clear" w:color="auto" w:fill="E6E7E8"/>
          </w:tcPr>
          <w:p>
            <w:pPr>
              <w:ind w:left="60"/>
              <w:spacing w:after="0"/>
              <w:rPr>
                <w:sz w:val="20"/>
                <w:szCs w:val="20"/>
                <w:color w:val="auto"/>
              </w:rPr>
            </w:pPr>
            <w:r>
              <w:rPr>
                <w:rFonts w:ascii="Arial" w:cs="Arial" w:eastAsia="Arial" w:hAnsi="Arial"/>
                <w:sz w:val="16"/>
                <w:szCs w:val="16"/>
                <w:color w:val="auto"/>
              </w:rPr>
              <w:t>Executive Chairman, President and</w:t>
            </w:r>
          </w:p>
        </w:tc>
        <w:tc>
          <w:tcPr>
            <w:tcW w:w="120" w:type="dxa"/>
            <w:vAlign w:val="bottom"/>
            <w:tcBorders>
              <w:right w:val="single" w:sz="8" w:color="E5E5E5"/>
            </w:tcBorders>
          </w:tcPr>
          <w:p>
            <w:pPr>
              <w:spacing w:after="0"/>
              <w:rPr>
                <w:sz w:val="18"/>
                <w:szCs w:val="18"/>
                <w:color w:val="auto"/>
              </w:rPr>
            </w:pPr>
          </w:p>
        </w:tc>
        <w:tc>
          <w:tcPr>
            <w:tcW w:w="68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2023</w:t>
            </w:r>
          </w:p>
        </w:tc>
        <w:tc>
          <w:tcPr>
            <w:tcW w:w="120" w:type="dxa"/>
            <w:vAlign w:val="bottom"/>
            <w:tcBorders>
              <w:right w:val="single" w:sz="8" w:color="E5E5E5"/>
            </w:tcBorders>
          </w:tcPr>
          <w:p>
            <w:pPr>
              <w:spacing w:after="0"/>
              <w:rPr>
                <w:sz w:val="18"/>
                <w:szCs w:val="18"/>
                <w:color w:val="auto"/>
              </w:rPr>
            </w:pPr>
          </w:p>
        </w:tc>
        <w:tc>
          <w:tcPr>
            <w:tcW w:w="92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950,000</w:t>
            </w:r>
          </w:p>
        </w:tc>
        <w:tc>
          <w:tcPr>
            <w:tcW w:w="120" w:type="dxa"/>
            <w:vAlign w:val="bottom"/>
            <w:tcBorders>
              <w:right w:val="single" w:sz="8" w:color="E5E5E5"/>
            </w:tcBorders>
          </w:tcPr>
          <w:p>
            <w:pPr>
              <w:spacing w:after="0"/>
              <w:rPr>
                <w:sz w:val="18"/>
                <w:szCs w:val="18"/>
                <w:color w:val="auto"/>
              </w:rPr>
            </w:pPr>
          </w:p>
        </w:tc>
        <w:tc>
          <w:tcPr>
            <w:tcW w:w="106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9,999,781</w:t>
            </w:r>
          </w:p>
        </w:tc>
        <w:tc>
          <w:tcPr>
            <w:tcW w:w="120" w:type="dxa"/>
            <w:vAlign w:val="bottom"/>
            <w:tcBorders>
              <w:right w:val="single" w:sz="8" w:color="E5E5E5"/>
            </w:tcBorders>
          </w:tcPr>
          <w:p>
            <w:pPr>
              <w:spacing w:after="0"/>
              <w:rPr>
                <w:sz w:val="18"/>
                <w:szCs w:val="18"/>
                <w:color w:val="auto"/>
              </w:rPr>
            </w:pPr>
          </w:p>
        </w:tc>
        <w:tc>
          <w:tcPr>
            <w:tcW w:w="144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1,265,400</w:t>
            </w:r>
          </w:p>
        </w:tc>
        <w:tc>
          <w:tcPr>
            <w:tcW w:w="120" w:type="dxa"/>
            <w:vAlign w:val="bottom"/>
            <w:tcBorders>
              <w:right w:val="single" w:sz="8" w:color="E5E5E5"/>
            </w:tcBorders>
          </w:tcPr>
          <w:p>
            <w:pPr>
              <w:spacing w:after="0"/>
              <w:rPr>
                <w:sz w:val="18"/>
                <w:szCs w:val="18"/>
                <w:color w:val="auto"/>
              </w:rPr>
            </w:pPr>
          </w:p>
        </w:tc>
        <w:tc>
          <w:tcPr>
            <w:tcW w:w="134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30,720</w:t>
            </w:r>
          </w:p>
        </w:tc>
        <w:tc>
          <w:tcPr>
            <w:tcW w:w="120" w:type="dxa"/>
            <w:vAlign w:val="bottom"/>
            <w:tcBorders>
              <w:right w:val="single" w:sz="8" w:color="E5E5E5"/>
            </w:tcBorders>
          </w:tcPr>
          <w:p>
            <w:pPr>
              <w:spacing w:after="0"/>
              <w:rPr>
                <w:sz w:val="18"/>
                <w:szCs w:val="18"/>
                <w:color w:val="auto"/>
              </w:rPr>
            </w:pPr>
          </w:p>
        </w:tc>
        <w:tc>
          <w:tcPr>
            <w:tcW w:w="118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12,245,901</w:t>
            </w:r>
          </w:p>
        </w:tc>
        <w:tc>
          <w:tcPr>
            <w:tcW w:w="0" w:type="dxa"/>
            <w:vAlign w:val="bottom"/>
          </w:tcPr>
          <w:p>
            <w:pPr>
              <w:spacing w:after="0"/>
              <w:rPr>
                <w:sz w:val="1"/>
                <w:szCs w:val="1"/>
                <w:color w:val="auto"/>
              </w:rPr>
            </w:pPr>
          </w:p>
        </w:tc>
      </w:tr>
      <w:tr>
        <w:trPr>
          <w:trHeight w:val="209"/>
        </w:trPr>
        <w:tc>
          <w:tcPr>
            <w:tcW w:w="3900" w:type="dxa"/>
            <w:vAlign w:val="bottom"/>
            <w:tcBorders>
              <w:bottom w:val="single" w:sz="8" w:color="B6B6B6"/>
            </w:tcBorders>
            <w:shd w:val="clear" w:color="auto" w:fill="E6E7E8"/>
          </w:tcPr>
          <w:p>
            <w:pPr>
              <w:ind w:left="60"/>
              <w:spacing w:after="0"/>
              <w:rPr>
                <w:sz w:val="20"/>
                <w:szCs w:val="20"/>
                <w:color w:val="auto"/>
              </w:rPr>
            </w:pPr>
            <w:r>
              <w:rPr>
                <w:rFonts w:ascii="Arial" w:cs="Arial" w:eastAsia="Arial" w:hAnsi="Arial"/>
                <w:sz w:val="16"/>
                <w:szCs w:val="16"/>
                <w:color w:val="auto"/>
              </w:rPr>
              <w:t>Chief Executive Officer</w:t>
            </w:r>
          </w:p>
        </w:tc>
        <w:tc>
          <w:tcPr>
            <w:tcW w:w="120" w:type="dxa"/>
            <w:vAlign w:val="bottom"/>
            <w:tcBorders>
              <w:right w:val="single" w:sz="8" w:color="E5E5E5"/>
            </w:tcBorders>
          </w:tcPr>
          <w:p>
            <w:pPr>
              <w:spacing w:after="0"/>
              <w:rPr>
                <w:sz w:val="18"/>
                <w:szCs w:val="18"/>
                <w:color w:val="auto"/>
              </w:rPr>
            </w:pPr>
          </w:p>
        </w:tc>
        <w:tc>
          <w:tcPr>
            <w:tcW w:w="68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2022</w:t>
            </w:r>
          </w:p>
        </w:tc>
        <w:tc>
          <w:tcPr>
            <w:tcW w:w="120" w:type="dxa"/>
            <w:vAlign w:val="bottom"/>
            <w:tcBorders>
              <w:right w:val="single" w:sz="8" w:color="E5E5E5"/>
            </w:tcBorders>
          </w:tcPr>
          <w:p>
            <w:pPr>
              <w:spacing w:after="0"/>
              <w:rPr>
                <w:sz w:val="18"/>
                <w:szCs w:val="18"/>
                <w:color w:val="auto"/>
              </w:rPr>
            </w:pPr>
          </w:p>
        </w:tc>
        <w:tc>
          <w:tcPr>
            <w:tcW w:w="92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946,154</w:t>
            </w:r>
          </w:p>
        </w:tc>
        <w:tc>
          <w:tcPr>
            <w:tcW w:w="120" w:type="dxa"/>
            <w:vAlign w:val="bottom"/>
            <w:tcBorders>
              <w:right w:val="single" w:sz="8" w:color="E5E5E5"/>
            </w:tcBorders>
          </w:tcPr>
          <w:p>
            <w:pPr>
              <w:spacing w:after="0"/>
              <w:rPr>
                <w:sz w:val="18"/>
                <w:szCs w:val="18"/>
                <w:color w:val="auto"/>
              </w:rPr>
            </w:pPr>
          </w:p>
        </w:tc>
        <w:tc>
          <w:tcPr>
            <w:tcW w:w="106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8,999,846</w:t>
            </w:r>
          </w:p>
        </w:tc>
        <w:tc>
          <w:tcPr>
            <w:tcW w:w="120" w:type="dxa"/>
            <w:vAlign w:val="bottom"/>
            <w:tcBorders>
              <w:right w:val="single" w:sz="8" w:color="E5E5E5"/>
            </w:tcBorders>
          </w:tcPr>
          <w:p>
            <w:pPr>
              <w:spacing w:after="0"/>
              <w:rPr>
                <w:sz w:val="18"/>
                <w:szCs w:val="18"/>
                <w:color w:val="auto"/>
              </w:rPr>
            </w:pPr>
          </w:p>
        </w:tc>
        <w:tc>
          <w:tcPr>
            <w:tcW w:w="144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1,332,375</w:t>
            </w:r>
          </w:p>
        </w:tc>
        <w:tc>
          <w:tcPr>
            <w:tcW w:w="120" w:type="dxa"/>
            <w:vAlign w:val="bottom"/>
            <w:tcBorders>
              <w:right w:val="single" w:sz="8" w:color="E5E5E5"/>
            </w:tcBorders>
          </w:tcPr>
          <w:p>
            <w:pPr>
              <w:spacing w:after="0"/>
              <w:rPr>
                <w:sz w:val="18"/>
                <w:szCs w:val="18"/>
                <w:color w:val="auto"/>
              </w:rPr>
            </w:pPr>
          </w:p>
        </w:tc>
        <w:tc>
          <w:tcPr>
            <w:tcW w:w="134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720</w:t>
            </w:r>
          </w:p>
        </w:tc>
        <w:tc>
          <w:tcPr>
            <w:tcW w:w="120" w:type="dxa"/>
            <w:vAlign w:val="bottom"/>
            <w:tcBorders>
              <w:right w:val="single" w:sz="8" w:color="E5E5E5"/>
            </w:tcBorders>
          </w:tcPr>
          <w:p>
            <w:pPr>
              <w:spacing w:after="0"/>
              <w:rPr>
                <w:sz w:val="18"/>
                <w:szCs w:val="18"/>
                <w:color w:val="auto"/>
              </w:rPr>
            </w:pPr>
          </w:p>
        </w:tc>
        <w:tc>
          <w:tcPr>
            <w:tcW w:w="118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11,279,095</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DBDBDB"/>
            </w:tcBorders>
          </w:tcPr>
          <w:p>
            <w:pPr>
              <w:ind w:left="20"/>
              <w:spacing w:after="0" w:line="210" w:lineRule="exact"/>
              <w:rPr>
                <w:sz w:val="20"/>
                <w:szCs w:val="20"/>
                <w:color w:val="auto"/>
              </w:rPr>
            </w:pPr>
            <w:r>
              <w:rPr>
                <w:rFonts w:ascii="Arial" w:cs="Arial" w:eastAsia="Arial" w:hAnsi="Arial"/>
                <w:sz w:val="16"/>
                <w:szCs w:val="16"/>
                <w:b w:val="1"/>
                <w:bCs w:val="1"/>
                <w:color w:val="004A98"/>
              </w:rPr>
              <w:t xml:space="preserve">Todd B. Strubbe </w:t>
            </w:r>
            <w:r>
              <w:rPr>
                <w:rFonts w:ascii="Arial" w:cs="Arial" w:eastAsia="Arial" w:hAnsi="Arial"/>
                <w:sz w:val="21"/>
                <w:szCs w:val="21"/>
                <w:b w:val="1"/>
                <w:bCs w:val="1"/>
                <w:color w:val="004A98"/>
                <w:vertAlign w:val="superscript"/>
              </w:rPr>
              <w:t>(6)</w:t>
            </w:r>
          </w:p>
        </w:tc>
        <w:tc>
          <w:tcPr>
            <w:tcW w:w="120" w:type="dxa"/>
            <w:vAlign w:val="bottom"/>
          </w:tcPr>
          <w:p>
            <w:pPr>
              <w:spacing w:after="0"/>
              <w:rPr>
                <w:sz w:val="18"/>
                <w:szCs w:val="18"/>
                <w:color w:val="auto"/>
              </w:rPr>
            </w:pPr>
          </w:p>
        </w:tc>
        <w:tc>
          <w:tcPr>
            <w:tcW w:w="6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18"/>
                <w:szCs w:val="18"/>
                <w:color w:val="auto"/>
              </w:rPr>
            </w:pP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234,057</w:t>
            </w:r>
          </w:p>
        </w:tc>
        <w:tc>
          <w:tcPr>
            <w:tcW w:w="120" w:type="dxa"/>
            <w:vAlign w:val="bottom"/>
          </w:tcPr>
          <w:p>
            <w:pPr>
              <w:spacing w:after="0"/>
              <w:rPr>
                <w:sz w:val="18"/>
                <w:szCs w:val="18"/>
                <w:color w:val="auto"/>
              </w:rPr>
            </w:pPr>
          </w:p>
        </w:tc>
        <w:tc>
          <w:tcPr>
            <w:tcW w:w="10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3,499,661</w:t>
            </w:r>
          </w:p>
        </w:tc>
        <w:tc>
          <w:tcPr>
            <w:tcW w:w="120" w:type="dxa"/>
            <w:vAlign w:val="bottom"/>
          </w:tcPr>
          <w:p>
            <w:pPr>
              <w:spacing w:after="0"/>
              <w:rPr>
                <w:sz w:val="18"/>
                <w:szCs w:val="18"/>
                <w:color w:val="auto"/>
              </w:rPr>
            </w:pPr>
          </w:p>
        </w:tc>
        <w:tc>
          <w:tcPr>
            <w:tcW w:w="14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3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10,605</w:t>
            </w:r>
          </w:p>
        </w:tc>
        <w:tc>
          <w:tcPr>
            <w:tcW w:w="120" w:type="dxa"/>
            <w:vAlign w:val="bottom"/>
          </w:tcPr>
          <w:p>
            <w:pPr>
              <w:spacing w:after="0"/>
              <w:rPr>
                <w:sz w:val="18"/>
                <w:szCs w:val="18"/>
                <w:color w:val="auto"/>
              </w:rPr>
            </w:pPr>
          </w:p>
        </w:tc>
        <w:tc>
          <w:tcPr>
            <w:tcW w:w="11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3,744,323</w:t>
            </w:r>
          </w:p>
        </w:tc>
        <w:tc>
          <w:tcPr>
            <w:tcW w:w="0" w:type="dxa"/>
            <w:vAlign w:val="bottom"/>
          </w:tcPr>
          <w:p>
            <w:pPr>
              <w:spacing w:after="0"/>
              <w:rPr>
                <w:sz w:val="1"/>
                <w:szCs w:val="1"/>
                <w:color w:val="auto"/>
              </w:rPr>
            </w:pPr>
          </w:p>
        </w:tc>
      </w:tr>
      <w:tr>
        <w:trPr>
          <w:trHeight w:val="209"/>
        </w:trPr>
        <w:tc>
          <w:tcPr>
            <w:tcW w:w="3900" w:type="dxa"/>
            <w:vAlign w:val="bottom"/>
            <w:tcBorders>
              <w:bottom w:val="single" w:sz="8" w:color="DBDBDB"/>
            </w:tcBorders>
          </w:tcPr>
          <w:p>
            <w:pPr>
              <w:ind w:left="60"/>
              <w:spacing w:after="0"/>
              <w:rPr>
                <w:sz w:val="20"/>
                <w:szCs w:val="20"/>
                <w:color w:val="auto"/>
              </w:rPr>
            </w:pPr>
            <w:r>
              <w:rPr>
                <w:rFonts w:ascii="Arial" w:cs="Arial" w:eastAsia="Arial" w:hAnsi="Arial"/>
                <w:sz w:val="16"/>
                <w:szCs w:val="16"/>
                <w:color w:val="auto"/>
              </w:rPr>
              <w:t>Former President and Chief</w:t>
            </w:r>
          </w:p>
        </w:tc>
        <w:tc>
          <w:tcPr>
            <w:tcW w:w="120" w:type="dxa"/>
            <w:vAlign w:val="bottom"/>
          </w:tcPr>
          <w:p>
            <w:pPr>
              <w:spacing w:after="0"/>
              <w:rPr>
                <w:sz w:val="18"/>
                <w:szCs w:val="18"/>
                <w:color w:val="auto"/>
              </w:rPr>
            </w:pPr>
          </w:p>
        </w:tc>
        <w:tc>
          <w:tcPr>
            <w:tcW w:w="6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8"/>
                <w:szCs w:val="18"/>
                <w:color w:val="auto"/>
              </w:rPr>
            </w:pP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590,000</w:t>
            </w:r>
          </w:p>
        </w:tc>
        <w:tc>
          <w:tcPr>
            <w:tcW w:w="120" w:type="dxa"/>
            <w:vAlign w:val="bottom"/>
          </w:tcPr>
          <w:p>
            <w:pPr>
              <w:spacing w:after="0"/>
              <w:rPr>
                <w:sz w:val="18"/>
                <w:szCs w:val="18"/>
                <w:color w:val="auto"/>
              </w:rPr>
            </w:pPr>
          </w:p>
        </w:tc>
        <w:tc>
          <w:tcPr>
            <w:tcW w:w="10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3,499,583</w:t>
            </w:r>
          </w:p>
        </w:tc>
        <w:tc>
          <w:tcPr>
            <w:tcW w:w="120" w:type="dxa"/>
            <w:vAlign w:val="bottom"/>
          </w:tcPr>
          <w:p>
            <w:pPr>
              <w:spacing w:after="0"/>
              <w:rPr>
                <w:sz w:val="18"/>
                <w:szCs w:val="18"/>
                <w:color w:val="auto"/>
              </w:rPr>
            </w:pPr>
          </w:p>
        </w:tc>
        <w:tc>
          <w:tcPr>
            <w:tcW w:w="14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523,920</w:t>
            </w:r>
          </w:p>
        </w:tc>
        <w:tc>
          <w:tcPr>
            <w:tcW w:w="120" w:type="dxa"/>
            <w:vAlign w:val="bottom"/>
          </w:tcPr>
          <w:p>
            <w:pPr>
              <w:spacing w:after="0"/>
              <w:rPr>
                <w:sz w:val="18"/>
                <w:szCs w:val="18"/>
                <w:color w:val="auto"/>
              </w:rPr>
            </w:pPr>
          </w:p>
        </w:tc>
        <w:tc>
          <w:tcPr>
            <w:tcW w:w="13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11,970</w:t>
            </w:r>
          </w:p>
        </w:tc>
        <w:tc>
          <w:tcPr>
            <w:tcW w:w="120" w:type="dxa"/>
            <w:vAlign w:val="bottom"/>
          </w:tcPr>
          <w:p>
            <w:pPr>
              <w:spacing w:after="0"/>
              <w:rPr>
                <w:sz w:val="18"/>
                <w:szCs w:val="18"/>
                <w:color w:val="auto"/>
              </w:rPr>
            </w:pPr>
          </w:p>
        </w:tc>
        <w:tc>
          <w:tcPr>
            <w:tcW w:w="11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4,625,473</w:t>
            </w:r>
          </w:p>
        </w:tc>
        <w:tc>
          <w:tcPr>
            <w:tcW w:w="0" w:type="dxa"/>
            <w:vAlign w:val="bottom"/>
          </w:tcPr>
          <w:p>
            <w:pPr>
              <w:spacing w:after="0"/>
              <w:rPr>
                <w:sz w:val="1"/>
                <w:szCs w:val="1"/>
                <w:color w:val="auto"/>
              </w:rPr>
            </w:pPr>
          </w:p>
        </w:tc>
      </w:tr>
      <w:tr>
        <w:trPr>
          <w:trHeight w:val="210"/>
        </w:trPr>
        <w:tc>
          <w:tcPr>
            <w:tcW w:w="3900" w:type="dxa"/>
            <w:vAlign w:val="bottom"/>
          </w:tcPr>
          <w:p>
            <w:pPr>
              <w:ind w:left="60"/>
              <w:spacing w:after="0"/>
              <w:rPr>
                <w:sz w:val="20"/>
                <w:szCs w:val="20"/>
                <w:color w:val="auto"/>
              </w:rPr>
            </w:pPr>
            <w:r>
              <w:rPr>
                <w:rFonts w:ascii="Arial" w:cs="Arial" w:eastAsia="Arial" w:hAnsi="Arial"/>
                <w:sz w:val="16"/>
                <w:szCs w:val="16"/>
                <w:color w:val="auto"/>
              </w:rPr>
              <w:t>Operating Officer</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2022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587,692</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3,499,821</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551,650</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10,970</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4,650,133</w:t>
            </w:r>
          </w:p>
        </w:tc>
        <w:tc>
          <w:tcPr>
            <w:tcW w:w="0" w:type="dxa"/>
            <w:vAlign w:val="bottom"/>
          </w:tcPr>
          <w:p>
            <w:pPr>
              <w:spacing w:after="0"/>
              <w:rPr>
                <w:sz w:val="1"/>
                <w:szCs w:val="1"/>
                <w:color w:val="auto"/>
              </w:rPr>
            </w:pPr>
          </w:p>
        </w:tc>
      </w:tr>
      <w:tr>
        <w:trPr>
          <w:trHeight w:val="210"/>
        </w:trPr>
        <w:tc>
          <w:tcPr>
            <w:tcW w:w="3900" w:type="dxa"/>
            <w:vAlign w:val="bottom"/>
            <w:tcBorders>
              <w:top w:val="single" w:sz="8" w:color="B6B6B6"/>
              <w:bottom w:val="single" w:sz="8" w:color="DBDBDB"/>
            </w:tcBorders>
            <w:shd w:val="clear" w:color="auto" w:fill="E6E7E8"/>
          </w:tcPr>
          <w:p>
            <w:pPr>
              <w:ind w:left="20"/>
              <w:spacing w:after="0"/>
              <w:rPr>
                <w:sz w:val="20"/>
                <w:szCs w:val="20"/>
                <w:color w:val="auto"/>
              </w:rPr>
            </w:pPr>
            <w:r>
              <w:rPr>
                <w:rFonts w:ascii="Arial" w:cs="Arial" w:eastAsia="Arial" w:hAnsi="Arial"/>
                <w:sz w:val="16"/>
                <w:szCs w:val="16"/>
                <w:b w:val="1"/>
                <w:bCs w:val="1"/>
                <w:color w:val="004A98"/>
              </w:rPr>
              <w:t>George E. Kilguss, III</w:t>
            </w:r>
          </w:p>
        </w:tc>
        <w:tc>
          <w:tcPr>
            <w:tcW w:w="120" w:type="dxa"/>
            <w:vAlign w:val="bottom"/>
            <w:tcBorders>
              <w:right w:val="single" w:sz="8" w:color="E5E5E5"/>
            </w:tcBorders>
          </w:tcPr>
          <w:p>
            <w:pPr>
              <w:spacing w:after="0"/>
              <w:rPr>
                <w:sz w:val="18"/>
                <w:szCs w:val="18"/>
                <w:color w:val="auto"/>
              </w:rPr>
            </w:pPr>
          </w:p>
        </w:tc>
        <w:tc>
          <w:tcPr>
            <w:tcW w:w="680" w:type="dxa"/>
            <w:vAlign w:val="bottom"/>
            <w:tcBorders>
              <w:top w:val="single" w:sz="8" w:color="B6B6B6"/>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2024</w:t>
            </w:r>
          </w:p>
        </w:tc>
        <w:tc>
          <w:tcPr>
            <w:tcW w:w="120" w:type="dxa"/>
            <w:vAlign w:val="bottom"/>
            <w:tcBorders>
              <w:right w:val="single" w:sz="8" w:color="E5E5E5"/>
            </w:tcBorders>
          </w:tcPr>
          <w:p>
            <w:pPr>
              <w:spacing w:after="0"/>
              <w:rPr>
                <w:sz w:val="18"/>
                <w:szCs w:val="18"/>
                <w:color w:val="auto"/>
              </w:rPr>
            </w:pPr>
          </w:p>
        </w:tc>
        <w:tc>
          <w:tcPr>
            <w:tcW w:w="920" w:type="dxa"/>
            <w:vAlign w:val="bottom"/>
            <w:tcBorders>
              <w:top w:val="single" w:sz="8" w:color="B6B6B6"/>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555,000</w:t>
            </w:r>
          </w:p>
        </w:tc>
        <w:tc>
          <w:tcPr>
            <w:tcW w:w="120" w:type="dxa"/>
            <w:vAlign w:val="bottom"/>
            <w:tcBorders>
              <w:right w:val="single" w:sz="8" w:color="E5E5E5"/>
            </w:tcBorders>
          </w:tcPr>
          <w:p>
            <w:pPr>
              <w:spacing w:after="0"/>
              <w:rPr>
                <w:sz w:val="18"/>
                <w:szCs w:val="18"/>
                <w:color w:val="auto"/>
              </w:rPr>
            </w:pPr>
          </w:p>
        </w:tc>
        <w:tc>
          <w:tcPr>
            <w:tcW w:w="1060" w:type="dxa"/>
            <w:vAlign w:val="bottom"/>
            <w:tcBorders>
              <w:top w:val="single" w:sz="8" w:color="B6B6B6"/>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3,501,619</w:t>
            </w:r>
          </w:p>
        </w:tc>
        <w:tc>
          <w:tcPr>
            <w:tcW w:w="120" w:type="dxa"/>
            <w:vAlign w:val="bottom"/>
            <w:tcBorders>
              <w:right w:val="single" w:sz="8" w:color="E5E5E5"/>
            </w:tcBorders>
          </w:tcPr>
          <w:p>
            <w:pPr>
              <w:spacing w:after="0"/>
              <w:rPr>
                <w:sz w:val="18"/>
                <w:szCs w:val="18"/>
                <w:color w:val="auto"/>
              </w:rPr>
            </w:pPr>
          </w:p>
        </w:tc>
        <w:tc>
          <w:tcPr>
            <w:tcW w:w="1440" w:type="dxa"/>
            <w:vAlign w:val="bottom"/>
            <w:tcBorders>
              <w:top w:val="single" w:sz="8" w:color="B6B6B6"/>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534,465</w:t>
            </w:r>
          </w:p>
        </w:tc>
        <w:tc>
          <w:tcPr>
            <w:tcW w:w="120" w:type="dxa"/>
            <w:vAlign w:val="bottom"/>
            <w:tcBorders>
              <w:right w:val="single" w:sz="8" w:color="E5E5E5"/>
            </w:tcBorders>
          </w:tcPr>
          <w:p>
            <w:pPr>
              <w:spacing w:after="0"/>
              <w:rPr>
                <w:sz w:val="18"/>
                <w:szCs w:val="18"/>
                <w:color w:val="auto"/>
              </w:rPr>
            </w:pPr>
          </w:p>
        </w:tc>
        <w:tc>
          <w:tcPr>
            <w:tcW w:w="1340" w:type="dxa"/>
            <w:vAlign w:val="bottom"/>
            <w:tcBorders>
              <w:top w:val="single" w:sz="8" w:color="B6B6B6"/>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12,220</w:t>
            </w:r>
          </w:p>
        </w:tc>
        <w:tc>
          <w:tcPr>
            <w:tcW w:w="120" w:type="dxa"/>
            <w:vAlign w:val="bottom"/>
            <w:tcBorders>
              <w:right w:val="single" w:sz="8" w:color="E5E5E5"/>
            </w:tcBorders>
          </w:tcPr>
          <w:p>
            <w:pPr>
              <w:spacing w:after="0"/>
              <w:rPr>
                <w:sz w:val="18"/>
                <w:szCs w:val="18"/>
                <w:color w:val="auto"/>
              </w:rPr>
            </w:pPr>
          </w:p>
        </w:tc>
        <w:tc>
          <w:tcPr>
            <w:tcW w:w="1180" w:type="dxa"/>
            <w:vAlign w:val="bottom"/>
            <w:tcBorders>
              <w:top w:val="single" w:sz="8" w:color="B6B6B6"/>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4,603,304</w:t>
            </w:r>
          </w:p>
        </w:tc>
        <w:tc>
          <w:tcPr>
            <w:tcW w:w="0" w:type="dxa"/>
            <w:vAlign w:val="bottom"/>
          </w:tcPr>
          <w:p>
            <w:pPr>
              <w:spacing w:after="0"/>
              <w:rPr>
                <w:sz w:val="1"/>
                <w:szCs w:val="1"/>
                <w:color w:val="auto"/>
              </w:rPr>
            </w:pPr>
          </w:p>
        </w:tc>
      </w:tr>
      <w:tr>
        <w:trPr>
          <w:trHeight w:val="209"/>
        </w:trPr>
        <w:tc>
          <w:tcPr>
            <w:tcW w:w="3900" w:type="dxa"/>
            <w:vAlign w:val="bottom"/>
            <w:tcBorders>
              <w:bottom w:val="single" w:sz="8" w:color="DBDBDB"/>
            </w:tcBorders>
            <w:shd w:val="clear" w:color="auto" w:fill="E6E7E8"/>
          </w:tcPr>
          <w:p>
            <w:pPr>
              <w:ind w:left="60"/>
              <w:spacing w:after="0"/>
              <w:rPr>
                <w:sz w:val="20"/>
                <w:szCs w:val="20"/>
                <w:color w:val="auto"/>
              </w:rPr>
            </w:pPr>
            <w:r>
              <w:rPr>
                <w:rFonts w:ascii="Arial" w:cs="Arial" w:eastAsia="Arial" w:hAnsi="Arial"/>
                <w:sz w:val="16"/>
                <w:szCs w:val="16"/>
                <w:color w:val="auto"/>
              </w:rPr>
              <w:t>Executive Vice President,</w:t>
            </w:r>
          </w:p>
        </w:tc>
        <w:tc>
          <w:tcPr>
            <w:tcW w:w="120" w:type="dxa"/>
            <w:vAlign w:val="bottom"/>
            <w:tcBorders>
              <w:right w:val="single" w:sz="8" w:color="E5E5E5"/>
            </w:tcBorders>
          </w:tcPr>
          <w:p>
            <w:pPr>
              <w:spacing w:after="0"/>
              <w:rPr>
                <w:sz w:val="18"/>
                <w:szCs w:val="18"/>
                <w:color w:val="auto"/>
              </w:rPr>
            </w:pPr>
          </w:p>
        </w:tc>
        <w:tc>
          <w:tcPr>
            <w:tcW w:w="68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2023</w:t>
            </w:r>
          </w:p>
        </w:tc>
        <w:tc>
          <w:tcPr>
            <w:tcW w:w="120" w:type="dxa"/>
            <w:vAlign w:val="bottom"/>
            <w:tcBorders>
              <w:right w:val="single" w:sz="8" w:color="E5E5E5"/>
            </w:tcBorders>
          </w:tcPr>
          <w:p>
            <w:pPr>
              <w:spacing w:after="0"/>
              <w:rPr>
                <w:sz w:val="18"/>
                <w:szCs w:val="18"/>
                <w:color w:val="auto"/>
              </w:rPr>
            </w:pPr>
          </w:p>
        </w:tc>
        <w:tc>
          <w:tcPr>
            <w:tcW w:w="92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554,231</w:t>
            </w:r>
          </w:p>
        </w:tc>
        <w:tc>
          <w:tcPr>
            <w:tcW w:w="120" w:type="dxa"/>
            <w:vAlign w:val="bottom"/>
            <w:tcBorders>
              <w:right w:val="single" w:sz="8" w:color="E5E5E5"/>
            </w:tcBorders>
          </w:tcPr>
          <w:p>
            <w:pPr>
              <w:spacing w:after="0"/>
              <w:rPr>
                <w:sz w:val="18"/>
                <w:szCs w:val="18"/>
                <w:color w:val="auto"/>
              </w:rPr>
            </w:pPr>
          </w:p>
        </w:tc>
        <w:tc>
          <w:tcPr>
            <w:tcW w:w="106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3,199,862</w:t>
            </w:r>
          </w:p>
        </w:tc>
        <w:tc>
          <w:tcPr>
            <w:tcW w:w="120" w:type="dxa"/>
            <w:vAlign w:val="bottom"/>
            <w:tcBorders>
              <w:right w:val="single" w:sz="8" w:color="E5E5E5"/>
            </w:tcBorders>
          </w:tcPr>
          <w:p>
            <w:pPr>
              <w:spacing w:after="0"/>
              <w:rPr>
                <w:sz w:val="18"/>
                <w:szCs w:val="18"/>
                <w:color w:val="auto"/>
              </w:rPr>
            </w:pPr>
          </w:p>
        </w:tc>
        <w:tc>
          <w:tcPr>
            <w:tcW w:w="144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492,840</w:t>
            </w:r>
          </w:p>
        </w:tc>
        <w:tc>
          <w:tcPr>
            <w:tcW w:w="120" w:type="dxa"/>
            <w:vAlign w:val="bottom"/>
            <w:tcBorders>
              <w:right w:val="single" w:sz="8" w:color="E5E5E5"/>
            </w:tcBorders>
          </w:tcPr>
          <w:p>
            <w:pPr>
              <w:spacing w:after="0"/>
              <w:rPr>
                <w:sz w:val="18"/>
                <w:szCs w:val="18"/>
                <w:color w:val="auto"/>
              </w:rPr>
            </w:pPr>
          </w:p>
        </w:tc>
        <w:tc>
          <w:tcPr>
            <w:tcW w:w="134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11,970</w:t>
            </w:r>
          </w:p>
        </w:tc>
        <w:tc>
          <w:tcPr>
            <w:tcW w:w="120" w:type="dxa"/>
            <w:vAlign w:val="bottom"/>
            <w:tcBorders>
              <w:right w:val="single" w:sz="8" w:color="E5E5E5"/>
            </w:tcBorders>
          </w:tcPr>
          <w:p>
            <w:pPr>
              <w:spacing w:after="0"/>
              <w:rPr>
                <w:sz w:val="18"/>
                <w:szCs w:val="18"/>
                <w:color w:val="auto"/>
              </w:rPr>
            </w:pPr>
          </w:p>
        </w:tc>
        <w:tc>
          <w:tcPr>
            <w:tcW w:w="118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4,258,903</w:t>
            </w:r>
          </w:p>
        </w:tc>
        <w:tc>
          <w:tcPr>
            <w:tcW w:w="0" w:type="dxa"/>
            <w:vAlign w:val="bottom"/>
          </w:tcPr>
          <w:p>
            <w:pPr>
              <w:spacing w:after="0"/>
              <w:rPr>
                <w:sz w:val="1"/>
                <w:szCs w:val="1"/>
                <w:color w:val="auto"/>
              </w:rPr>
            </w:pPr>
          </w:p>
        </w:tc>
      </w:tr>
      <w:tr>
        <w:trPr>
          <w:trHeight w:val="209"/>
        </w:trPr>
        <w:tc>
          <w:tcPr>
            <w:tcW w:w="3900" w:type="dxa"/>
            <w:vAlign w:val="bottom"/>
            <w:tcBorders>
              <w:bottom w:val="single" w:sz="8" w:color="B6B6B6"/>
            </w:tcBorders>
            <w:shd w:val="clear" w:color="auto" w:fill="E6E7E8"/>
          </w:tcPr>
          <w:p>
            <w:pPr>
              <w:ind w:left="60"/>
              <w:spacing w:after="0"/>
              <w:rPr>
                <w:sz w:val="20"/>
                <w:szCs w:val="20"/>
                <w:color w:val="auto"/>
              </w:rPr>
            </w:pPr>
            <w:r>
              <w:rPr>
                <w:rFonts w:ascii="Arial" w:cs="Arial" w:eastAsia="Arial" w:hAnsi="Arial"/>
                <w:sz w:val="16"/>
                <w:szCs w:val="16"/>
                <w:color w:val="auto"/>
              </w:rPr>
              <w:t>Chief Financial Officer</w:t>
            </w:r>
          </w:p>
        </w:tc>
        <w:tc>
          <w:tcPr>
            <w:tcW w:w="120" w:type="dxa"/>
            <w:vAlign w:val="bottom"/>
            <w:tcBorders>
              <w:right w:val="single" w:sz="8" w:color="E5E5E5"/>
            </w:tcBorders>
          </w:tcPr>
          <w:p>
            <w:pPr>
              <w:spacing w:after="0"/>
              <w:rPr>
                <w:sz w:val="18"/>
                <w:szCs w:val="18"/>
                <w:color w:val="auto"/>
              </w:rPr>
            </w:pPr>
          </w:p>
        </w:tc>
        <w:tc>
          <w:tcPr>
            <w:tcW w:w="68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2022</w:t>
            </w:r>
          </w:p>
        </w:tc>
        <w:tc>
          <w:tcPr>
            <w:tcW w:w="120" w:type="dxa"/>
            <w:vAlign w:val="bottom"/>
            <w:tcBorders>
              <w:right w:val="single" w:sz="8" w:color="E5E5E5"/>
            </w:tcBorders>
          </w:tcPr>
          <w:p>
            <w:pPr>
              <w:spacing w:after="0"/>
              <w:rPr>
                <w:sz w:val="18"/>
                <w:szCs w:val="18"/>
                <w:color w:val="auto"/>
              </w:rPr>
            </w:pPr>
          </w:p>
        </w:tc>
        <w:tc>
          <w:tcPr>
            <w:tcW w:w="92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546,923</w:t>
            </w:r>
          </w:p>
        </w:tc>
        <w:tc>
          <w:tcPr>
            <w:tcW w:w="120" w:type="dxa"/>
            <w:vAlign w:val="bottom"/>
            <w:tcBorders>
              <w:right w:val="single" w:sz="8" w:color="E5E5E5"/>
            </w:tcBorders>
          </w:tcPr>
          <w:p>
            <w:pPr>
              <w:spacing w:after="0"/>
              <w:rPr>
                <w:sz w:val="18"/>
                <w:szCs w:val="18"/>
                <w:color w:val="auto"/>
              </w:rPr>
            </w:pPr>
          </w:p>
        </w:tc>
        <w:tc>
          <w:tcPr>
            <w:tcW w:w="106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2,799,772</w:t>
            </w:r>
          </w:p>
        </w:tc>
        <w:tc>
          <w:tcPr>
            <w:tcW w:w="120" w:type="dxa"/>
            <w:vAlign w:val="bottom"/>
            <w:tcBorders>
              <w:right w:val="single" w:sz="8" w:color="E5E5E5"/>
            </w:tcBorders>
          </w:tcPr>
          <w:p>
            <w:pPr>
              <w:spacing w:after="0"/>
              <w:rPr>
                <w:sz w:val="18"/>
                <w:szCs w:val="18"/>
                <w:color w:val="auto"/>
              </w:rPr>
            </w:pPr>
          </w:p>
        </w:tc>
        <w:tc>
          <w:tcPr>
            <w:tcW w:w="144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488,538</w:t>
            </w:r>
          </w:p>
        </w:tc>
        <w:tc>
          <w:tcPr>
            <w:tcW w:w="120" w:type="dxa"/>
            <w:vAlign w:val="bottom"/>
            <w:tcBorders>
              <w:right w:val="single" w:sz="8" w:color="E5E5E5"/>
            </w:tcBorders>
          </w:tcPr>
          <w:p>
            <w:pPr>
              <w:spacing w:after="0"/>
              <w:rPr>
                <w:sz w:val="18"/>
                <w:szCs w:val="18"/>
                <w:color w:val="auto"/>
              </w:rPr>
            </w:pPr>
          </w:p>
        </w:tc>
        <w:tc>
          <w:tcPr>
            <w:tcW w:w="134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10,970</w:t>
            </w:r>
          </w:p>
        </w:tc>
        <w:tc>
          <w:tcPr>
            <w:tcW w:w="120" w:type="dxa"/>
            <w:vAlign w:val="bottom"/>
            <w:tcBorders>
              <w:right w:val="single" w:sz="8" w:color="E5E5E5"/>
            </w:tcBorders>
          </w:tcPr>
          <w:p>
            <w:pPr>
              <w:spacing w:after="0"/>
              <w:rPr>
                <w:sz w:val="18"/>
                <w:szCs w:val="18"/>
                <w:color w:val="auto"/>
              </w:rPr>
            </w:pPr>
          </w:p>
        </w:tc>
        <w:tc>
          <w:tcPr>
            <w:tcW w:w="118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3,846,203</w:t>
            </w:r>
          </w:p>
        </w:tc>
        <w:tc>
          <w:tcPr>
            <w:tcW w:w="0" w:type="dxa"/>
            <w:vAlign w:val="bottom"/>
          </w:tcPr>
          <w:p>
            <w:pPr>
              <w:spacing w:after="0"/>
              <w:rPr>
                <w:sz w:val="1"/>
                <w:szCs w:val="1"/>
                <w:color w:val="auto"/>
              </w:rPr>
            </w:pPr>
          </w:p>
        </w:tc>
      </w:tr>
      <w:tr>
        <w:trPr>
          <w:trHeight w:val="210"/>
        </w:trPr>
        <w:tc>
          <w:tcPr>
            <w:tcW w:w="3900" w:type="dxa"/>
            <w:vAlign w:val="bottom"/>
            <w:tcBorders>
              <w:bottom w:val="single" w:sz="8" w:color="DBDBDB"/>
            </w:tcBorders>
          </w:tcPr>
          <w:p>
            <w:pPr>
              <w:ind w:left="20"/>
              <w:spacing w:after="0"/>
              <w:rPr>
                <w:sz w:val="20"/>
                <w:szCs w:val="20"/>
                <w:color w:val="auto"/>
              </w:rPr>
            </w:pPr>
            <w:r>
              <w:rPr>
                <w:rFonts w:ascii="Arial" w:cs="Arial" w:eastAsia="Arial" w:hAnsi="Arial"/>
                <w:sz w:val="16"/>
                <w:szCs w:val="16"/>
                <w:b w:val="1"/>
                <w:bCs w:val="1"/>
                <w:color w:val="004A98"/>
              </w:rPr>
              <w:t>Danny R. McPherson</w:t>
            </w:r>
          </w:p>
        </w:tc>
        <w:tc>
          <w:tcPr>
            <w:tcW w:w="120" w:type="dxa"/>
            <w:vAlign w:val="bottom"/>
          </w:tcPr>
          <w:p>
            <w:pPr>
              <w:spacing w:after="0"/>
              <w:rPr>
                <w:sz w:val="18"/>
                <w:szCs w:val="18"/>
                <w:color w:val="auto"/>
              </w:rPr>
            </w:pPr>
          </w:p>
        </w:tc>
        <w:tc>
          <w:tcPr>
            <w:tcW w:w="6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2024</w:t>
            </w:r>
          </w:p>
        </w:tc>
        <w:tc>
          <w:tcPr>
            <w:tcW w:w="120" w:type="dxa"/>
            <w:vAlign w:val="bottom"/>
          </w:tcPr>
          <w:p>
            <w:pPr>
              <w:spacing w:after="0"/>
              <w:rPr>
                <w:sz w:val="18"/>
                <w:szCs w:val="18"/>
                <w:color w:val="auto"/>
              </w:rPr>
            </w:pP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555,000</w:t>
            </w:r>
          </w:p>
        </w:tc>
        <w:tc>
          <w:tcPr>
            <w:tcW w:w="120" w:type="dxa"/>
            <w:vAlign w:val="bottom"/>
          </w:tcPr>
          <w:p>
            <w:pPr>
              <w:spacing w:after="0"/>
              <w:rPr>
                <w:sz w:val="18"/>
                <w:szCs w:val="18"/>
                <w:color w:val="auto"/>
              </w:rPr>
            </w:pPr>
          </w:p>
        </w:tc>
        <w:tc>
          <w:tcPr>
            <w:tcW w:w="10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3,501,619</w:t>
            </w:r>
          </w:p>
        </w:tc>
        <w:tc>
          <w:tcPr>
            <w:tcW w:w="120" w:type="dxa"/>
            <w:vAlign w:val="bottom"/>
          </w:tcPr>
          <w:p>
            <w:pPr>
              <w:spacing w:after="0"/>
              <w:rPr>
                <w:sz w:val="18"/>
                <w:szCs w:val="18"/>
                <w:color w:val="auto"/>
              </w:rPr>
            </w:pPr>
          </w:p>
        </w:tc>
        <w:tc>
          <w:tcPr>
            <w:tcW w:w="14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534,465</w:t>
            </w:r>
          </w:p>
        </w:tc>
        <w:tc>
          <w:tcPr>
            <w:tcW w:w="120" w:type="dxa"/>
            <w:vAlign w:val="bottom"/>
          </w:tcPr>
          <w:p>
            <w:pPr>
              <w:spacing w:after="0"/>
              <w:rPr>
                <w:sz w:val="18"/>
                <w:szCs w:val="18"/>
                <w:color w:val="auto"/>
              </w:rPr>
            </w:pPr>
          </w:p>
        </w:tc>
        <w:tc>
          <w:tcPr>
            <w:tcW w:w="13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12,220</w:t>
            </w:r>
          </w:p>
        </w:tc>
        <w:tc>
          <w:tcPr>
            <w:tcW w:w="120" w:type="dxa"/>
            <w:vAlign w:val="bottom"/>
          </w:tcPr>
          <w:p>
            <w:pPr>
              <w:spacing w:after="0"/>
              <w:rPr>
                <w:sz w:val="18"/>
                <w:szCs w:val="18"/>
                <w:color w:val="auto"/>
              </w:rPr>
            </w:pPr>
          </w:p>
        </w:tc>
        <w:tc>
          <w:tcPr>
            <w:tcW w:w="11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4,603,304</w:t>
            </w:r>
          </w:p>
        </w:tc>
        <w:tc>
          <w:tcPr>
            <w:tcW w:w="0" w:type="dxa"/>
            <w:vAlign w:val="bottom"/>
          </w:tcPr>
          <w:p>
            <w:pPr>
              <w:spacing w:after="0"/>
              <w:rPr>
                <w:sz w:val="1"/>
                <w:szCs w:val="1"/>
                <w:color w:val="auto"/>
              </w:rPr>
            </w:pPr>
          </w:p>
        </w:tc>
      </w:tr>
      <w:tr>
        <w:trPr>
          <w:trHeight w:val="209"/>
        </w:trPr>
        <w:tc>
          <w:tcPr>
            <w:tcW w:w="3900" w:type="dxa"/>
            <w:vAlign w:val="bottom"/>
            <w:tcBorders>
              <w:bottom w:val="single" w:sz="8" w:color="DBDBDB"/>
            </w:tcBorders>
          </w:tcPr>
          <w:p>
            <w:pPr>
              <w:ind w:left="60"/>
              <w:spacing w:after="0"/>
              <w:rPr>
                <w:sz w:val="20"/>
                <w:szCs w:val="20"/>
                <w:color w:val="auto"/>
              </w:rPr>
            </w:pPr>
            <w:r>
              <w:rPr>
                <w:rFonts w:ascii="Arial" w:cs="Arial" w:eastAsia="Arial" w:hAnsi="Arial"/>
                <w:sz w:val="16"/>
                <w:szCs w:val="16"/>
                <w:color w:val="auto"/>
              </w:rPr>
              <w:t>Executive Vice President,</w:t>
            </w:r>
          </w:p>
        </w:tc>
        <w:tc>
          <w:tcPr>
            <w:tcW w:w="120" w:type="dxa"/>
            <w:vAlign w:val="bottom"/>
          </w:tcPr>
          <w:p>
            <w:pPr>
              <w:spacing w:after="0"/>
              <w:rPr>
                <w:sz w:val="18"/>
                <w:szCs w:val="18"/>
                <w:color w:val="auto"/>
              </w:rPr>
            </w:pPr>
          </w:p>
        </w:tc>
        <w:tc>
          <w:tcPr>
            <w:tcW w:w="6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2023</w:t>
            </w:r>
          </w:p>
        </w:tc>
        <w:tc>
          <w:tcPr>
            <w:tcW w:w="120" w:type="dxa"/>
            <w:vAlign w:val="bottom"/>
          </w:tcPr>
          <w:p>
            <w:pPr>
              <w:spacing w:after="0"/>
              <w:rPr>
                <w:sz w:val="18"/>
                <w:szCs w:val="18"/>
                <w:color w:val="auto"/>
              </w:rPr>
            </w:pPr>
          </w:p>
        </w:tc>
        <w:tc>
          <w:tcPr>
            <w:tcW w:w="92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554,231</w:t>
            </w:r>
          </w:p>
        </w:tc>
        <w:tc>
          <w:tcPr>
            <w:tcW w:w="120" w:type="dxa"/>
            <w:vAlign w:val="bottom"/>
          </w:tcPr>
          <w:p>
            <w:pPr>
              <w:spacing w:after="0"/>
              <w:rPr>
                <w:sz w:val="18"/>
                <w:szCs w:val="18"/>
                <w:color w:val="auto"/>
              </w:rPr>
            </w:pPr>
          </w:p>
        </w:tc>
        <w:tc>
          <w:tcPr>
            <w:tcW w:w="106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3,199,862</w:t>
            </w:r>
          </w:p>
        </w:tc>
        <w:tc>
          <w:tcPr>
            <w:tcW w:w="120" w:type="dxa"/>
            <w:vAlign w:val="bottom"/>
          </w:tcPr>
          <w:p>
            <w:pPr>
              <w:spacing w:after="0"/>
              <w:rPr>
                <w:sz w:val="18"/>
                <w:szCs w:val="18"/>
                <w:color w:val="auto"/>
              </w:rPr>
            </w:pPr>
          </w:p>
        </w:tc>
        <w:tc>
          <w:tcPr>
            <w:tcW w:w="14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492,840</w:t>
            </w:r>
          </w:p>
        </w:tc>
        <w:tc>
          <w:tcPr>
            <w:tcW w:w="120" w:type="dxa"/>
            <w:vAlign w:val="bottom"/>
          </w:tcPr>
          <w:p>
            <w:pPr>
              <w:spacing w:after="0"/>
              <w:rPr>
                <w:sz w:val="18"/>
                <w:szCs w:val="18"/>
                <w:color w:val="auto"/>
              </w:rPr>
            </w:pPr>
          </w:p>
        </w:tc>
        <w:tc>
          <w:tcPr>
            <w:tcW w:w="134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11,970</w:t>
            </w:r>
          </w:p>
        </w:tc>
        <w:tc>
          <w:tcPr>
            <w:tcW w:w="120" w:type="dxa"/>
            <w:vAlign w:val="bottom"/>
          </w:tcPr>
          <w:p>
            <w:pPr>
              <w:spacing w:after="0"/>
              <w:rPr>
                <w:sz w:val="18"/>
                <w:szCs w:val="18"/>
                <w:color w:val="auto"/>
              </w:rPr>
            </w:pPr>
          </w:p>
        </w:tc>
        <w:tc>
          <w:tcPr>
            <w:tcW w:w="1180" w:type="dxa"/>
            <w:vAlign w:val="bottom"/>
            <w:tcBorders>
              <w:bottom w:val="single" w:sz="8" w:color="B6B6B6"/>
            </w:tcBorders>
          </w:tcPr>
          <w:p>
            <w:pPr>
              <w:jc w:val="right"/>
              <w:spacing w:after="0"/>
              <w:rPr>
                <w:sz w:val="20"/>
                <w:szCs w:val="20"/>
                <w:color w:val="auto"/>
              </w:rPr>
            </w:pPr>
            <w:r>
              <w:rPr>
                <w:rFonts w:ascii="Arial" w:cs="Arial" w:eastAsia="Arial" w:hAnsi="Arial"/>
                <w:sz w:val="14"/>
                <w:szCs w:val="14"/>
                <w:color w:val="auto"/>
              </w:rPr>
              <w:t>4,258,903</w:t>
            </w:r>
          </w:p>
        </w:tc>
        <w:tc>
          <w:tcPr>
            <w:tcW w:w="0" w:type="dxa"/>
            <w:vAlign w:val="bottom"/>
          </w:tcPr>
          <w:p>
            <w:pPr>
              <w:spacing w:after="0"/>
              <w:rPr>
                <w:sz w:val="1"/>
                <w:szCs w:val="1"/>
                <w:color w:val="auto"/>
              </w:rPr>
            </w:pPr>
          </w:p>
        </w:tc>
      </w:tr>
      <w:tr>
        <w:trPr>
          <w:trHeight w:val="209"/>
        </w:trPr>
        <w:tc>
          <w:tcPr>
            <w:tcW w:w="3900" w:type="dxa"/>
            <w:vAlign w:val="bottom"/>
          </w:tcPr>
          <w:p>
            <w:pPr>
              <w:ind w:left="60"/>
              <w:spacing w:after="0"/>
              <w:rPr>
                <w:sz w:val="20"/>
                <w:szCs w:val="20"/>
                <w:color w:val="auto"/>
              </w:rPr>
            </w:pPr>
            <w:r>
              <w:rPr>
                <w:rFonts w:ascii="Arial" w:cs="Arial" w:eastAsia="Arial" w:hAnsi="Arial"/>
                <w:sz w:val="16"/>
                <w:szCs w:val="16"/>
                <w:color w:val="auto"/>
              </w:rPr>
              <w:t>Technology and Chief Security Officer</w:t>
            </w: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2022</w:t>
            </w:r>
          </w:p>
        </w:tc>
        <w:tc>
          <w:tcPr>
            <w:tcW w:w="1040" w:type="dxa"/>
            <w:vAlign w:val="bottom"/>
            <w:gridSpan w:val="2"/>
          </w:tcPr>
          <w:p>
            <w:pPr>
              <w:jc w:val="right"/>
              <w:spacing w:after="0"/>
              <w:rPr>
                <w:sz w:val="20"/>
                <w:szCs w:val="20"/>
                <w:color w:val="auto"/>
              </w:rPr>
            </w:pPr>
            <w:r>
              <w:rPr>
                <w:rFonts w:ascii="Arial" w:cs="Arial" w:eastAsia="Arial" w:hAnsi="Arial"/>
                <w:sz w:val="14"/>
                <w:szCs w:val="14"/>
                <w:color w:val="auto"/>
              </w:rPr>
              <w:t>529,039</w:t>
            </w:r>
          </w:p>
        </w:tc>
        <w:tc>
          <w:tcPr>
            <w:tcW w:w="1180" w:type="dxa"/>
            <w:vAlign w:val="bottom"/>
            <w:gridSpan w:val="2"/>
          </w:tcPr>
          <w:p>
            <w:pPr>
              <w:jc w:val="right"/>
              <w:spacing w:after="0"/>
              <w:rPr>
                <w:sz w:val="20"/>
                <w:szCs w:val="20"/>
                <w:color w:val="auto"/>
              </w:rPr>
            </w:pPr>
            <w:r>
              <w:rPr>
                <w:rFonts w:ascii="Arial" w:cs="Arial" w:eastAsia="Arial" w:hAnsi="Arial"/>
                <w:sz w:val="14"/>
                <w:szCs w:val="14"/>
                <w:color w:val="auto"/>
              </w:rPr>
              <w:t>2,799,943</w:t>
            </w:r>
          </w:p>
        </w:tc>
        <w:tc>
          <w:tcPr>
            <w:tcW w:w="1560" w:type="dxa"/>
            <w:vAlign w:val="bottom"/>
            <w:gridSpan w:val="2"/>
          </w:tcPr>
          <w:p>
            <w:pPr>
              <w:jc w:val="right"/>
              <w:spacing w:after="0"/>
              <w:rPr>
                <w:sz w:val="20"/>
                <w:szCs w:val="20"/>
                <w:color w:val="auto"/>
              </w:rPr>
            </w:pPr>
            <w:r>
              <w:rPr>
                <w:rFonts w:ascii="Arial" w:cs="Arial" w:eastAsia="Arial" w:hAnsi="Arial"/>
                <w:sz w:val="14"/>
                <w:szCs w:val="14"/>
                <w:color w:val="auto"/>
              </w:rPr>
              <w:t>488,538</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10,970</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3,828,490</w:t>
            </w:r>
          </w:p>
        </w:tc>
        <w:tc>
          <w:tcPr>
            <w:tcW w:w="0" w:type="dxa"/>
            <w:vAlign w:val="bottom"/>
          </w:tcPr>
          <w:p>
            <w:pPr>
              <w:spacing w:after="0"/>
              <w:rPr>
                <w:sz w:val="1"/>
                <w:szCs w:val="1"/>
                <w:color w:val="auto"/>
              </w:rPr>
            </w:pPr>
          </w:p>
        </w:tc>
      </w:tr>
      <w:tr>
        <w:trPr>
          <w:trHeight w:val="210"/>
        </w:trPr>
        <w:tc>
          <w:tcPr>
            <w:tcW w:w="3900" w:type="dxa"/>
            <w:vAlign w:val="bottom"/>
            <w:tcBorders>
              <w:top w:val="single" w:sz="8" w:color="B6B6B6"/>
              <w:bottom w:val="single" w:sz="8" w:color="DBDBDB"/>
            </w:tcBorders>
            <w:shd w:val="clear" w:color="auto" w:fill="E5E5E5"/>
          </w:tcPr>
          <w:p>
            <w:pPr>
              <w:ind w:left="20"/>
              <w:spacing w:after="0"/>
              <w:rPr>
                <w:sz w:val="20"/>
                <w:szCs w:val="20"/>
                <w:color w:val="auto"/>
              </w:rPr>
            </w:pPr>
            <w:r>
              <w:rPr>
                <w:rFonts w:ascii="Arial" w:cs="Arial" w:eastAsia="Arial" w:hAnsi="Arial"/>
                <w:sz w:val="16"/>
                <w:szCs w:val="16"/>
                <w:b w:val="1"/>
                <w:bCs w:val="1"/>
                <w:color w:val="004A98"/>
              </w:rPr>
              <w:t>Thomas C. Indelicarto</w:t>
            </w:r>
          </w:p>
        </w:tc>
        <w:tc>
          <w:tcPr>
            <w:tcW w:w="120" w:type="dxa"/>
            <w:vAlign w:val="bottom"/>
            <w:tcBorders>
              <w:right w:val="single" w:sz="8" w:color="E5E5E5"/>
            </w:tcBorders>
          </w:tcPr>
          <w:p>
            <w:pPr>
              <w:spacing w:after="0"/>
              <w:rPr>
                <w:sz w:val="18"/>
                <w:szCs w:val="18"/>
                <w:color w:val="auto"/>
              </w:rPr>
            </w:pPr>
          </w:p>
        </w:tc>
        <w:tc>
          <w:tcPr>
            <w:tcW w:w="680" w:type="dxa"/>
            <w:vAlign w:val="bottom"/>
            <w:tcBorders>
              <w:top w:val="single" w:sz="8" w:color="B6B6B6"/>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2024</w:t>
            </w:r>
          </w:p>
        </w:tc>
        <w:tc>
          <w:tcPr>
            <w:tcW w:w="120" w:type="dxa"/>
            <w:vAlign w:val="bottom"/>
            <w:tcBorders>
              <w:right w:val="single" w:sz="8" w:color="E5E5E5"/>
            </w:tcBorders>
          </w:tcPr>
          <w:p>
            <w:pPr>
              <w:spacing w:after="0"/>
              <w:rPr>
                <w:sz w:val="18"/>
                <w:szCs w:val="18"/>
                <w:color w:val="auto"/>
              </w:rPr>
            </w:pPr>
          </w:p>
        </w:tc>
        <w:tc>
          <w:tcPr>
            <w:tcW w:w="920" w:type="dxa"/>
            <w:vAlign w:val="bottom"/>
            <w:tcBorders>
              <w:top w:val="single" w:sz="8" w:color="B6B6B6"/>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555,000</w:t>
            </w:r>
          </w:p>
        </w:tc>
        <w:tc>
          <w:tcPr>
            <w:tcW w:w="120" w:type="dxa"/>
            <w:vAlign w:val="bottom"/>
            <w:tcBorders>
              <w:right w:val="single" w:sz="8" w:color="E5E5E5"/>
            </w:tcBorders>
          </w:tcPr>
          <w:p>
            <w:pPr>
              <w:spacing w:after="0"/>
              <w:rPr>
                <w:sz w:val="18"/>
                <w:szCs w:val="18"/>
                <w:color w:val="auto"/>
              </w:rPr>
            </w:pPr>
          </w:p>
        </w:tc>
        <w:tc>
          <w:tcPr>
            <w:tcW w:w="1060" w:type="dxa"/>
            <w:vAlign w:val="bottom"/>
            <w:tcBorders>
              <w:top w:val="single" w:sz="8" w:color="B6B6B6"/>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3,501,619</w:t>
            </w:r>
          </w:p>
        </w:tc>
        <w:tc>
          <w:tcPr>
            <w:tcW w:w="120" w:type="dxa"/>
            <w:vAlign w:val="bottom"/>
            <w:tcBorders>
              <w:right w:val="single" w:sz="8" w:color="E5E5E5"/>
            </w:tcBorders>
          </w:tcPr>
          <w:p>
            <w:pPr>
              <w:spacing w:after="0"/>
              <w:rPr>
                <w:sz w:val="18"/>
                <w:szCs w:val="18"/>
                <w:color w:val="auto"/>
              </w:rPr>
            </w:pPr>
          </w:p>
        </w:tc>
        <w:tc>
          <w:tcPr>
            <w:tcW w:w="1440" w:type="dxa"/>
            <w:vAlign w:val="bottom"/>
            <w:tcBorders>
              <w:top w:val="single" w:sz="8" w:color="B6B6B6"/>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534,465</w:t>
            </w:r>
          </w:p>
        </w:tc>
        <w:tc>
          <w:tcPr>
            <w:tcW w:w="120" w:type="dxa"/>
            <w:vAlign w:val="bottom"/>
            <w:tcBorders>
              <w:right w:val="single" w:sz="8" w:color="E5E5E5"/>
            </w:tcBorders>
          </w:tcPr>
          <w:p>
            <w:pPr>
              <w:spacing w:after="0"/>
              <w:rPr>
                <w:sz w:val="18"/>
                <w:szCs w:val="18"/>
                <w:color w:val="auto"/>
              </w:rPr>
            </w:pPr>
          </w:p>
        </w:tc>
        <w:tc>
          <w:tcPr>
            <w:tcW w:w="1340" w:type="dxa"/>
            <w:vAlign w:val="bottom"/>
            <w:tcBorders>
              <w:top w:val="single" w:sz="8" w:color="B6B6B6"/>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720</w:t>
            </w:r>
          </w:p>
        </w:tc>
        <w:tc>
          <w:tcPr>
            <w:tcW w:w="120" w:type="dxa"/>
            <w:vAlign w:val="bottom"/>
            <w:tcBorders>
              <w:right w:val="single" w:sz="8" w:color="E5E5E5"/>
            </w:tcBorders>
          </w:tcPr>
          <w:p>
            <w:pPr>
              <w:spacing w:after="0"/>
              <w:rPr>
                <w:sz w:val="18"/>
                <w:szCs w:val="18"/>
                <w:color w:val="auto"/>
              </w:rPr>
            </w:pPr>
          </w:p>
        </w:tc>
        <w:tc>
          <w:tcPr>
            <w:tcW w:w="1180" w:type="dxa"/>
            <w:vAlign w:val="bottom"/>
            <w:tcBorders>
              <w:top w:val="single" w:sz="8" w:color="B6B6B6"/>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4,591,804</w:t>
            </w:r>
          </w:p>
        </w:tc>
        <w:tc>
          <w:tcPr>
            <w:tcW w:w="0" w:type="dxa"/>
            <w:vAlign w:val="bottom"/>
          </w:tcPr>
          <w:p>
            <w:pPr>
              <w:spacing w:after="0"/>
              <w:rPr>
                <w:sz w:val="1"/>
                <w:szCs w:val="1"/>
                <w:color w:val="auto"/>
              </w:rPr>
            </w:pPr>
          </w:p>
        </w:tc>
      </w:tr>
      <w:tr>
        <w:trPr>
          <w:trHeight w:val="209"/>
        </w:trPr>
        <w:tc>
          <w:tcPr>
            <w:tcW w:w="3900" w:type="dxa"/>
            <w:vAlign w:val="bottom"/>
            <w:tcBorders>
              <w:bottom w:val="single" w:sz="8" w:color="DBDBDB"/>
            </w:tcBorders>
            <w:shd w:val="clear" w:color="auto" w:fill="E5E5E5"/>
          </w:tcPr>
          <w:p>
            <w:pPr>
              <w:ind w:left="60"/>
              <w:spacing w:after="0"/>
              <w:rPr>
                <w:sz w:val="20"/>
                <w:szCs w:val="20"/>
                <w:color w:val="auto"/>
              </w:rPr>
            </w:pPr>
            <w:r>
              <w:rPr>
                <w:rFonts w:ascii="Arial" w:cs="Arial" w:eastAsia="Arial" w:hAnsi="Arial"/>
                <w:sz w:val="16"/>
                <w:szCs w:val="16"/>
                <w:color w:val="auto"/>
              </w:rPr>
              <w:t>Executive Vice President,</w:t>
            </w:r>
          </w:p>
        </w:tc>
        <w:tc>
          <w:tcPr>
            <w:tcW w:w="120" w:type="dxa"/>
            <w:vAlign w:val="bottom"/>
            <w:tcBorders>
              <w:right w:val="single" w:sz="8" w:color="E5E5E5"/>
            </w:tcBorders>
          </w:tcPr>
          <w:p>
            <w:pPr>
              <w:spacing w:after="0"/>
              <w:rPr>
                <w:sz w:val="18"/>
                <w:szCs w:val="18"/>
                <w:color w:val="auto"/>
              </w:rPr>
            </w:pPr>
          </w:p>
        </w:tc>
        <w:tc>
          <w:tcPr>
            <w:tcW w:w="68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2023</w:t>
            </w:r>
          </w:p>
        </w:tc>
        <w:tc>
          <w:tcPr>
            <w:tcW w:w="120" w:type="dxa"/>
            <w:vAlign w:val="bottom"/>
            <w:tcBorders>
              <w:right w:val="single" w:sz="8" w:color="E5E5E5"/>
            </w:tcBorders>
          </w:tcPr>
          <w:p>
            <w:pPr>
              <w:spacing w:after="0"/>
              <w:rPr>
                <w:sz w:val="18"/>
                <w:szCs w:val="18"/>
                <w:color w:val="auto"/>
              </w:rPr>
            </w:pPr>
          </w:p>
        </w:tc>
        <w:tc>
          <w:tcPr>
            <w:tcW w:w="92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548,846</w:t>
            </w:r>
          </w:p>
        </w:tc>
        <w:tc>
          <w:tcPr>
            <w:tcW w:w="120" w:type="dxa"/>
            <w:vAlign w:val="bottom"/>
            <w:tcBorders>
              <w:right w:val="single" w:sz="8" w:color="E5E5E5"/>
            </w:tcBorders>
          </w:tcPr>
          <w:p>
            <w:pPr>
              <w:spacing w:after="0"/>
              <w:rPr>
                <w:sz w:val="18"/>
                <w:szCs w:val="18"/>
                <w:color w:val="auto"/>
              </w:rPr>
            </w:pPr>
          </w:p>
        </w:tc>
        <w:tc>
          <w:tcPr>
            <w:tcW w:w="106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3,199,862</w:t>
            </w:r>
          </w:p>
        </w:tc>
        <w:tc>
          <w:tcPr>
            <w:tcW w:w="120" w:type="dxa"/>
            <w:vAlign w:val="bottom"/>
            <w:tcBorders>
              <w:right w:val="single" w:sz="8" w:color="E5E5E5"/>
            </w:tcBorders>
          </w:tcPr>
          <w:p>
            <w:pPr>
              <w:spacing w:after="0"/>
              <w:rPr>
                <w:sz w:val="18"/>
                <w:szCs w:val="18"/>
                <w:color w:val="auto"/>
              </w:rPr>
            </w:pPr>
          </w:p>
        </w:tc>
        <w:tc>
          <w:tcPr>
            <w:tcW w:w="144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492,840</w:t>
            </w:r>
          </w:p>
        </w:tc>
        <w:tc>
          <w:tcPr>
            <w:tcW w:w="120" w:type="dxa"/>
            <w:vAlign w:val="bottom"/>
            <w:tcBorders>
              <w:right w:val="single" w:sz="8" w:color="E5E5E5"/>
            </w:tcBorders>
          </w:tcPr>
          <w:p>
            <w:pPr>
              <w:spacing w:after="0"/>
              <w:rPr>
                <w:sz w:val="18"/>
                <w:szCs w:val="18"/>
                <w:color w:val="auto"/>
              </w:rPr>
            </w:pPr>
          </w:p>
        </w:tc>
        <w:tc>
          <w:tcPr>
            <w:tcW w:w="134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720</w:t>
            </w:r>
          </w:p>
        </w:tc>
        <w:tc>
          <w:tcPr>
            <w:tcW w:w="120" w:type="dxa"/>
            <w:vAlign w:val="bottom"/>
            <w:tcBorders>
              <w:right w:val="single" w:sz="8" w:color="E5E5E5"/>
            </w:tcBorders>
          </w:tcPr>
          <w:p>
            <w:pPr>
              <w:spacing w:after="0"/>
              <w:rPr>
                <w:sz w:val="18"/>
                <w:szCs w:val="18"/>
                <w:color w:val="auto"/>
              </w:rPr>
            </w:pPr>
          </w:p>
        </w:tc>
        <w:tc>
          <w:tcPr>
            <w:tcW w:w="118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4,242,268</w:t>
            </w:r>
          </w:p>
        </w:tc>
        <w:tc>
          <w:tcPr>
            <w:tcW w:w="0" w:type="dxa"/>
            <w:vAlign w:val="bottom"/>
          </w:tcPr>
          <w:p>
            <w:pPr>
              <w:spacing w:after="0"/>
              <w:rPr>
                <w:sz w:val="1"/>
                <w:szCs w:val="1"/>
                <w:color w:val="auto"/>
              </w:rPr>
            </w:pPr>
          </w:p>
        </w:tc>
      </w:tr>
      <w:tr>
        <w:trPr>
          <w:trHeight w:val="209"/>
        </w:trPr>
        <w:tc>
          <w:tcPr>
            <w:tcW w:w="3900" w:type="dxa"/>
            <w:vAlign w:val="bottom"/>
            <w:tcBorders>
              <w:bottom w:val="single" w:sz="8" w:color="B6B6B6"/>
            </w:tcBorders>
            <w:shd w:val="clear" w:color="auto" w:fill="E5E5E5"/>
          </w:tcPr>
          <w:p>
            <w:pPr>
              <w:ind w:left="60"/>
              <w:spacing w:after="0"/>
              <w:rPr>
                <w:sz w:val="20"/>
                <w:szCs w:val="20"/>
                <w:color w:val="auto"/>
              </w:rPr>
            </w:pPr>
            <w:r>
              <w:rPr>
                <w:rFonts w:ascii="Arial" w:cs="Arial" w:eastAsia="Arial" w:hAnsi="Arial"/>
                <w:sz w:val="16"/>
                <w:szCs w:val="16"/>
                <w:color w:val="auto"/>
              </w:rPr>
              <w:t>General Counsel and Secretary</w:t>
            </w:r>
          </w:p>
        </w:tc>
        <w:tc>
          <w:tcPr>
            <w:tcW w:w="120" w:type="dxa"/>
            <w:vAlign w:val="bottom"/>
            <w:tcBorders>
              <w:right w:val="single" w:sz="8" w:color="E5E5E5"/>
            </w:tcBorders>
          </w:tcPr>
          <w:p>
            <w:pPr>
              <w:spacing w:after="0"/>
              <w:rPr>
                <w:sz w:val="18"/>
                <w:szCs w:val="18"/>
                <w:color w:val="auto"/>
              </w:rPr>
            </w:pPr>
          </w:p>
        </w:tc>
        <w:tc>
          <w:tcPr>
            <w:tcW w:w="68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2022</w:t>
            </w:r>
          </w:p>
        </w:tc>
        <w:tc>
          <w:tcPr>
            <w:tcW w:w="120" w:type="dxa"/>
            <w:vAlign w:val="bottom"/>
            <w:tcBorders>
              <w:right w:val="single" w:sz="8" w:color="E5E5E5"/>
            </w:tcBorders>
          </w:tcPr>
          <w:p>
            <w:pPr>
              <w:spacing w:after="0"/>
              <w:rPr>
                <w:sz w:val="18"/>
                <w:szCs w:val="18"/>
                <w:color w:val="auto"/>
              </w:rPr>
            </w:pPr>
          </w:p>
        </w:tc>
        <w:tc>
          <w:tcPr>
            <w:tcW w:w="92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512,692</w:t>
            </w:r>
          </w:p>
        </w:tc>
        <w:tc>
          <w:tcPr>
            <w:tcW w:w="120" w:type="dxa"/>
            <w:vAlign w:val="bottom"/>
            <w:tcBorders>
              <w:right w:val="single" w:sz="8" w:color="E5E5E5"/>
            </w:tcBorders>
          </w:tcPr>
          <w:p>
            <w:pPr>
              <w:spacing w:after="0"/>
              <w:rPr>
                <w:sz w:val="18"/>
                <w:szCs w:val="18"/>
                <w:color w:val="auto"/>
              </w:rPr>
            </w:pPr>
          </w:p>
        </w:tc>
        <w:tc>
          <w:tcPr>
            <w:tcW w:w="106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2,399,987</w:t>
            </w:r>
          </w:p>
        </w:tc>
        <w:tc>
          <w:tcPr>
            <w:tcW w:w="120" w:type="dxa"/>
            <w:vAlign w:val="bottom"/>
            <w:tcBorders>
              <w:right w:val="single" w:sz="8" w:color="E5E5E5"/>
            </w:tcBorders>
          </w:tcPr>
          <w:p>
            <w:pPr>
              <w:spacing w:after="0"/>
              <w:rPr>
                <w:sz w:val="18"/>
                <w:szCs w:val="18"/>
                <w:color w:val="auto"/>
              </w:rPr>
            </w:pPr>
          </w:p>
        </w:tc>
        <w:tc>
          <w:tcPr>
            <w:tcW w:w="144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457,449</w:t>
            </w:r>
          </w:p>
        </w:tc>
        <w:tc>
          <w:tcPr>
            <w:tcW w:w="120" w:type="dxa"/>
            <w:vAlign w:val="bottom"/>
            <w:tcBorders>
              <w:right w:val="single" w:sz="8" w:color="E5E5E5"/>
            </w:tcBorders>
          </w:tcPr>
          <w:p>
            <w:pPr>
              <w:spacing w:after="0"/>
              <w:rPr>
                <w:sz w:val="18"/>
                <w:szCs w:val="18"/>
                <w:color w:val="auto"/>
              </w:rPr>
            </w:pPr>
          </w:p>
        </w:tc>
        <w:tc>
          <w:tcPr>
            <w:tcW w:w="134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720</w:t>
            </w:r>
          </w:p>
        </w:tc>
        <w:tc>
          <w:tcPr>
            <w:tcW w:w="120" w:type="dxa"/>
            <w:vAlign w:val="bottom"/>
            <w:tcBorders>
              <w:right w:val="single" w:sz="8" w:color="E5E5E5"/>
            </w:tcBorders>
          </w:tcPr>
          <w:p>
            <w:pPr>
              <w:spacing w:after="0"/>
              <w:rPr>
                <w:sz w:val="18"/>
                <w:szCs w:val="18"/>
                <w:color w:val="auto"/>
              </w:rPr>
            </w:pPr>
          </w:p>
        </w:tc>
        <w:tc>
          <w:tcPr>
            <w:tcW w:w="1180" w:type="dxa"/>
            <w:vAlign w:val="bottom"/>
            <w:tcBorders>
              <w:bottom w:val="single" w:sz="8" w:color="B6B6B6"/>
            </w:tcBorders>
            <w:shd w:val="clear" w:color="auto" w:fill="E5E5E5"/>
          </w:tcPr>
          <w:p>
            <w:pPr>
              <w:jc w:val="right"/>
              <w:spacing w:after="0"/>
              <w:rPr>
                <w:sz w:val="20"/>
                <w:szCs w:val="20"/>
                <w:color w:val="auto"/>
              </w:rPr>
            </w:pPr>
            <w:r>
              <w:rPr>
                <w:rFonts w:ascii="Arial" w:cs="Arial" w:eastAsia="Arial" w:hAnsi="Arial"/>
                <w:sz w:val="14"/>
                <w:szCs w:val="14"/>
                <w:color w:val="auto"/>
              </w:rPr>
              <w:t>3,370,848</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right="60" w:hanging="252"/>
        <w:spacing w:after="0" w:line="301" w:lineRule="auto"/>
        <w:tabs>
          <w:tab w:leader="none" w:pos="264" w:val="left"/>
        </w:tabs>
        <w:numPr>
          <w:ilvl w:val="0"/>
          <w:numId w:val="32"/>
        </w:numPr>
        <w:rPr>
          <w:rFonts w:ascii="Arial" w:cs="Arial" w:eastAsia="Arial" w:hAnsi="Arial"/>
          <w:sz w:val="9"/>
          <w:szCs w:val="9"/>
          <w:color w:val="auto"/>
        </w:rPr>
      </w:pPr>
      <w:r>
        <w:rPr>
          <w:rFonts w:ascii="Arial" w:cs="Arial" w:eastAsia="Arial" w:hAnsi="Arial"/>
          <w:sz w:val="14"/>
          <w:szCs w:val="14"/>
          <w:color w:val="auto"/>
        </w:rPr>
        <w:t>Includes, where applicable, amounts electively contributed by each NEO to our 401(k) Plan. The amounts reported represent base salaries paid to each of the NEOs for the applicable fiscal year. Annual base salary for U.S. salaried employees is paid on a bi-weekly schedule over 26 pay periods.</w:t>
      </w:r>
    </w:p>
    <w:p>
      <w:pPr>
        <w:spacing w:after="0" w:line="1" w:lineRule="exact"/>
        <w:rPr>
          <w:rFonts w:ascii="Arial" w:cs="Arial" w:eastAsia="Arial" w:hAnsi="Arial"/>
          <w:sz w:val="9"/>
          <w:szCs w:val="9"/>
          <w:color w:val="auto"/>
        </w:rPr>
      </w:pPr>
    </w:p>
    <w:p>
      <w:pPr>
        <w:ind w:left="260" w:right="20" w:hanging="252"/>
        <w:spacing w:after="0" w:line="250" w:lineRule="auto"/>
        <w:tabs>
          <w:tab w:leader="none" w:pos="264" w:val="left"/>
        </w:tabs>
        <w:numPr>
          <w:ilvl w:val="0"/>
          <w:numId w:val="32"/>
        </w:numPr>
        <w:rPr>
          <w:rFonts w:ascii="Arial" w:cs="Arial" w:eastAsia="Arial" w:hAnsi="Arial"/>
          <w:sz w:val="9"/>
          <w:szCs w:val="9"/>
          <w:color w:val="auto"/>
        </w:rPr>
      </w:pPr>
      <w:r>
        <w:rPr>
          <w:rFonts w:ascii="Arial" w:cs="Arial" w:eastAsia="Arial" w:hAnsi="Arial"/>
          <w:sz w:val="14"/>
          <w:szCs w:val="14"/>
          <w:color w:val="auto"/>
        </w:rPr>
        <w:t>Amounts shown represent the aggregate grant date fair value, which is based on the closing share price on the date of the grant. Amounts for PSUs, which are subject to performance and market conditions, are based upon the probable outcome of the performance conditions as of the grant date of the award (i.e., the CAGR of operating income for the performance period). Amounts shown for 2024 include the following for PSUs: Mr. Bidzos, $7,039,469; Mr. Strubbe, $1,749,830; Mr. Kilguss, $1,750,810; Mr. McPherson $1,750,810; and Mr. Indelicarto, $1,750,810. The value for PSUs granted in 2024, at the maximum achievement level (i.e., 150% payout) would be the following: Mr. Bidzos, $10,559,203; Mr. Strubbe $2,624,746; Mr. Kilguss, $2,626,214; Mr. McPherson $2,626,214; and Mr. Indelicarto, $2,626,214. Amounts reported here may differ from the sum of amounts reported elsewhere in this document due to rounding.</w:t>
      </w:r>
    </w:p>
    <w:p>
      <w:pPr>
        <w:spacing w:after="0" w:line="46" w:lineRule="exact"/>
        <w:rPr>
          <w:rFonts w:ascii="Arial" w:cs="Arial" w:eastAsia="Arial" w:hAnsi="Arial"/>
          <w:sz w:val="9"/>
          <w:szCs w:val="9"/>
          <w:color w:val="auto"/>
        </w:rPr>
      </w:pPr>
    </w:p>
    <w:p>
      <w:pPr>
        <w:ind w:left="260" w:right="120" w:hanging="252"/>
        <w:spacing w:after="0" w:line="231" w:lineRule="auto"/>
        <w:tabs>
          <w:tab w:leader="none" w:pos="264"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Amounts shown are for non-equity incentive plan compensation earned during the year indicated but paid in the following year, which for 2024 reflects the annual incentive bonuses earned under the 2024 VPP.</w:t>
      </w:r>
    </w:p>
    <w:p>
      <w:pPr>
        <w:spacing w:after="0" w:line="53" w:lineRule="exact"/>
        <w:rPr>
          <w:rFonts w:ascii="Arial" w:cs="Arial" w:eastAsia="Arial" w:hAnsi="Arial"/>
          <w:sz w:val="19"/>
          <w:szCs w:val="19"/>
          <w:color w:val="auto"/>
          <w:vertAlign w:val="superscript"/>
        </w:rPr>
      </w:pPr>
    </w:p>
    <w:p>
      <w:pPr>
        <w:ind w:left="260" w:right="360" w:hanging="252"/>
        <w:spacing w:after="0" w:line="231" w:lineRule="auto"/>
        <w:tabs>
          <w:tab w:leader="none" w:pos="264"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Amounts in “All Other Compensation” for 2024 include, where applicable, matching contributions made by the Company to the VeriSign, Inc. 401(k) Plan, life insurance payments and accidental death and dismemberment insurance payments.</w:t>
      </w:r>
    </w:p>
    <w:p>
      <w:pPr>
        <w:spacing w:after="0" w:line="53" w:lineRule="exact"/>
        <w:rPr>
          <w:rFonts w:ascii="Arial" w:cs="Arial" w:eastAsia="Arial" w:hAnsi="Arial"/>
          <w:sz w:val="19"/>
          <w:szCs w:val="19"/>
          <w:color w:val="auto"/>
          <w:vertAlign w:val="superscript"/>
        </w:rPr>
      </w:pPr>
    </w:p>
    <w:p>
      <w:pPr>
        <w:ind w:left="260" w:right="340" w:hanging="252"/>
        <w:spacing w:after="0" w:line="231" w:lineRule="auto"/>
        <w:tabs>
          <w:tab w:leader="none" w:pos="264"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The Compensation Committee approved a fee payment of $30,000 in 2023 on behalf of Mr. Bidzos in connection with a pre-acquisition notification filing under the Hart-Scott-Rodino Act.</w:t>
      </w:r>
    </w:p>
    <w:p>
      <w:pPr>
        <w:spacing w:after="0" w:line="53" w:lineRule="exact"/>
        <w:rPr>
          <w:rFonts w:ascii="Arial" w:cs="Arial" w:eastAsia="Arial" w:hAnsi="Arial"/>
          <w:sz w:val="19"/>
          <w:szCs w:val="19"/>
          <w:color w:val="auto"/>
          <w:vertAlign w:val="superscript"/>
        </w:rPr>
      </w:pPr>
    </w:p>
    <w:p>
      <w:pPr>
        <w:ind w:left="260" w:right="520" w:hanging="252"/>
        <w:spacing w:after="0" w:line="231" w:lineRule="auto"/>
        <w:tabs>
          <w:tab w:leader="none" w:pos="264" w:val="left"/>
        </w:tabs>
        <w:numPr>
          <w:ilvl w:val="0"/>
          <w:numId w:val="32"/>
        </w:numPr>
        <w:rPr>
          <w:rFonts w:ascii="Arial" w:cs="Arial" w:eastAsia="Arial" w:hAnsi="Arial"/>
          <w:sz w:val="19"/>
          <w:szCs w:val="19"/>
          <w:color w:val="auto"/>
          <w:vertAlign w:val="superscript"/>
        </w:rPr>
      </w:pPr>
      <w:r>
        <w:rPr>
          <w:rFonts w:ascii="Arial" w:cs="Arial" w:eastAsia="Arial" w:hAnsi="Arial"/>
          <w:sz w:val="14"/>
          <w:szCs w:val="14"/>
          <w:color w:val="auto"/>
        </w:rPr>
        <w:t>Mr. Strubbe retired from the company in April 2024, and as such, he did not receive a bonus under the 2024 VPP. His unvested stock awards were forfeited upon his retirement.</w:t>
      </w:r>
    </w:p>
    <w:p>
      <w:pPr>
        <w:spacing w:after="0" w:line="202"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Executive Compensation Tables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Grants of Plan-Based Awards in 2024</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all plan-based awards granted to our NEOs for 2024 under annual and long-term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52"/>
        </w:trPr>
        <w:tc>
          <w:tcPr>
            <w:tcW w:w="190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2"/>
                <w:szCs w:val="12"/>
                <w:b w:val="1"/>
                <w:bCs w:val="1"/>
                <w:color w:val="auto"/>
              </w:rPr>
              <w:t>ALL OTHER</w:t>
            </w:r>
          </w:p>
        </w:tc>
        <w:tc>
          <w:tcPr>
            <w:tcW w:w="120" w:type="dxa"/>
            <w:vAlign w:val="bottom"/>
            <w:tcBorders>
              <w:right w:val="single" w:sz="8" w:color="auto"/>
            </w:tcBorders>
          </w:tcPr>
          <w:p>
            <w:pPr>
              <w:spacing w:after="0"/>
              <w:rPr>
                <w:sz w:val="13"/>
                <w:szCs w:val="13"/>
                <w:color w:val="auto"/>
              </w:rPr>
            </w:pPr>
          </w:p>
        </w:tc>
        <w:tc>
          <w:tcPr>
            <w:tcW w:w="92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GRANT</w:t>
            </w:r>
          </w:p>
        </w:tc>
        <w:tc>
          <w:tcPr>
            <w:tcW w:w="0" w:type="dxa"/>
            <w:vAlign w:val="bottom"/>
          </w:tcPr>
          <w:p>
            <w:pPr>
              <w:spacing w:after="0"/>
              <w:rPr>
                <w:sz w:val="1"/>
                <w:szCs w:val="1"/>
                <w:color w:val="auto"/>
              </w:rPr>
            </w:pPr>
          </w:p>
        </w:tc>
      </w:tr>
      <w:tr>
        <w:trPr>
          <w:trHeight w:val="118"/>
        </w:trPr>
        <w:tc>
          <w:tcPr>
            <w:tcW w:w="19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20" w:type="dxa"/>
            <w:vAlign w:val="bottom"/>
          </w:tcPr>
          <w:p>
            <w:pPr>
              <w:jc w:val="right"/>
              <w:spacing w:after="0" w:line="118" w:lineRule="exact"/>
              <w:rPr>
                <w:sz w:val="20"/>
                <w:szCs w:val="20"/>
                <w:color w:val="auto"/>
              </w:rPr>
            </w:pPr>
            <w:r>
              <w:rPr>
                <w:rFonts w:ascii="Arial" w:cs="Arial" w:eastAsia="Arial" w:hAnsi="Arial"/>
                <w:sz w:val="12"/>
                <w:szCs w:val="12"/>
                <w:b w:val="1"/>
                <w:bCs w:val="1"/>
                <w:color w:val="auto"/>
              </w:rPr>
              <w:t>STOCK</w:t>
            </w:r>
          </w:p>
        </w:tc>
        <w:tc>
          <w:tcPr>
            <w:tcW w:w="120" w:type="dxa"/>
            <w:vAlign w:val="bottom"/>
            <w:tcBorders>
              <w:right w:val="single" w:sz="8" w:color="auto"/>
            </w:tcBorders>
          </w:tcPr>
          <w:p>
            <w:pPr>
              <w:spacing w:after="0"/>
              <w:rPr>
                <w:sz w:val="10"/>
                <w:szCs w:val="10"/>
                <w:color w:val="auto"/>
              </w:rPr>
            </w:pPr>
          </w:p>
        </w:tc>
        <w:tc>
          <w:tcPr>
            <w:tcW w:w="9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3000" w:type="dxa"/>
            <w:vAlign w:val="bottom"/>
            <w:gridSpan w:val="5"/>
          </w:tcPr>
          <w:p>
            <w:pPr>
              <w:jc w:val="center"/>
              <w:spacing w:after="0" w:line="135" w:lineRule="exact"/>
              <w:rPr>
                <w:sz w:val="20"/>
                <w:szCs w:val="20"/>
                <w:color w:val="auto"/>
              </w:rPr>
            </w:pPr>
            <w:r>
              <w:rPr>
                <w:rFonts w:ascii="Arial" w:cs="Arial" w:eastAsia="Arial" w:hAnsi="Arial"/>
                <w:sz w:val="12"/>
                <w:szCs w:val="12"/>
                <w:b w:val="1"/>
                <w:bCs w:val="1"/>
                <w:color w:val="auto"/>
                <w:w w:val="96"/>
              </w:rPr>
              <w:t>ESTIMATED FUTURE PAYOUTS UNDER</w:t>
            </w:r>
          </w:p>
        </w:tc>
        <w:tc>
          <w:tcPr>
            <w:tcW w:w="100" w:type="dxa"/>
            <w:vAlign w:val="bottom"/>
            <w:tcBorders>
              <w:right w:val="single" w:sz="8" w:color="auto"/>
            </w:tcBorders>
          </w:tcPr>
          <w:p>
            <w:pPr>
              <w:spacing w:after="0"/>
              <w:rPr>
                <w:sz w:val="11"/>
                <w:szCs w:val="11"/>
                <w:color w:val="auto"/>
              </w:rPr>
            </w:pPr>
          </w:p>
        </w:tc>
        <w:tc>
          <w:tcPr>
            <w:tcW w:w="2820" w:type="dxa"/>
            <w:vAlign w:val="bottom"/>
            <w:gridSpan w:val="6"/>
          </w:tcPr>
          <w:p>
            <w:pPr>
              <w:jc w:val="center"/>
              <w:spacing w:after="0" w:line="135" w:lineRule="exact"/>
              <w:rPr>
                <w:sz w:val="20"/>
                <w:szCs w:val="20"/>
                <w:color w:val="auto"/>
              </w:rPr>
            </w:pPr>
            <w:r>
              <w:rPr>
                <w:rFonts w:ascii="Arial" w:cs="Arial" w:eastAsia="Arial" w:hAnsi="Arial"/>
                <w:sz w:val="12"/>
                <w:szCs w:val="12"/>
                <w:b w:val="1"/>
                <w:bCs w:val="1"/>
                <w:color w:val="auto"/>
                <w:w w:val="95"/>
              </w:rPr>
              <w:t>ESTIMATED FUTURE PAYOUTS</w:t>
            </w:r>
          </w:p>
        </w:tc>
        <w:tc>
          <w:tcPr>
            <w:tcW w:w="120" w:type="dxa"/>
            <w:vAlign w:val="bottom"/>
            <w:tcBorders>
              <w:right w:val="single" w:sz="8" w:color="auto"/>
            </w:tcBorders>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AWARDS:</w:t>
            </w:r>
          </w:p>
        </w:tc>
        <w:tc>
          <w:tcPr>
            <w:tcW w:w="120" w:type="dxa"/>
            <w:vAlign w:val="bottom"/>
            <w:tcBorders>
              <w:right w:val="single" w:sz="8" w:color="auto"/>
            </w:tcBorders>
          </w:tcPr>
          <w:p>
            <w:pPr>
              <w:spacing w:after="0"/>
              <w:rPr>
                <w:sz w:val="11"/>
                <w:szCs w:val="11"/>
                <w:color w:val="auto"/>
              </w:rPr>
            </w:pPr>
          </w:p>
        </w:tc>
        <w:tc>
          <w:tcPr>
            <w:tcW w:w="920" w:type="dxa"/>
            <w:vAlign w:val="bottom"/>
          </w:tcPr>
          <w:p>
            <w:pPr>
              <w:jc w:val="right"/>
              <w:spacing w:after="0" w:line="135" w:lineRule="exact"/>
              <w:rPr>
                <w:sz w:val="20"/>
                <w:szCs w:val="20"/>
                <w:color w:val="auto"/>
              </w:rPr>
            </w:pPr>
            <w:r>
              <w:rPr>
                <w:rFonts w:ascii="Arial" w:cs="Arial" w:eastAsia="Arial" w:hAnsi="Arial"/>
                <w:sz w:val="12"/>
                <w:szCs w:val="12"/>
                <w:b w:val="1"/>
                <w:bCs w:val="1"/>
                <w:color w:val="auto"/>
              </w:rPr>
              <w:t>DATE FAIR</w:t>
            </w:r>
          </w:p>
        </w:tc>
        <w:tc>
          <w:tcPr>
            <w:tcW w:w="0" w:type="dxa"/>
            <w:vAlign w:val="bottom"/>
          </w:tcPr>
          <w:p>
            <w:pPr>
              <w:spacing w:after="0"/>
              <w:rPr>
                <w:sz w:val="1"/>
                <w:szCs w:val="1"/>
                <w:color w:val="auto"/>
              </w:rPr>
            </w:pPr>
          </w:p>
        </w:tc>
      </w:tr>
      <w:tr>
        <w:trPr>
          <w:trHeight w:val="122"/>
        </w:trPr>
        <w:tc>
          <w:tcPr>
            <w:tcW w:w="190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80" w:type="dxa"/>
            <w:vAlign w:val="bottom"/>
          </w:tcPr>
          <w:p>
            <w:pPr>
              <w:jc w:val="center"/>
              <w:spacing w:after="0" w:line="122" w:lineRule="exact"/>
              <w:rPr>
                <w:sz w:val="20"/>
                <w:szCs w:val="20"/>
                <w:color w:val="auto"/>
              </w:rPr>
            </w:pPr>
            <w:r>
              <w:rPr>
                <w:rFonts w:ascii="Arial" w:cs="Arial" w:eastAsia="Arial" w:hAnsi="Arial"/>
                <w:sz w:val="12"/>
                <w:szCs w:val="12"/>
                <w:b w:val="1"/>
                <w:bCs w:val="1"/>
                <w:color w:val="auto"/>
                <w:w w:val="98"/>
              </w:rPr>
              <w:t>NON-EQUITY</w:t>
            </w:r>
          </w:p>
        </w:tc>
        <w:tc>
          <w:tcPr>
            <w:tcW w:w="10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2200" w:type="dxa"/>
            <w:vAlign w:val="bottom"/>
            <w:gridSpan w:val="5"/>
          </w:tcPr>
          <w:p>
            <w:pPr>
              <w:jc w:val="center"/>
              <w:ind w:left="546"/>
              <w:spacing w:after="0" w:line="122" w:lineRule="exact"/>
              <w:rPr>
                <w:sz w:val="20"/>
                <w:szCs w:val="20"/>
                <w:color w:val="auto"/>
              </w:rPr>
            </w:pPr>
            <w:r>
              <w:rPr>
                <w:rFonts w:ascii="Arial" w:cs="Arial" w:eastAsia="Arial" w:hAnsi="Arial"/>
                <w:sz w:val="12"/>
                <w:szCs w:val="12"/>
                <w:b w:val="1"/>
                <w:bCs w:val="1"/>
                <w:color w:val="auto"/>
                <w:w w:val="97"/>
              </w:rPr>
              <w:t>UNDER EQUITY INCENTIVE</w:t>
            </w:r>
          </w:p>
        </w:tc>
        <w:tc>
          <w:tcPr>
            <w:tcW w:w="6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NUMBER OF</w:t>
            </w:r>
          </w:p>
        </w:tc>
        <w:tc>
          <w:tcPr>
            <w:tcW w:w="120" w:type="dxa"/>
            <w:vAlign w:val="bottom"/>
            <w:tcBorders>
              <w:right w:val="single" w:sz="8" w:color="auto"/>
            </w:tcBorders>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VALUE OF</w:t>
            </w:r>
          </w:p>
        </w:tc>
        <w:tc>
          <w:tcPr>
            <w:tcW w:w="0" w:type="dxa"/>
            <w:vAlign w:val="bottom"/>
          </w:tcPr>
          <w:p>
            <w:pPr>
              <w:spacing w:after="0"/>
              <w:rPr>
                <w:sz w:val="1"/>
                <w:szCs w:val="1"/>
                <w:color w:val="auto"/>
              </w:rPr>
            </w:pPr>
          </w:p>
        </w:tc>
      </w:tr>
      <w:tr>
        <w:trPr>
          <w:trHeight w:val="108"/>
        </w:trPr>
        <w:tc>
          <w:tcPr>
            <w:tcW w:w="190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3000" w:type="dxa"/>
            <w:vAlign w:val="bottom"/>
            <w:gridSpan w:val="5"/>
          </w:tcPr>
          <w:p>
            <w:pPr>
              <w:jc w:val="center"/>
              <w:spacing w:after="0" w:line="108" w:lineRule="exact"/>
              <w:rPr>
                <w:sz w:val="20"/>
                <w:szCs w:val="20"/>
                <w:color w:val="auto"/>
              </w:rPr>
            </w:pPr>
            <w:r>
              <w:rPr>
                <w:rFonts w:ascii="Arial" w:cs="Arial" w:eastAsia="Arial" w:hAnsi="Arial"/>
                <w:sz w:val="10"/>
                <w:szCs w:val="10"/>
                <w:b w:val="1"/>
                <w:bCs w:val="1"/>
                <w:color w:val="auto"/>
              </w:rPr>
              <w:t>INCENTIVE PLAN AWARDS</w:t>
            </w:r>
            <w:r>
              <w:rPr>
                <w:rFonts w:ascii="Arial" w:cs="Arial" w:eastAsia="Arial" w:hAnsi="Arial"/>
                <w:sz w:val="12"/>
                <w:szCs w:val="12"/>
                <w:b w:val="1"/>
                <w:bCs w:val="1"/>
                <w:color w:val="auto"/>
                <w:vertAlign w:val="superscript"/>
              </w:rPr>
              <w:t>(1)</w:t>
            </w:r>
          </w:p>
        </w:tc>
        <w:tc>
          <w:tcPr>
            <w:tcW w:w="100" w:type="dxa"/>
            <w:vAlign w:val="bottom"/>
            <w:tcBorders>
              <w:right w:val="single" w:sz="8" w:color="auto"/>
            </w:tcBorders>
          </w:tcPr>
          <w:p>
            <w:pPr>
              <w:spacing w:after="0"/>
              <w:rPr>
                <w:sz w:val="9"/>
                <w:szCs w:val="9"/>
                <w:color w:val="auto"/>
              </w:rPr>
            </w:pPr>
          </w:p>
        </w:tc>
        <w:tc>
          <w:tcPr>
            <w:tcW w:w="2200" w:type="dxa"/>
            <w:vAlign w:val="bottom"/>
            <w:gridSpan w:val="5"/>
          </w:tcPr>
          <w:p>
            <w:pPr>
              <w:jc w:val="center"/>
              <w:ind w:left="546"/>
              <w:spacing w:after="0" w:line="108" w:lineRule="exact"/>
              <w:rPr>
                <w:sz w:val="20"/>
                <w:szCs w:val="20"/>
                <w:color w:val="auto"/>
              </w:rPr>
            </w:pPr>
            <w:r>
              <w:rPr>
                <w:rFonts w:ascii="Arial" w:cs="Arial" w:eastAsia="Arial" w:hAnsi="Arial"/>
                <w:sz w:val="10"/>
                <w:szCs w:val="10"/>
                <w:b w:val="1"/>
                <w:bCs w:val="1"/>
                <w:color w:val="auto"/>
              </w:rPr>
              <w:t>PLAN AWARDS</w:t>
            </w:r>
            <w:r>
              <w:rPr>
                <w:rFonts w:ascii="Arial" w:cs="Arial" w:eastAsia="Arial" w:hAnsi="Arial"/>
                <w:sz w:val="12"/>
                <w:szCs w:val="12"/>
                <w:b w:val="1"/>
                <w:bCs w:val="1"/>
                <w:color w:val="auto"/>
                <w:vertAlign w:val="superscript"/>
              </w:rPr>
              <w:t>(2)</w:t>
            </w:r>
          </w:p>
        </w:tc>
        <w:tc>
          <w:tcPr>
            <w:tcW w:w="62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920" w:type="dxa"/>
            <w:vAlign w:val="bottom"/>
          </w:tcPr>
          <w:p>
            <w:pPr>
              <w:jc w:val="right"/>
              <w:spacing w:after="0" w:line="108" w:lineRule="exact"/>
              <w:rPr>
                <w:sz w:val="20"/>
                <w:szCs w:val="20"/>
                <w:color w:val="auto"/>
              </w:rPr>
            </w:pPr>
            <w:r>
              <w:rPr>
                <w:rFonts w:ascii="Arial" w:cs="Arial" w:eastAsia="Arial" w:hAnsi="Arial"/>
                <w:sz w:val="12"/>
                <w:szCs w:val="12"/>
                <w:b w:val="1"/>
                <w:bCs w:val="1"/>
                <w:color w:val="auto"/>
              </w:rPr>
              <w:t>SHARES OF</w:t>
            </w:r>
          </w:p>
        </w:tc>
        <w:tc>
          <w:tcPr>
            <w:tcW w:w="120" w:type="dxa"/>
            <w:vAlign w:val="bottom"/>
            <w:tcBorders>
              <w:right w:val="single" w:sz="8" w:color="auto"/>
            </w:tcBorders>
          </w:tcPr>
          <w:p>
            <w:pPr>
              <w:spacing w:after="0"/>
              <w:rPr>
                <w:sz w:val="9"/>
                <w:szCs w:val="9"/>
                <w:color w:val="auto"/>
              </w:rPr>
            </w:pPr>
          </w:p>
        </w:tc>
        <w:tc>
          <w:tcPr>
            <w:tcW w:w="920" w:type="dxa"/>
            <w:vAlign w:val="bottom"/>
          </w:tcPr>
          <w:p>
            <w:pPr>
              <w:jc w:val="right"/>
              <w:spacing w:after="0" w:line="108" w:lineRule="exact"/>
              <w:rPr>
                <w:sz w:val="20"/>
                <w:szCs w:val="20"/>
                <w:color w:val="auto"/>
              </w:rPr>
            </w:pPr>
            <w:r>
              <w:rPr>
                <w:rFonts w:ascii="Arial" w:cs="Arial" w:eastAsia="Arial" w:hAnsi="Arial"/>
                <w:sz w:val="12"/>
                <w:szCs w:val="12"/>
                <w:b w:val="1"/>
                <w:bCs w:val="1"/>
                <w:color w:val="auto"/>
              </w:rPr>
              <w:t>STOCK AND</w:t>
            </w:r>
          </w:p>
        </w:tc>
        <w:tc>
          <w:tcPr>
            <w:tcW w:w="0" w:type="dxa"/>
            <w:vAlign w:val="bottom"/>
          </w:tcPr>
          <w:p>
            <w:pPr>
              <w:spacing w:after="0"/>
              <w:rPr>
                <w:sz w:val="1"/>
                <w:szCs w:val="1"/>
                <w:color w:val="auto"/>
              </w:rPr>
            </w:pPr>
          </w:p>
        </w:tc>
      </w:tr>
      <w:tr>
        <w:trPr>
          <w:trHeight w:val="75"/>
        </w:trPr>
        <w:tc>
          <w:tcPr>
            <w:tcW w:w="190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060" w:type="dxa"/>
            <w:vAlign w:val="bottom"/>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94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88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78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620" w:type="dxa"/>
            <w:vAlign w:val="bottom"/>
            <w:tcBorders>
              <w:bottom w:val="single" w:sz="8" w:color="auto"/>
            </w:tcBorders>
          </w:tcPr>
          <w:p>
            <w:pPr>
              <w:spacing w:after="0"/>
              <w:rPr>
                <w:sz w:val="6"/>
                <w:szCs w:val="6"/>
                <w:color w:val="auto"/>
              </w:rPr>
            </w:pPr>
          </w:p>
        </w:tc>
        <w:tc>
          <w:tcPr>
            <w:tcW w:w="120" w:type="dxa"/>
            <w:vAlign w:val="bottom"/>
            <w:tcBorders>
              <w:right w:val="single" w:sz="8" w:color="auto"/>
            </w:tcBorders>
          </w:tcPr>
          <w:p>
            <w:pPr>
              <w:spacing w:after="0"/>
              <w:rPr>
                <w:sz w:val="6"/>
                <w:szCs w:val="6"/>
                <w:color w:val="auto"/>
              </w:rPr>
            </w:pPr>
          </w:p>
        </w:tc>
        <w:tc>
          <w:tcPr>
            <w:tcW w:w="920" w:type="dxa"/>
            <w:vAlign w:val="bottom"/>
          </w:tcPr>
          <w:p>
            <w:pPr>
              <w:jc w:val="right"/>
              <w:spacing w:after="0" w:line="75" w:lineRule="exact"/>
              <w:rPr>
                <w:sz w:val="20"/>
                <w:szCs w:val="20"/>
                <w:color w:val="auto"/>
              </w:rPr>
            </w:pPr>
            <w:r>
              <w:rPr>
                <w:rFonts w:ascii="Arial" w:cs="Arial" w:eastAsia="Arial" w:hAnsi="Arial"/>
                <w:sz w:val="8"/>
                <w:szCs w:val="8"/>
                <w:b w:val="1"/>
                <w:bCs w:val="1"/>
                <w:color w:val="auto"/>
              </w:rPr>
              <w:t>STOCK OR</w:t>
            </w:r>
          </w:p>
        </w:tc>
        <w:tc>
          <w:tcPr>
            <w:tcW w:w="120" w:type="dxa"/>
            <w:vAlign w:val="bottom"/>
            <w:tcBorders>
              <w:right w:val="single" w:sz="8" w:color="auto"/>
            </w:tcBorders>
          </w:tcPr>
          <w:p>
            <w:pPr>
              <w:spacing w:after="0"/>
              <w:rPr>
                <w:sz w:val="6"/>
                <w:szCs w:val="6"/>
                <w:color w:val="auto"/>
              </w:rPr>
            </w:pPr>
          </w:p>
        </w:tc>
        <w:tc>
          <w:tcPr>
            <w:tcW w:w="920" w:type="dxa"/>
            <w:vAlign w:val="bottom"/>
          </w:tcPr>
          <w:p>
            <w:pPr>
              <w:jc w:val="right"/>
              <w:spacing w:after="0" w:line="75" w:lineRule="exact"/>
              <w:rPr>
                <w:sz w:val="20"/>
                <w:szCs w:val="20"/>
                <w:color w:val="auto"/>
              </w:rPr>
            </w:pPr>
            <w:r>
              <w:rPr>
                <w:rFonts w:ascii="Arial" w:cs="Arial" w:eastAsia="Arial" w:hAnsi="Arial"/>
                <w:sz w:val="8"/>
                <w:szCs w:val="8"/>
                <w:b w:val="1"/>
                <w:bCs w:val="1"/>
                <w:color w:val="auto"/>
              </w:rPr>
              <w:t>OPTION</w:t>
            </w:r>
          </w:p>
        </w:tc>
        <w:tc>
          <w:tcPr>
            <w:tcW w:w="0" w:type="dxa"/>
            <w:vAlign w:val="bottom"/>
          </w:tcPr>
          <w:p>
            <w:pPr>
              <w:spacing w:after="0"/>
              <w:rPr>
                <w:sz w:val="1"/>
                <w:szCs w:val="1"/>
                <w:color w:val="auto"/>
              </w:rPr>
            </w:pPr>
          </w:p>
        </w:tc>
      </w:tr>
      <w:tr>
        <w:trPr>
          <w:trHeight w:val="122"/>
        </w:trPr>
        <w:tc>
          <w:tcPr>
            <w:tcW w:w="1900" w:type="dxa"/>
            <w:vAlign w:val="bottom"/>
          </w:tcPr>
          <w:p>
            <w:pPr>
              <w:ind w:left="20"/>
              <w:spacing w:after="0" w:line="122" w:lineRule="exact"/>
              <w:rPr>
                <w:sz w:val="20"/>
                <w:szCs w:val="20"/>
                <w:color w:val="auto"/>
              </w:rPr>
            </w:pPr>
            <w:r>
              <w:rPr>
                <w:rFonts w:ascii="Arial" w:cs="Arial" w:eastAsia="Arial" w:hAnsi="Arial"/>
                <w:sz w:val="12"/>
                <w:szCs w:val="12"/>
                <w:b w:val="1"/>
                <w:bCs w:val="1"/>
                <w:color w:val="auto"/>
              </w:rPr>
              <w:t>NAMED EXECUTIVE</w:t>
            </w:r>
          </w:p>
        </w:tc>
        <w:tc>
          <w:tcPr>
            <w:tcW w:w="100" w:type="dxa"/>
            <w:vAlign w:val="bottom"/>
            <w:tcBorders>
              <w:right w:val="single" w:sz="8" w:color="auto"/>
            </w:tcBorders>
          </w:tcPr>
          <w:p>
            <w:pPr>
              <w:spacing w:after="0"/>
              <w:rPr>
                <w:sz w:val="10"/>
                <w:szCs w:val="10"/>
                <w:color w:val="auto"/>
              </w:rPr>
            </w:pPr>
          </w:p>
        </w:tc>
        <w:tc>
          <w:tcPr>
            <w:tcW w:w="118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2"/>
                <w:szCs w:val="12"/>
                <w:b w:val="1"/>
                <w:bCs w:val="1"/>
                <w:color w:val="auto"/>
              </w:rPr>
              <w:t>GRANT DATE</w:t>
            </w:r>
          </w:p>
        </w:tc>
        <w:tc>
          <w:tcPr>
            <w:tcW w:w="94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THRESHOLD</w:t>
            </w:r>
          </w:p>
        </w:tc>
        <w:tc>
          <w:tcPr>
            <w:tcW w:w="120" w:type="dxa"/>
            <w:vAlign w:val="bottom"/>
            <w:tcBorders>
              <w:right w:val="single" w:sz="8" w:color="auto"/>
            </w:tcBorders>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TARGET</w:t>
            </w:r>
          </w:p>
        </w:tc>
        <w:tc>
          <w:tcPr>
            <w:tcW w:w="100" w:type="dxa"/>
            <w:vAlign w:val="bottom"/>
            <w:tcBorders>
              <w:right w:val="single" w:sz="8" w:color="auto"/>
            </w:tcBorders>
          </w:tcPr>
          <w:p>
            <w:pPr>
              <w:spacing w:after="0"/>
              <w:rPr>
                <w:sz w:val="10"/>
                <w:szCs w:val="10"/>
                <w:color w:val="auto"/>
              </w:rPr>
            </w:pPr>
          </w:p>
        </w:tc>
        <w:tc>
          <w:tcPr>
            <w:tcW w:w="96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MAXIMUM</w:t>
            </w:r>
          </w:p>
        </w:tc>
        <w:tc>
          <w:tcPr>
            <w:tcW w:w="100" w:type="dxa"/>
            <w:vAlign w:val="bottom"/>
            <w:tcBorders>
              <w:right w:val="single" w:sz="8" w:color="auto"/>
            </w:tcBorders>
          </w:tcPr>
          <w:p>
            <w:pPr>
              <w:spacing w:after="0"/>
              <w:rPr>
                <w:sz w:val="10"/>
                <w:szCs w:val="10"/>
                <w:color w:val="auto"/>
              </w:rPr>
            </w:pPr>
          </w:p>
        </w:tc>
        <w:tc>
          <w:tcPr>
            <w:tcW w:w="100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THRESHOLD</w:t>
            </w:r>
          </w:p>
        </w:tc>
        <w:tc>
          <w:tcPr>
            <w:tcW w:w="100" w:type="dxa"/>
            <w:vAlign w:val="bottom"/>
            <w:tcBorders>
              <w:right w:val="single" w:sz="8" w:color="auto"/>
            </w:tcBorders>
          </w:tcPr>
          <w:p>
            <w:pPr>
              <w:spacing w:after="0"/>
              <w:rPr>
                <w:sz w:val="10"/>
                <w:szCs w:val="10"/>
                <w:color w:val="auto"/>
              </w:rPr>
            </w:pPr>
          </w:p>
        </w:tc>
        <w:tc>
          <w:tcPr>
            <w:tcW w:w="900" w:type="dxa"/>
            <w:vAlign w:val="bottom"/>
            <w:tcBorders>
              <w:right w:val="single" w:sz="8" w:color="auto"/>
            </w:tcBorders>
            <w:gridSpan w:val="2"/>
          </w:tcPr>
          <w:p>
            <w:pPr>
              <w:jc w:val="right"/>
              <w:ind w:right="140"/>
              <w:spacing w:after="0" w:line="122" w:lineRule="exact"/>
              <w:rPr>
                <w:sz w:val="20"/>
                <w:szCs w:val="20"/>
                <w:color w:val="auto"/>
              </w:rPr>
            </w:pPr>
            <w:r>
              <w:rPr>
                <w:rFonts w:ascii="Arial" w:cs="Arial" w:eastAsia="Arial" w:hAnsi="Arial"/>
                <w:sz w:val="12"/>
                <w:szCs w:val="12"/>
                <w:b w:val="1"/>
                <w:bCs w:val="1"/>
                <w:color w:val="auto"/>
              </w:rPr>
              <w:t>TARGET</w:t>
            </w:r>
          </w:p>
        </w:tc>
        <w:tc>
          <w:tcPr>
            <w:tcW w:w="200" w:type="dxa"/>
            <w:vAlign w:val="bottom"/>
          </w:tcPr>
          <w:p>
            <w:pPr>
              <w:spacing w:after="0"/>
              <w:rPr>
                <w:sz w:val="10"/>
                <w:szCs w:val="10"/>
                <w:color w:val="auto"/>
              </w:rPr>
            </w:pPr>
          </w:p>
        </w:tc>
        <w:tc>
          <w:tcPr>
            <w:tcW w:w="620" w:type="dxa"/>
            <w:vAlign w:val="bottom"/>
          </w:tcPr>
          <w:p>
            <w:pPr>
              <w:jc w:val="right"/>
              <w:spacing w:after="0" w:line="122" w:lineRule="exact"/>
              <w:rPr>
                <w:sz w:val="20"/>
                <w:szCs w:val="20"/>
                <w:color w:val="auto"/>
              </w:rPr>
            </w:pPr>
            <w:r>
              <w:rPr>
                <w:rFonts w:ascii="Arial" w:cs="Arial" w:eastAsia="Arial" w:hAnsi="Arial"/>
                <w:sz w:val="12"/>
                <w:szCs w:val="12"/>
                <w:b w:val="1"/>
                <w:bCs w:val="1"/>
                <w:color w:val="auto"/>
                <w:w w:val="98"/>
              </w:rPr>
              <w:t>MAXIMUM</w:t>
            </w:r>
          </w:p>
        </w:tc>
        <w:tc>
          <w:tcPr>
            <w:tcW w:w="120" w:type="dxa"/>
            <w:vAlign w:val="bottom"/>
            <w:tcBorders>
              <w:right w:val="single" w:sz="8" w:color="auto"/>
            </w:tcBorders>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UNITS</w:t>
            </w:r>
          </w:p>
        </w:tc>
        <w:tc>
          <w:tcPr>
            <w:tcW w:w="120" w:type="dxa"/>
            <w:vAlign w:val="bottom"/>
            <w:tcBorders>
              <w:right w:val="single" w:sz="8" w:color="auto"/>
            </w:tcBorders>
          </w:tcPr>
          <w:p>
            <w:pPr>
              <w:spacing w:after="0"/>
              <w:rPr>
                <w:sz w:val="10"/>
                <w:szCs w:val="10"/>
                <w:color w:val="auto"/>
              </w:rPr>
            </w:pPr>
          </w:p>
        </w:tc>
        <w:tc>
          <w:tcPr>
            <w:tcW w:w="92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AWARDS</w:t>
            </w:r>
          </w:p>
        </w:tc>
        <w:tc>
          <w:tcPr>
            <w:tcW w:w="0" w:type="dxa"/>
            <w:vAlign w:val="bottom"/>
          </w:tcPr>
          <w:p>
            <w:pPr>
              <w:spacing w:after="0"/>
              <w:rPr>
                <w:sz w:val="1"/>
                <w:szCs w:val="1"/>
                <w:color w:val="auto"/>
              </w:rPr>
            </w:pPr>
          </w:p>
        </w:tc>
      </w:tr>
      <w:tr>
        <w:trPr>
          <w:trHeight w:val="162"/>
        </w:trPr>
        <w:tc>
          <w:tcPr>
            <w:tcW w:w="1900" w:type="dxa"/>
            <w:vAlign w:val="bottom"/>
          </w:tcPr>
          <w:p>
            <w:pPr>
              <w:ind w:left="20"/>
              <w:spacing w:after="0"/>
              <w:rPr>
                <w:sz w:val="20"/>
                <w:szCs w:val="20"/>
                <w:color w:val="auto"/>
              </w:rPr>
            </w:pPr>
            <w:r>
              <w:rPr>
                <w:rFonts w:ascii="Arial" w:cs="Arial" w:eastAsia="Arial" w:hAnsi="Arial"/>
                <w:sz w:val="12"/>
                <w:szCs w:val="12"/>
                <w:b w:val="1"/>
                <w:bCs w:val="1"/>
                <w:color w:val="auto"/>
              </w:rPr>
              <w:t>OFFICER</w:t>
            </w:r>
          </w:p>
        </w:tc>
        <w:tc>
          <w:tcPr>
            <w:tcW w:w="100" w:type="dxa"/>
            <w:vAlign w:val="bottom"/>
            <w:tcBorders>
              <w:right w:val="single" w:sz="8" w:color="auto"/>
            </w:tcBorders>
          </w:tcPr>
          <w:p>
            <w:pPr>
              <w:spacing w:after="0"/>
              <w:rPr>
                <w:sz w:val="14"/>
                <w:szCs w:val="14"/>
                <w:color w:val="auto"/>
              </w:rPr>
            </w:pPr>
          </w:p>
        </w:tc>
        <w:tc>
          <w:tcPr>
            <w:tcW w:w="1180" w:type="dxa"/>
            <w:vAlign w:val="bottom"/>
            <w:tcBorders>
              <w:right w:val="single" w:sz="8" w:color="auto"/>
            </w:tcBorders>
            <w:gridSpan w:val="2"/>
            <w:vMerge w:val="continue"/>
          </w:tcPr>
          <w:p>
            <w:pPr>
              <w:spacing w:after="0"/>
              <w:rPr>
                <w:sz w:val="14"/>
                <w:szCs w:val="14"/>
                <w:color w:val="auto"/>
              </w:rPr>
            </w:pPr>
          </w:p>
        </w:tc>
        <w:tc>
          <w:tcPr>
            <w:tcW w:w="94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Borders>
              <w:right w:val="single" w:sz="8" w:color="auto"/>
            </w:tcBorders>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tcBorders>
              <w:right w:val="single" w:sz="8" w:color="auto"/>
            </w:tcBorders>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tcBorders>
              <w:right w:val="single" w:sz="8" w:color="auto"/>
            </w:tcBorders>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00" w:type="dxa"/>
            <w:vAlign w:val="bottom"/>
            <w:tcBorders>
              <w:right w:val="single" w:sz="8" w:color="auto"/>
            </w:tcBorders>
          </w:tcPr>
          <w:p>
            <w:pPr>
              <w:spacing w:after="0"/>
              <w:rPr>
                <w:sz w:val="14"/>
                <w:szCs w:val="14"/>
                <w:color w:val="auto"/>
              </w:rPr>
            </w:pPr>
          </w:p>
        </w:tc>
        <w:tc>
          <w:tcPr>
            <w:tcW w:w="78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Borders>
              <w:right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Arial" w:cs="Arial" w:eastAsia="Arial" w:hAnsi="Arial"/>
                <w:sz w:val="12"/>
                <w:szCs w:val="12"/>
                <w:b w:val="1"/>
                <w:bCs w:val="1"/>
                <w:color w:val="auto"/>
              </w:rPr>
              <w:t>(#)</w:t>
            </w:r>
          </w:p>
        </w:tc>
        <w:tc>
          <w:tcPr>
            <w:tcW w:w="120" w:type="dxa"/>
            <w:vAlign w:val="bottom"/>
            <w:tcBorders>
              <w:right w:val="single" w:sz="8" w:color="auto"/>
            </w:tcBorders>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(3)</w:t>
            </w:r>
          </w:p>
        </w:tc>
        <w:tc>
          <w:tcPr>
            <w:tcW w:w="120" w:type="dxa"/>
            <w:vAlign w:val="bottom"/>
            <w:tcBorders>
              <w:right w:val="single" w:sz="8" w:color="auto"/>
            </w:tcBorders>
          </w:tcPr>
          <w:p>
            <w:pPr>
              <w:spacing w:after="0"/>
              <w:rPr>
                <w:sz w:val="14"/>
                <w:szCs w:val="14"/>
                <w:color w:val="auto"/>
              </w:rPr>
            </w:pPr>
          </w:p>
        </w:tc>
        <w:tc>
          <w:tcPr>
            <w:tcW w:w="920" w:type="dxa"/>
            <w:vAlign w:val="bottom"/>
          </w:tcPr>
          <w:p>
            <w:pPr>
              <w:jc w:val="right"/>
              <w:spacing w:after="0" w:line="162"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(4)</w:t>
            </w:r>
          </w:p>
        </w:tc>
        <w:tc>
          <w:tcPr>
            <w:tcW w:w="0" w:type="dxa"/>
            <w:vAlign w:val="bottom"/>
          </w:tcPr>
          <w:p>
            <w:pPr>
              <w:spacing w:after="0"/>
              <w:rPr>
                <w:sz w:val="1"/>
                <w:szCs w:val="1"/>
                <w:color w:val="auto"/>
              </w:rPr>
            </w:pPr>
          </w:p>
        </w:tc>
      </w:tr>
      <w:tr>
        <w:trPr>
          <w:trHeight w:val="209"/>
        </w:trPr>
        <w:tc>
          <w:tcPr>
            <w:tcW w:w="1900" w:type="dxa"/>
            <w:vAlign w:val="bottom"/>
            <w:tcBorders>
              <w:top w:val="single" w:sz="8" w:color="auto"/>
              <w:bottom w:val="single" w:sz="8" w:color="E6E7E8"/>
            </w:tcBorders>
            <w:shd w:val="clear" w:color="auto" w:fill="E6E7E8"/>
          </w:tcPr>
          <w:p>
            <w:pPr>
              <w:ind w:left="20"/>
              <w:spacing w:after="0"/>
              <w:rPr>
                <w:sz w:val="20"/>
                <w:szCs w:val="20"/>
                <w:color w:val="auto"/>
              </w:rPr>
            </w:pPr>
            <w:r>
              <w:rPr>
                <w:rFonts w:ascii="Arial" w:cs="Arial" w:eastAsia="Arial" w:hAnsi="Arial"/>
                <w:sz w:val="15"/>
                <w:szCs w:val="15"/>
                <w:b w:val="1"/>
                <w:bCs w:val="1"/>
                <w:color w:val="004A98"/>
              </w:rPr>
              <w:t>D. James Bidzos</w:t>
            </w:r>
          </w:p>
        </w:tc>
        <w:tc>
          <w:tcPr>
            <w:tcW w:w="100" w:type="dxa"/>
            <w:vAlign w:val="bottom"/>
            <w:tcBorders>
              <w:right w:val="single" w:sz="8" w:color="E6E7E8"/>
            </w:tcBorders>
          </w:tcPr>
          <w:p>
            <w:pPr>
              <w:spacing w:after="0"/>
              <w:rPr>
                <w:sz w:val="18"/>
                <w:szCs w:val="18"/>
                <w:color w:val="auto"/>
              </w:rPr>
            </w:pPr>
          </w:p>
        </w:tc>
        <w:tc>
          <w:tcPr>
            <w:tcW w:w="1060" w:type="dxa"/>
            <w:vAlign w:val="bottom"/>
            <w:tcBorders>
              <w:top w:val="single" w:sz="8" w:color="auto"/>
              <w:bottom w:val="single" w:sz="8" w:color="939598"/>
            </w:tcBorders>
            <w:shd w:val="clear" w:color="auto" w:fill="E6E7E8"/>
          </w:tcPr>
          <w:p>
            <w:pPr>
              <w:jc w:val="right"/>
              <w:spacing w:after="0"/>
              <w:rPr>
                <w:sz w:val="20"/>
                <w:szCs w:val="20"/>
                <w:color w:val="auto"/>
              </w:rPr>
            </w:pPr>
            <w:r>
              <w:rPr>
                <w:rFonts w:ascii="Arial" w:cs="Arial" w:eastAsia="Arial" w:hAnsi="Arial"/>
                <w:sz w:val="15"/>
                <w:szCs w:val="15"/>
                <w:color w:val="auto"/>
              </w:rPr>
              <w:t>N/A</w:t>
            </w:r>
          </w:p>
        </w:tc>
        <w:tc>
          <w:tcPr>
            <w:tcW w:w="120" w:type="dxa"/>
            <w:vAlign w:val="bottom"/>
            <w:tcBorders>
              <w:right w:val="single" w:sz="8" w:color="E6E7E8"/>
            </w:tcBorders>
          </w:tcPr>
          <w:p>
            <w:pPr>
              <w:spacing w:after="0"/>
              <w:rPr>
                <w:sz w:val="18"/>
                <w:szCs w:val="18"/>
                <w:color w:val="auto"/>
              </w:rPr>
            </w:pPr>
          </w:p>
        </w:tc>
        <w:tc>
          <w:tcPr>
            <w:tcW w:w="940" w:type="dxa"/>
            <w:vAlign w:val="bottom"/>
            <w:tcBorders>
              <w:top w:val="single" w:sz="8" w:color="auto"/>
              <w:bottom w:val="single" w:sz="8" w:color="939598"/>
            </w:tcBorders>
            <w:shd w:val="clear" w:color="auto" w:fill="E6E7E8"/>
          </w:tcPr>
          <w:p>
            <w:pPr>
              <w:jc w:val="right"/>
              <w:spacing w:after="0"/>
              <w:rPr>
                <w:sz w:val="20"/>
                <w:szCs w:val="20"/>
                <w:color w:val="auto"/>
              </w:rPr>
            </w:pPr>
            <w:r>
              <w:rPr>
                <w:rFonts w:ascii="Arial" w:cs="Arial" w:eastAsia="Arial" w:hAnsi="Arial"/>
                <w:sz w:val="15"/>
                <w:szCs w:val="15"/>
                <w:color w:val="auto"/>
              </w:rPr>
              <w:t>356,250</w:t>
            </w:r>
          </w:p>
        </w:tc>
        <w:tc>
          <w:tcPr>
            <w:tcW w:w="120" w:type="dxa"/>
            <w:vAlign w:val="bottom"/>
            <w:tcBorders>
              <w:right w:val="single" w:sz="8" w:color="E6E7E8"/>
            </w:tcBorders>
          </w:tcPr>
          <w:p>
            <w:pPr>
              <w:spacing w:after="0"/>
              <w:rPr>
                <w:sz w:val="18"/>
                <w:szCs w:val="18"/>
                <w:color w:val="auto"/>
              </w:rPr>
            </w:pPr>
          </w:p>
        </w:tc>
        <w:tc>
          <w:tcPr>
            <w:tcW w:w="880" w:type="dxa"/>
            <w:vAlign w:val="bottom"/>
            <w:tcBorders>
              <w:top w:val="single" w:sz="8" w:color="auto"/>
              <w:bottom w:val="single" w:sz="8" w:color="939598"/>
            </w:tcBorders>
            <w:shd w:val="clear" w:color="auto" w:fill="E6E7E8"/>
          </w:tcPr>
          <w:p>
            <w:pPr>
              <w:jc w:val="right"/>
              <w:spacing w:after="0"/>
              <w:rPr>
                <w:sz w:val="20"/>
                <w:szCs w:val="20"/>
                <w:color w:val="auto"/>
              </w:rPr>
            </w:pPr>
            <w:r>
              <w:rPr>
                <w:rFonts w:ascii="Arial" w:cs="Arial" w:eastAsia="Arial" w:hAnsi="Arial"/>
                <w:sz w:val="15"/>
                <w:szCs w:val="15"/>
                <w:color w:val="auto"/>
              </w:rPr>
              <w:t>1,425,000</w:t>
            </w:r>
          </w:p>
        </w:tc>
        <w:tc>
          <w:tcPr>
            <w:tcW w:w="100" w:type="dxa"/>
            <w:vAlign w:val="bottom"/>
            <w:tcBorders>
              <w:right w:val="single" w:sz="8" w:color="E5E5E5"/>
            </w:tcBorders>
          </w:tcPr>
          <w:p>
            <w:pPr>
              <w:spacing w:after="0"/>
              <w:rPr>
                <w:sz w:val="18"/>
                <w:szCs w:val="18"/>
                <w:color w:val="auto"/>
              </w:rPr>
            </w:pPr>
          </w:p>
        </w:tc>
        <w:tc>
          <w:tcPr>
            <w:tcW w:w="960" w:type="dxa"/>
            <w:vAlign w:val="bottom"/>
            <w:tcBorders>
              <w:top w:val="single" w:sz="8" w:color="auto"/>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2,493,750</w:t>
            </w:r>
          </w:p>
        </w:tc>
        <w:tc>
          <w:tcPr>
            <w:tcW w:w="100" w:type="dxa"/>
            <w:vAlign w:val="bottom"/>
            <w:tcBorders>
              <w:right w:val="single" w:sz="8" w:color="E6E7E8"/>
            </w:tcBorders>
          </w:tcPr>
          <w:p>
            <w:pPr>
              <w:spacing w:after="0"/>
              <w:rPr>
                <w:sz w:val="18"/>
                <w:szCs w:val="18"/>
                <w:color w:val="auto"/>
              </w:rPr>
            </w:pPr>
          </w:p>
        </w:tc>
        <w:tc>
          <w:tcPr>
            <w:tcW w:w="1000" w:type="dxa"/>
            <w:vAlign w:val="bottom"/>
            <w:tcBorders>
              <w:top w:val="single" w:sz="8" w:color="939598"/>
              <w:bottom w:val="single" w:sz="8" w:color="939598"/>
            </w:tcBorders>
            <w:shd w:val="clear" w:color="auto" w:fill="E6E7E8"/>
          </w:tcPr>
          <w:p>
            <w:pPr>
              <w:jc w:val="right"/>
              <w:ind w:right="6"/>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E6E7E8"/>
            </w:tcBorders>
          </w:tcPr>
          <w:p>
            <w:pPr>
              <w:spacing w:after="0"/>
              <w:rPr>
                <w:sz w:val="18"/>
                <w:szCs w:val="18"/>
                <w:color w:val="auto"/>
              </w:rPr>
            </w:pPr>
          </w:p>
        </w:tc>
        <w:tc>
          <w:tcPr>
            <w:tcW w:w="78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200" w:type="dxa"/>
            <w:vAlign w:val="bottom"/>
            <w:tcBorders>
              <w:top w:val="single" w:sz="8" w:color="939598"/>
              <w:bottom w:val="single" w:sz="8" w:color="939598"/>
            </w:tcBorders>
            <w:shd w:val="clear" w:color="auto" w:fill="E6E7E8"/>
          </w:tcPr>
          <w:p>
            <w:pPr>
              <w:spacing w:after="0"/>
              <w:rPr>
                <w:sz w:val="18"/>
                <w:szCs w:val="18"/>
                <w:color w:val="auto"/>
              </w:rPr>
            </w:pPr>
          </w:p>
        </w:tc>
        <w:tc>
          <w:tcPr>
            <w:tcW w:w="62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92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92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900" w:type="dxa"/>
            <w:vAlign w:val="bottom"/>
            <w:tcBorders>
              <w:bottom w:val="single" w:sz="8" w:color="E6E7E8"/>
            </w:tcBorders>
            <w:shd w:val="clear" w:color="auto" w:fill="E6E7E8"/>
          </w:tcPr>
          <w:p>
            <w:pPr>
              <w:spacing w:after="0"/>
              <w:rPr>
                <w:sz w:val="18"/>
                <w:szCs w:val="18"/>
                <w:color w:val="auto"/>
              </w:rPr>
            </w:pPr>
          </w:p>
        </w:tc>
        <w:tc>
          <w:tcPr>
            <w:tcW w:w="100" w:type="dxa"/>
            <w:vAlign w:val="bottom"/>
            <w:tcBorders>
              <w:right w:val="single" w:sz="8" w:color="E6E7E8"/>
            </w:tcBorders>
          </w:tcPr>
          <w:p>
            <w:pPr>
              <w:spacing w:after="0"/>
              <w:rPr>
                <w:sz w:val="18"/>
                <w:szCs w:val="18"/>
                <w:color w:val="auto"/>
              </w:rPr>
            </w:pPr>
          </w:p>
        </w:tc>
        <w:tc>
          <w:tcPr>
            <w:tcW w:w="106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5"/>
                <w:szCs w:val="15"/>
                <w:color w:val="auto"/>
              </w:rPr>
              <w:t>2/12/2024</w:t>
            </w:r>
          </w:p>
        </w:tc>
        <w:tc>
          <w:tcPr>
            <w:tcW w:w="120" w:type="dxa"/>
            <w:vAlign w:val="bottom"/>
            <w:tcBorders>
              <w:right w:val="single" w:sz="8" w:color="E6E7E8"/>
            </w:tcBorders>
          </w:tcPr>
          <w:p>
            <w:pPr>
              <w:spacing w:after="0"/>
              <w:rPr>
                <w:sz w:val="18"/>
                <w:szCs w:val="18"/>
                <w:color w:val="auto"/>
              </w:rPr>
            </w:pPr>
          </w:p>
        </w:tc>
        <w:tc>
          <w:tcPr>
            <w:tcW w:w="94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88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E6E7E8"/>
            </w:tcBorders>
          </w:tcPr>
          <w:p>
            <w:pPr>
              <w:spacing w:after="0"/>
              <w:rPr>
                <w:sz w:val="18"/>
                <w:szCs w:val="18"/>
                <w:color w:val="auto"/>
              </w:rPr>
            </w:pPr>
          </w:p>
        </w:tc>
        <w:tc>
          <w:tcPr>
            <w:tcW w:w="960" w:type="dxa"/>
            <w:vAlign w:val="bottom"/>
            <w:tcBorders>
              <w:bottom w:val="single" w:sz="8" w:color="939598"/>
            </w:tcBorders>
            <w:shd w:val="clear" w:color="auto" w:fill="E6E7E8"/>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E5E5E5"/>
            </w:tcBorders>
          </w:tcPr>
          <w:p>
            <w:pPr>
              <w:spacing w:after="0"/>
              <w:rPr>
                <w:sz w:val="18"/>
                <w:szCs w:val="18"/>
                <w:color w:val="auto"/>
              </w:rPr>
            </w:pPr>
          </w:p>
        </w:tc>
        <w:tc>
          <w:tcPr>
            <w:tcW w:w="100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26,959</w:t>
            </w:r>
          </w:p>
        </w:tc>
        <w:tc>
          <w:tcPr>
            <w:tcW w:w="100" w:type="dxa"/>
            <w:vAlign w:val="bottom"/>
            <w:tcBorders>
              <w:right w:val="single" w:sz="8" w:color="E5E5E5"/>
            </w:tcBorders>
          </w:tcPr>
          <w:p>
            <w:pPr>
              <w:spacing w:after="0"/>
              <w:rPr>
                <w:sz w:val="18"/>
                <w:szCs w:val="18"/>
                <w:color w:val="auto"/>
              </w:rPr>
            </w:pPr>
          </w:p>
        </w:tc>
        <w:tc>
          <w:tcPr>
            <w:tcW w:w="78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35,945</w:t>
            </w:r>
          </w:p>
        </w:tc>
        <w:tc>
          <w:tcPr>
            <w:tcW w:w="120" w:type="dxa"/>
            <w:vAlign w:val="bottom"/>
            <w:tcBorders>
              <w:right w:val="single" w:sz="8" w:color="E5E5E5"/>
            </w:tcBorders>
          </w:tcPr>
          <w:p>
            <w:pPr>
              <w:spacing w:after="0"/>
              <w:rPr>
                <w:sz w:val="18"/>
                <w:szCs w:val="18"/>
                <w:color w:val="auto"/>
              </w:rPr>
            </w:pPr>
          </w:p>
        </w:tc>
        <w:tc>
          <w:tcPr>
            <w:tcW w:w="200" w:type="dxa"/>
            <w:vAlign w:val="bottom"/>
            <w:tcBorders>
              <w:bottom w:val="single" w:sz="8" w:color="939598"/>
            </w:tcBorders>
            <w:shd w:val="clear" w:color="auto" w:fill="E5E5E5"/>
          </w:tcPr>
          <w:p>
            <w:pPr>
              <w:spacing w:after="0"/>
              <w:rPr>
                <w:sz w:val="18"/>
                <w:szCs w:val="18"/>
                <w:color w:val="auto"/>
              </w:rPr>
            </w:pPr>
          </w:p>
        </w:tc>
        <w:tc>
          <w:tcPr>
            <w:tcW w:w="6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53,918</w:t>
            </w:r>
          </w:p>
        </w:tc>
        <w:tc>
          <w:tcPr>
            <w:tcW w:w="120" w:type="dxa"/>
            <w:vAlign w:val="bottom"/>
            <w:tcBorders>
              <w:right w:val="single" w:sz="8" w:color="E6E7E8"/>
            </w:tcBorders>
          </w:tcPr>
          <w:p>
            <w:pPr>
              <w:spacing w:after="0"/>
              <w:rPr>
                <w:sz w:val="18"/>
                <w:szCs w:val="18"/>
                <w:color w:val="auto"/>
              </w:rPr>
            </w:pPr>
          </w:p>
        </w:tc>
        <w:tc>
          <w:tcPr>
            <w:tcW w:w="9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9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5"/>
                <w:szCs w:val="15"/>
                <w:color w:val="auto"/>
              </w:rPr>
              <w:t>7,039,469</w:t>
            </w:r>
          </w:p>
        </w:tc>
        <w:tc>
          <w:tcPr>
            <w:tcW w:w="0" w:type="dxa"/>
            <w:vAlign w:val="bottom"/>
          </w:tcPr>
          <w:p>
            <w:pPr>
              <w:spacing w:after="0"/>
              <w:rPr>
                <w:sz w:val="1"/>
                <w:szCs w:val="1"/>
                <w:color w:val="auto"/>
              </w:rPr>
            </w:pPr>
          </w:p>
        </w:tc>
      </w:tr>
      <w:tr>
        <w:trPr>
          <w:trHeight w:val="210"/>
        </w:trPr>
        <w:tc>
          <w:tcPr>
            <w:tcW w:w="1900" w:type="dxa"/>
            <w:vAlign w:val="bottom"/>
            <w:shd w:val="clear" w:color="auto" w:fill="E6E7E8"/>
          </w:tcPr>
          <w:p>
            <w:pPr>
              <w:spacing w:after="0"/>
              <w:rPr>
                <w:sz w:val="18"/>
                <w:szCs w:val="18"/>
                <w:color w:val="auto"/>
              </w:rPr>
            </w:pPr>
          </w:p>
        </w:tc>
        <w:tc>
          <w:tcPr>
            <w:tcW w:w="100" w:type="dxa"/>
            <w:vAlign w:val="bottom"/>
            <w:tcBorders>
              <w:right w:val="single" w:sz="8" w:color="E6E7E8"/>
            </w:tcBorders>
          </w:tcPr>
          <w:p>
            <w:pPr>
              <w:spacing w:after="0"/>
              <w:rPr>
                <w:sz w:val="18"/>
                <w:szCs w:val="18"/>
                <w:color w:val="auto"/>
              </w:rPr>
            </w:pPr>
          </w:p>
        </w:tc>
        <w:tc>
          <w:tcPr>
            <w:tcW w:w="106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5"/>
                <w:szCs w:val="15"/>
                <w:color w:val="auto"/>
              </w:rPr>
              <w:t>2/12/2024</w:t>
            </w:r>
          </w:p>
        </w:tc>
        <w:tc>
          <w:tcPr>
            <w:tcW w:w="120" w:type="dxa"/>
            <w:vAlign w:val="bottom"/>
            <w:tcBorders>
              <w:right w:val="single" w:sz="8" w:color="E6E7E8"/>
            </w:tcBorders>
          </w:tcPr>
          <w:p>
            <w:pPr>
              <w:spacing w:after="0"/>
              <w:rPr>
                <w:sz w:val="18"/>
                <w:szCs w:val="18"/>
                <w:color w:val="auto"/>
              </w:rPr>
            </w:pPr>
          </w:p>
        </w:tc>
        <w:tc>
          <w:tcPr>
            <w:tcW w:w="94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88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E6E7E8"/>
            </w:tcBorders>
          </w:tcPr>
          <w:p>
            <w:pPr>
              <w:spacing w:after="0"/>
              <w:rPr>
                <w:sz w:val="18"/>
                <w:szCs w:val="18"/>
                <w:color w:val="auto"/>
              </w:rPr>
            </w:pPr>
          </w:p>
        </w:tc>
        <w:tc>
          <w:tcPr>
            <w:tcW w:w="960" w:type="dxa"/>
            <w:vAlign w:val="bottom"/>
            <w:tcBorders>
              <w:bottom w:val="single" w:sz="8" w:color="939598"/>
            </w:tcBorders>
            <w:shd w:val="clear" w:color="auto" w:fill="E6E7E8"/>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E6E7E8"/>
            </w:tcBorders>
          </w:tcPr>
          <w:p>
            <w:pPr>
              <w:spacing w:after="0"/>
              <w:rPr>
                <w:sz w:val="18"/>
                <w:szCs w:val="18"/>
                <w:color w:val="auto"/>
              </w:rPr>
            </w:pPr>
          </w:p>
        </w:tc>
        <w:tc>
          <w:tcPr>
            <w:tcW w:w="1000" w:type="dxa"/>
            <w:vAlign w:val="bottom"/>
            <w:tcBorders>
              <w:bottom w:val="single" w:sz="8" w:color="939598"/>
            </w:tcBorders>
            <w:shd w:val="clear" w:color="auto" w:fill="E6E7E8"/>
          </w:tcPr>
          <w:p>
            <w:pPr>
              <w:jc w:val="right"/>
              <w:ind w:right="6"/>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E6E7E8"/>
            </w:tcBorders>
          </w:tcPr>
          <w:p>
            <w:pPr>
              <w:spacing w:after="0"/>
              <w:rPr>
                <w:sz w:val="18"/>
                <w:szCs w:val="18"/>
                <w:color w:val="auto"/>
              </w:rPr>
            </w:pPr>
          </w:p>
        </w:tc>
        <w:tc>
          <w:tcPr>
            <w:tcW w:w="78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200" w:type="dxa"/>
            <w:vAlign w:val="bottom"/>
            <w:tcBorders>
              <w:bottom w:val="single" w:sz="8" w:color="939598"/>
            </w:tcBorders>
            <w:shd w:val="clear" w:color="auto" w:fill="E6E7E8"/>
          </w:tcPr>
          <w:p>
            <w:pPr>
              <w:spacing w:after="0"/>
              <w:rPr>
                <w:sz w:val="18"/>
                <w:szCs w:val="18"/>
                <w:color w:val="auto"/>
              </w:rPr>
            </w:pPr>
          </w:p>
        </w:tc>
        <w:tc>
          <w:tcPr>
            <w:tcW w:w="6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5E5E5"/>
            </w:tcBorders>
          </w:tcPr>
          <w:p>
            <w:pPr>
              <w:spacing w:after="0"/>
              <w:rPr>
                <w:sz w:val="18"/>
                <w:szCs w:val="18"/>
                <w:color w:val="auto"/>
              </w:rPr>
            </w:pPr>
          </w:p>
        </w:tc>
        <w:tc>
          <w:tcPr>
            <w:tcW w:w="92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23,963</w:t>
            </w:r>
          </w:p>
        </w:tc>
        <w:tc>
          <w:tcPr>
            <w:tcW w:w="120" w:type="dxa"/>
            <w:vAlign w:val="bottom"/>
            <w:tcBorders>
              <w:right w:val="single" w:sz="8" w:color="E6E7E8"/>
            </w:tcBorders>
          </w:tcPr>
          <w:p>
            <w:pPr>
              <w:spacing w:after="0"/>
              <w:rPr>
                <w:sz w:val="18"/>
                <w:szCs w:val="18"/>
                <w:color w:val="auto"/>
              </w:rPr>
            </w:pPr>
          </w:p>
        </w:tc>
        <w:tc>
          <w:tcPr>
            <w:tcW w:w="9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5"/>
                <w:szCs w:val="15"/>
                <w:color w:val="auto"/>
              </w:rPr>
              <w:t>4,692,914</w:t>
            </w:r>
          </w:p>
        </w:tc>
        <w:tc>
          <w:tcPr>
            <w:tcW w:w="0" w:type="dxa"/>
            <w:vAlign w:val="bottom"/>
          </w:tcPr>
          <w:p>
            <w:pPr>
              <w:spacing w:after="0"/>
              <w:rPr>
                <w:sz w:val="1"/>
                <w:szCs w:val="1"/>
                <w:color w:val="auto"/>
              </w:rPr>
            </w:pPr>
          </w:p>
        </w:tc>
      </w:tr>
      <w:tr>
        <w:trPr>
          <w:trHeight w:val="210"/>
        </w:trPr>
        <w:tc>
          <w:tcPr>
            <w:tcW w:w="1900" w:type="dxa"/>
            <w:vAlign w:val="bottom"/>
          </w:tcPr>
          <w:p>
            <w:pPr>
              <w:ind w:left="20"/>
              <w:spacing w:after="0"/>
              <w:rPr>
                <w:sz w:val="20"/>
                <w:szCs w:val="20"/>
                <w:color w:val="auto"/>
              </w:rPr>
            </w:pPr>
            <w:r>
              <w:rPr>
                <w:rFonts w:ascii="Arial" w:cs="Arial" w:eastAsia="Arial" w:hAnsi="Arial"/>
                <w:sz w:val="15"/>
                <w:szCs w:val="15"/>
                <w:b w:val="1"/>
                <w:bCs w:val="1"/>
                <w:color w:val="004A98"/>
              </w:rPr>
              <w:t>Todd B. Strubbe</w:t>
            </w:r>
          </w:p>
        </w:tc>
        <w:tc>
          <w:tcPr>
            <w:tcW w:w="100" w:type="dxa"/>
            <w:vAlign w:val="bottom"/>
          </w:tcPr>
          <w:p>
            <w:pPr>
              <w:spacing w:after="0"/>
              <w:rPr>
                <w:sz w:val="18"/>
                <w:szCs w:val="18"/>
                <w:color w:val="auto"/>
              </w:rPr>
            </w:pPr>
          </w:p>
        </w:tc>
        <w:tc>
          <w:tcPr>
            <w:tcW w:w="106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N/A</w:t>
            </w:r>
          </w:p>
        </w:tc>
        <w:tc>
          <w:tcPr>
            <w:tcW w:w="120" w:type="dxa"/>
            <w:vAlign w:val="bottom"/>
          </w:tcPr>
          <w:p>
            <w:pPr>
              <w:spacing w:after="0"/>
              <w:rPr>
                <w:sz w:val="18"/>
                <w:szCs w:val="18"/>
                <w:color w:val="auto"/>
              </w:rPr>
            </w:pP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147,500</w:t>
            </w:r>
          </w:p>
        </w:tc>
        <w:tc>
          <w:tcPr>
            <w:tcW w:w="120" w:type="dxa"/>
            <w:vAlign w:val="bottom"/>
          </w:tcPr>
          <w:p>
            <w:pPr>
              <w:spacing w:after="0"/>
              <w:rPr>
                <w:sz w:val="18"/>
                <w:szCs w:val="18"/>
                <w:color w:val="auto"/>
              </w:rPr>
            </w:pP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590,000</w:t>
            </w:r>
          </w:p>
        </w:tc>
        <w:tc>
          <w:tcPr>
            <w:tcW w:w="100" w:type="dxa"/>
            <w:vAlign w:val="bottom"/>
          </w:tcPr>
          <w:p>
            <w:pPr>
              <w:spacing w:after="0"/>
              <w:rPr>
                <w:sz w:val="18"/>
                <w:szCs w:val="18"/>
                <w:color w:val="auto"/>
              </w:rPr>
            </w:pPr>
          </w:p>
        </w:tc>
        <w:tc>
          <w:tcPr>
            <w:tcW w:w="960" w:type="dxa"/>
            <w:vAlign w:val="bottom"/>
            <w:tcBorders>
              <w:bottom w:val="single" w:sz="8" w:color="939598"/>
            </w:tcBorders>
          </w:tcPr>
          <w:p>
            <w:pPr>
              <w:jc w:val="right"/>
              <w:ind w:right="3"/>
              <w:spacing w:after="0"/>
              <w:rPr>
                <w:sz w:val="20"/>
                <w:szCs w:val="20"/>
                <w:color w:val="auto"/>
              </w:rPr>
            </w:pPr>
            <w:r>
              <w:rPr>
                <w:rFonts w:ascii="Arial" w:cs="Arial" w:eastAsia="Arial" w:hAnsi="Arial"/>
                <w:sz w:val="15"/>
                <w:szCs w:val="15"/>
                <w:color w:val="auto"/>
              </w:rPr>
              <w:t>1,032,500</w:t>
            </w:r>
          </w:p>
        </w:tc>
        <w:tc>
          <w:tcPr>
            <w:tcW w:w="100" w:type="dxa"/>
            <w:vAlign w:val="bottom"/>
          </w:tcPr>
          <w:p>
            <w:pPr>
              <w:spacing w:after="0"/>
              <w:rPr>
                <w:sz w:val="18"/>
                <w:szCs w:val="18"/>
                <w:color w:val="auto"/>
              </w:rPr>
            </w:pPr>
          </w:p>
        </w:tc>
        <w:tc>
          <w:tcPr>
            <w:tcW w:w="1000" w:type="dxa"/>
            <w:vAlign w:val="bottom"/>
            <w:tcBorders>
              <w:bottom w:val="single" w:sz="8" w:color="939598"/>
            </w:tcBorders>
          </w:tcPr>
          <w:p>
            <w:pPr>
              <w:jc w:val="right"/>
              <w:ind w:right="6"/>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2/12/2024</w:t>
            </w:r>
          </w:p>
        </w:tc>
        <w:tc>
          <w:tcPr>
            <w:tcW w:w="120" w:type="dxa"/>
            <w:vAlign w:val="bottom"/>
          </w:tcPr>
          <w:p>
            <w:pPr>
              <w:spacing w:after="0"/>
              <w:rPr>
                <w:sz w:val="18"/>
                <w:szCs w:val="18"/>
                <w:color w:val="auto"/>
              </w:rPr>
            </w:pP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tcBorders>
              <w:bottom w:val="single" w:sz="8" w:color="939598"/>
            </w:tcBorders>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6,701</w:t>
            </w:r>
          </w:p>
        </w:tc>
        <w:tc>
          <w:tcPr>
            <w:tcW w:w="100" w:type="dxa"/>
            <w:vAlign w:val="bottom"/>
          </w:tcPr>
          <w:p>
            <w:pPr>
              <w:spacing w:after="0"/>
              <w:rPr>
                <w:sz w:val="18"/>
                <w:szCs w:val="18"/>
                <w:color w:val="auto"/>
              </w:rPr>
            </w:pPr>
          </w:p>
        </w:tc>
        <w:tc>
          <w:tcPr>
            <w:tcW w:w="78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8,935</w:t>
            </w:r>
          </w:p>
        </w:tc>
        <w:tc>
          <w:tcPr>
            <w:tcW w:w="120" w:type="dxa"/>
            <w:vAlign w:val="bottom"/>
          </w:tcPr>
          <w:p>
            <w:pPr>
              <w:spacing w:after="0"/>
              <w:rPr>
                <w:sz w:val="18"/>
                <w:szCs w:val="18"/>
                <w:color w:val="auto"/>
              </w:rPr>
            </w:pPr>
          </w:p>
        </w:tc>
        <w:tc>
          <w:tcPr>
            <w:tcW w:w="20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13,403</w:t>
            </w:r>
          </w:p>
        </w:tc>
        <w:tc>
          <w:tcPr>
            <w:tcW w:w="120" w:type="dxa"/>
            <w:vAlign w:val="bottom"/>
          </w:tcPr>
          <w:p>
            <w:pPr>
              <w:spacing w:after="0"/>
              <w:rPr>
                <w:sz w:val="18"/>
                <w:szCs w:val="18"/>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1,749,830</w:t>
            </w:r>
          </w:p>
        </w:tc>
        <w:tc>
          <w:tcPr>
            <w:tcW w:w="0" w:type="dxa"/>
            <w:vAlign w:val="bottom"/>
          </w:tcPr>
          <w:p>
            <w:pPr>
              <w:spacing w:after="0"/>
              <w:rPr>
                <w:sz w:val="1"/>
                <w:szCs w:val="1"/>
                <w:color w:val="auto"/>
              </w:rPr>
            </w:pPr>
          </w:p>
        </w:tc>
      </w:tr>
      <w:tr>
        <w:trPr>
          <w:trHeight w:val="209"/>
        </w:trPr>
        <w:tc>
          <w:tcPr>
            <w:tcW w:w="19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2/12/2024</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tcPr>
          <w:p>
            <w:pPr>
              <w:jc w:val="right"/>
              <w:ind w:right="6"/>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8,935</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1,749,830</w:t>
            </w:r>
          </w:p>
        </w:tc>
        <w:tc>
          <w:tcPr>
            <w:tcW w:w="0" w:type="dxa"/>
            <w:vAlign w:val="bottom"/>
          </w:tcPr>
          <w:p>
            <w:pPr>
              <w:spacing w:after="0"/>
              <w:rPr>
                <w:sz w:val="1"/>
                <w:szCs w:val="1"/>
                <w:color w:val="auto"/>
              </w:rPr>
            </w:pPr>
          </w:p>
        </w:tc>
      </w:tr>
      <w:tr>
        <w:trPr>
          <w:trHeight w:val="210"/>
        </w:trPr>
        <w:tc>
          <w:tcPr>
            <w:tcW w:w="1900" w:type="dxa"/>
            <w:vAlign w:val="bottom"/>
            <w:tcBorders>
              <w:top w:val="single" w:sz="8" w:color="939598"/>
              <w:bottom w:val="single" w:sz="8" w:color="E6E7E8"/>
            </w:tcBorders>
            <w:shd w:val="clear" w:color="auto" w:fill="E6E7E8"/>
          </w:tcPr>
          <w:p>
            <w:pPr>
              <w:ind w:left="20"/>
              <w:spacing w:after="0"/>
              <w:rPr>
                <w:sz w:val="20"/>
                <w:szCs w:val="20"/>
                <w:color w:val="auto"/>
              </w:rPr>
            </w:pPr>
            <w:r>
              <w:rPr>
                <w:rFonts w:ascii="Arial" w:cs="Arial" w:eastAsia="Arial" w:hAnsi="Arial"/>
                <w:sz w:val="15"/>
                <w:szCs w:val="15"/>
                <w:b w:val="1"/>
                <w:bCs w:val="1"/>
                <w:color w:val="004A98"/>
              </w:rPr>
              <w:t>George E. Kilguss, III</w:t>
            </w:r>
          </w:p>
        </w:tc>
        <w:tc>
          <w:tcPr>
            <w:tcW w:w="100" w:type="dxa"/>
            <w:vAlign w:val="bottom"/>
            <w:tcBorders>
              <w:right w:val="single" w:sz="8" w:color="E6E7E8"/>
            </w:tcBorders>
          </w:tcPr>
          <w:p>
            <w:pPr>
              <w:spacing w:after="0"/>
              <w:rPr>
                <w:sz w:val="18"/>
                <w:szCs w:val="18"/>
                <w:color w:val="auto"/>
              </w:rPr>
            </w:pPr>
          </w:p>
        </w:tc>
        <w:tc>
          <w:tcPr>
            <w:tcW w:w="106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5"/>
                <w:szCs w:val="15"/>
                <w:color w:val="auto"/>
              </w:rPr>
              <w:t>N/A</w:t>
            </w:r>
          </w:p>
        </w:tc>
        <w:tc>
          <w:tcPr>
            <w:tcW w:w="120" w:type="dxa"/>
            <w:vAlign w:val="bottom"/>
            <w:tcBorders>
              <w:right w:val="single" w:sz="8" w:color="E5E5E5"/>
            </w:tcBorders>
          </w:tcPr>
          <w:p>
            <w:pPr>
              <w:spacing w:after="0"/>
              <w:rPr>
                <w:sz w:val="18"/>
                <w:szCs w:val="18"/>
                <w:color w:val="auto"/>
              </w:rPr>
            </w:pPr>
          </w:p>
        </w:tc>
        <w:tc>
          <w:tcPr>
            <w:tcW w:w="940" w:type="dxa"/>
            <w:vAlign w:val="bottom"/>
            <w:tcBorders>
              <w:top w:val="single" w:sz="8" w:color="939598"/>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138,750</w:t>
            </w:r>
          </w:p>
        </w:tc>
        <w:tc>
          <w:tcPr>
            <w:tcW w:w="120" w:type="dxa"/>
            <w:vAlign w:val="bottom"/>
            <w:tcBorders>
              <w:right w:val="single" w:sz="8" w:color="E5E5E5"/>
            </w:tcBorders>
          </w:tcPr>
          <w:p>
            <w:pPr>
              <w:spacing w:after="0"/>
              <w:rPr>
                <w:sz w:val="18"/>
                <w:szCs w:val="18"/>
                <w:color w:val="auto"/>
              </w:rPr>
            </w:pPr>
          </w:p>
        </w:tc>
        <w:tc>
          <w:tcPr>
            <w:tcW w:w="880" w:type="dxa"/>
            <w:vAlign w:val="bottom"/>
            <w:tcBorders>
              <w:top w:val="single" w:sz="8" w:color="939598"/>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555,000</w:t>
            </w:r>
          </w:p>
        </w:tc>
        <w:tc>
          <w:tcPr>
            <w:tcW w:w="100" w:type="dxa"/>
            <w:vAlign w:val="bottom"/>
            <w:tcBorders>
              <w:right w:val="single" w:sz="8" w:color="E5E5E5"/>
            </w:tcBorders>
          </w:tcPr>
          <w:p>
            <w:pPr>
              <w:spacing w:after="0"/>
              <w:rPr>
                <w:sz w:val="18"/>
                <w:szCs w:val="18"/>
                <w:color w:val="auto"/>
              </w:rPr>
            </w:pPr>
          </w:p>
        </w:tc>
        <w:tc>
          <w:tcPr>
            <w:tcW w:w="960" w:type="dxa"/>
            <w:vAlign w:val="bottom"/>
            <w:tcBorders>
              <w:top w:val="single" w:sz="8" w:color="939598"/>
              <w:bottom w:val="single" w:sz="8" w:color="939598"/>
            </w:tcBorders>
            <w:shd w:val="clear" w:color="auto" w:fill="E5E5E5"/>
          </w:tcPr>
          <w:p>
            <w:pPr>
              <w:jc w:val="right"/>
              <w:ind w:right="3"/>
              <w:spacing w:after="0"/>
              <w:rPr>
                <w:sz w:val="20"/>
                <w:szCs w:val="20"/>
                <w:color w:val="auto"/>
              </w:rPr>
            </w:pPr>
            <w:r>
              <w:rPr>
                <w:rFonts w:ascii="Arial" w:cs="Arial" w:eastAsia="Arial" w:hAnsi="Arial"/>
                <w:sz w:val="15"/>
                <w:szCs w:val="15"/>
                <w:color w:val="auto"/>
              </w:rPr>
              <w:t>971,250</w:t>
            </w:r>
          </w:p>
        </w:tc>
        <w:tc>
          <w:tcPr>
            <w:tcW w:w="100" w:type="dxa"/>
            <w:vAlign w:val="bottom"/>
            <w:tcBorders>
              <w:right w:val="single" w:sz="8" w:color="E6E7E8"/>
            </w:tcBorders>
          </w:tcPr>
          <w:p>
            <w:pPr>
              <w:spacing w:after="0"/>
              <w:rPr>
                <w:sz w:val="18"/>
                <w:szCs w:val="18"/>
                <w:color w:val="auto"/>
              </w:rPr>
            </w:pPr>
          </w:p>
        </w:tc>
        <w:tc>
          <w:tcPr>
            <w:tcW w:w="1000" w:type="dxa"/>
            <w:vAlign w:val="bottom"/>
            <w:tcBorders>
              <w:top w:val="single" w:sz="8" w:color="939598"/>
              <w:bottom w:val="single" w:sz="8" w:color="939598"/>
            </w:tcBorders>
            <w:shd w:val="clear" w:color="auto" w:fill="E6E7E8"/>
          </w:tcPr>
          <w:p>
            <w:pPr>
              <w:jc w:val="right"/>
              <w:ind w:right="6"/>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E6E7E8"/>
            </w:tcBorders>
          </w:tcPr>
          <w:p>
            <w:pPr>
              <w:spacing w:after="0"/>
              <w:rPr>
                <w:sz w:val="18"/>
                <w:szCs w:val="18"/>
                <w:color w:val="auto"/>
              </w:rPr>
            </w:pPr>
          </w:p>
        </w:tc>
        <w:tc>
          <w:tcPr>
            <w:tcW w:w="78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200" w:type="dxa"/>
            <w:vAlign w:val="bottom"/>
            <w:tcBorders>
              <w:top w:val="single" w:sz="8" w:color="939598"/>
              <w:bottom w:val="single" w:sz="8" w:color="939598"/>
            </w:tcBorders>
            <w:shd w:val="clear" w:color="auto" w:fill="E6E7E8"/>
          </w:tcPr>
          <w:p>
            <w:pPr>
              <w:spacing w:after="0"/>
              <w:rPr>
                <w:sz w:val="18"/>
                <w:szCs w:val="18"/>
                <w:color w:val="auto"/>
              </w:rPr>
            </w:pPr>
          </w:p>
        </w:tc>
        <w:tc>
          <w:tcPr>
            <w:tcW w:w="62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92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92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900" w:type="dxa"/>
            <w:vAlign w:val="bottom"/>
            <w:tcBorders>
              <w:bottom w:val="single" w:sz="8" w:color="E6E7E8"/>
            </w:tcBorders>
            <w:shd w:val="clear" w:color="auto" w:fill="E6E7E8"/>
          </w:tcPr>
          <w:p>
            <w:pPr>
              <w:spacing w:after="0"/>
              <w:rPr>
                <w:sz w:val="18"/>
                <w:szCs w:val="18"/>
                <w:color w:val="auto"/>
              </w:rPr>
            </w:pPr>
          </w:p>
        </w:tc>
        <w:tc>
          <w:tcPr>
            <w:tcW w:w="100" w:type="dxa"/>
            <w:vAlign w:val="bottom"/>
            <w:tcBorders>
              <w:right w:val="single" w:sz="8" w:color="E6E7E8"/>
            </w:tcBorders>
          </w:tcPr>
          <w:p>
            <w:pPr>
              <w:spacing w:after="0"/>
              <w:rPr>
                <w:sz w:val="18"/>
                <w:szCs w:val="18"/>
                <w:color w:val="auto"/>
              </w:rPr>
            </w:pPr>
          </w:p>
        </w:tc>
        <w:tc>
          <w:tcPr>
            <w:tcW w:w="106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5"/>
                <w:szCs w:val="15"/>
                <w:color w:val="auto"/>
              </w:rPr>
              <w:t>2/12/2024</w:t>
            </w:r>
          </w:p>
        </w:tc>
        <w:tc>
          <w:tcPr>
            <w:tcW w:w="120" w:type="dxa"/>
            <w:vAlign w:val="bottom"/>
            <w:tcBorders>
              <w:right w:val="single" w:sz="8" w:color="E6E7E8"/>
            </w:tcBorders>
          </w:tcPr>
          <w:p>
            <w:pPr>
              <w:spacing w:after="0"/>
              <w:rPr>
                <w:sz w:val="18"/>
                <w:szCs w:val="18"/>
                <w:color w:val="auto"/>
              </w:rPr>
            </w:pPr>
          </w:p>
        </w:tc>
        <w:tc>
          <w:tcPr>
            <w:tcW w:w="94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88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E6E7E8"/>
            </w:tcBorders>
          </w:tcPr>
          <w:p>
            <w:pPr>
              <w:spacing w:after="0"/>
              <w:rPr>
                <w:sz w:val="18"/>
                <w:szCs w:val="18"/>
                <w:color w:val="auto"/>
              </w:rPr>
            </w:pPr>
          </w:p>
        </w:tc>
        <w:tc>
          <w:tcPr>
            <w:tcW w:w="960" w:type="dxa"/>
            <w:vAlign w:val="bottom"/>
            <w:tcBorders>
              <w:bottom w:val="single" w:sz="8" w:color="939598"/>
            </w:tcBorders>
            <w:shd w:val="clear" w:color="auto" w:fill="E6E7E8"/>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E5E5E5"/>
            </w:tcBorders>
          </w:tcPr>
          <w:p>
            <w:pPr>
              <w:spacing w:after="0"/>
              <w:rPr>
                <w:sz w:val="18"/>
                <w:szCs w:val="18"/>
                <w:color w:val="auto"/>
              </w:rPr>
            </w:pPr>
          </w:p>
        </w:tc>
        <w:tc>
          <w:tcPr>
            <w:tcW w:w="100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6,705</w:t>
            </w:r>
          </w:p>
        </w:tc>
        <w:tc>
          <w:tcPr>
            <w:tcW w:w="100" w:type="dxa"/>
            <w:vAlign w:val="bottom"/>
            <w:tcBorders>
              <w:right w:val="single" w:sz="8" w:color="E6E7E8"/>
            </w:tcBorders>
          </w:tcPr>
          <w:p>
            <w:pPr>
              <w:spacing w:after="0"/>
              <w:rPr>
                <w:sz w:val="18"/>
                <w:szCs w:val="18"/>
                <w:color w:val="auto"/>
              </w:rPr>
            </w:pPr>
          </w:p>
        </w:tc>
        <w:tc>
          <w:tcPr>
            <w:tcW w:w="78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5"/>
                <w:szCs w:val="15"/>
                <w:color w:val="auto"/>
              </w:rPr>
              <w:t>8,940</w:t>
            </w:r>
          </w:p>
        </w:tc>
        <w:tc>
          <w:tcPr>
            <w:tcW w:w="120" w:type="dxa"/>
            <w:vAlign w:val="bottom"/>
            <w:tcBorders>
              <w:right w:val="single" w:sz="8" w:color="E6E7E8"/>
            </w:tcBorders>
          </w:tcPr>
          <w:p>
            <w:pPr>
              <w:spacing w:after="0"/>
              <w:rPr>
                <w:sz w:val="18"/>
                <w:szCs w:val="18"/>
                <w:color w:val="auto"/>
              </w:rPr>
            </w:pPr>
          </w:p>
        </w:tc>
        <w:tc>
          <w:tcPr>
            <w:tcW w:w="200" w:type="dxa"/>
            <w:vAlign w:val="bottom"/>
            <w:tcBorders>
              <w:bottom w:val="single" w:sz="8" w:color="939598"/>
            </w:tcBorders>
            <w:shd w:val="clear" w:color="auto" w:fill="E6E7E8"/>
          </w:tcPr>
          <w:p>
            <w:pPr>
              <w:spacing w:after="0"/>
              <w:rPr>
                <w:sz w:val="18"/>
                <w:szCs w:val="18"/>
                <w:color w:val="auto"/>
              </w:rPr>
            </w:pPr>
          </w:p>
        </w:tc>
        <w:tc>
          <w:tcPr>
            <w:tcW w:w="6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5"/>
                <w:szCs w:val="15"/>
                <w:color w:val="auto"/>
              </w:rPr>
              <w:t>13,410</w:t>
            </w:r>
          </w:p>
        </w:tc>
        <w:tc>
          <w:tcPr>
            <w:tcW w:w="120" w:type="dxa"/>
            <w:vAlign w:val="bottom"/>
            <w:tcBorders>
              <w:right w:val="single" w:sz="8" w:color="E6E7E8"/>
            </w:tcBorders>
          </w:tcPr>
          <w:p>
            <w:pPr>
              <w:spacing w:after="0"/>
              <w:rPr>
                <w:sz w:val="18"/>
                <w:szCs w:val="18"/>
                <w:color w:val="auto"/>
              </w:rPr>
            </w:pPr>
          </w:p>
        </w:tc>
        <w:tc>
          <w:tcPr>
            <w:tcW w:w="9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9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5"/>
                <w:szCs w:val="15"/>
                <w:color w:val="auto"/>
              </w:rPr>
              <w:t>1,750,810</w:t>
            </w:r>
          </w:p>
        </w:tc>
        <w:tc>
          <w:tcPr>
            <w:tcW w:w="0" w:type="dxa"/>
            <w:vAlign w:val="bottom"/>
          </w:tcPr>
          <w:p>
            <w:pPr>
              <w:spacing w:after="0"/>
              <w:rPr>
                <w:sz w:val="1"/>
                <w:szCs w:val="1"/>
                <w:color w:val="auto"/>
              </w:rPr>
            </w:pPr>
          </w:p>
        </w:tc>
      </w:tr>
      <w:tr>
        <w:trPr>
          <w:trHeight w:val="209"/>
        </w:trPr>
        <w:tc>
          <w:tcPr>
            <w:tcW w:w="1900" w:type="dxa"/>
            <w:vAlign w:val="bottom"/>
            <w:tcBorders>
              <w:bottom w:val="single" w:sz="8" w:color="939598"/>
            </w:tcBorders>
            <w:shd w:val="clear" w:color="auto" w:fill="E6E7E8"/>
          </w:tcPr>
          <w:p>
            <w:pPr>
              <w:spacing w:after="0"/>
              <w:rPr>
                <w:sz w:val="18"/>
                <w:szCs w:val="18"/>
                <w:color w:val="auto"/>
              </w:rPr>
            </w:pPr>
          </w:p>
        </w:tc>
        <w:tc>
          <w:tcPr>
            <w:tcW w:w="100" w:type="dxa"/>
            <w:vAlign w:val="bottom"/>
            <w:tcBorders>
              <w:right w:val="single" w:sz="8" w:color="E6E7E8"/>
            </w:tcBorders>
          </w:tcPr>
          <w:p>
            <w:pPr>
              <w:spacing w:after="0"/>
              <w:rPr>
                <w:sz w:val="18"/>
                <w:szCs w:val="18"/>
                <w:color w:val="auto"/>
              </w:rPr>
            </w:pPr>
          </w:p>
        </w:tc>
        <w:tc>
          <w:tcPr>
            <w:tcW w:w="106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5"/>
                <w:szCs w:val="15"/>
                <w:color w:val="auto"/>
              </w:rPr>
              <w:t>2/12/2024</w:t>
            </w:r>
          </w:p>
        </w:tc>
        <w:tc>
          <w:tcPr>
            <w:tcW w:w="120" w:type="dxa"/>
            <w:vAlign w:val="bottom"/>
            <w:tcBorders>
              <w:right w:val="single" w:sz="8" w:color="E6E7E8"/>
            </w:tcBorders>
          </w:tcPr>
          <w:p>
            <w:pPr>
              <w:spacing w:after="0"/>
              <w:rPr>
                <w:sz w:val="18"/>
                <w:szCs w:val="18"/>
                <w:color w:val="auto"/>
              </w:rPr>
            </w:pPr>
          </w:p>
        </w:tc>
        <w:tc>
          <w:tcPr>
            <w:tcW w:w="94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88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E6E7E8"/>
            </w:tcBorders>
          </w:tcPr>
          <w:p>
            <w:pPr>
              <w:spacing w:after="0"/>
              <w:rPr>
                <w:sz w:val="18"/>
                <w:szCs w:val="18"/>
                <w:color w:val="auto"/>
              </w:rPr>
            </w:pPr>
          </w:p>
        </w:tc>
        <w:tc>
          <w:tcPr>
            <w:tcW w:w="960" w:type="dxa"/>
            <w:vAlign w:val="bottom"/>
            <w:tcBorders>
              <w:bottom w:val="single" w:sz="8" w:color="939598"/>
            </w:tcBorders>
            <w:shd w:val="clear" w:color="auto" w:fill="E6E7E8"/>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E6E7E8"/>
            </w:tcBorders>
          </w:tcPr>
          <w:p>
            <w:pPr>
              <w:spacing w:after="0"/>
              <w:rPr>
                <w:sz w:val="18"/>
                <w:szCs w:val="18"/>
                <w:color w:val="auto"/>
              </w:rPr>
            </w:pPr>
          </w:p>
        </w:tc>
        <w:tc>
          <w:tcPr>
            <w:tcW w:w="1000" w:type="dxa"/>
            <w:vAlign w:val="bottom"/>
            <w:tcBorders>
              <w:bottom w:val="single" w:sz="8" w:color="939598"/>
            </w:tcBorders>
            <w:shd w:val="clear" w:color="auto" w:fill="E6E7E8"/>
          </w:tcPr>
          <w:p>
            <w:pPr>
              <w:jc w:val="right"/>
              <w:ind w:right="6"/>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E6E7E8"/>
            </w:tcBorders>
          </w:tcPr>
          <w:p>
            <w:pPr>
              <w:spacing w:after="0"/>
              <w:rPr>
                <w:sz w:val="18"/>
                <w:szCs w:val="18"/>
                <w:color w:val="auto"/>
              </w:rPr>
            </w:pPr>
          </w:p>
        </w:tc>
        <w:tc>
          <w:tcPr>
            <w:tcW w:w="78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200" w:type="dxa"/>
            <w:vAlign w:val="bottom"/>
            <w:tcBorders>
              <w:bottom w:val="single" w:sz="8" w:color="939598"/>
            </w:tcBorders>
            <w:shd w:val="clear" w:color="auto" w:fill="E6E7E8"/>
          </w:tcPr>
          <w:p>
            <w:pPr>
              <w:spacing w:after="0"/>
              <w:rPr>
                <w:sz w:val="18"/>
                <w:szCs w:val="18"/>
                <w:color w:val="auto"/>
              </w:rPr>
            </w:pPr>
          </w:p>
        </w:tc>
        <w:tc>
          <w:tcPr>
            <w:tcW w:w="6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9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5"/>
                <w:szCs w:val="15"/>
                <w:color w:val="auto"/>
              </w:rPr>
              <w:t>8,940</w:t>
            </w:r>
          </w:p>
        </w:tc>
        <w:tc>
          <w:tcPr>
            <w:tcW w:w="120" w:type="dxa"/>
            <w:vAlign w:val="bottom"/>
            <w:tcBorders>
              <w:right w:val="single" w:sz="8" w:color="E6E7E8"/>
            </w:tcBorders>
          </w:tcPr>
          <w:p>
            <w:pPr>
              <w:spacing w:after="0"/>
              <w:rPr>
                <w:sz w:val="18"/>
                <w:szCs w:val="18"/>
                <w:color w:val="auto"/>
              </w:rPr>
            </w:pPr>
          </w:p>
        </w:tc>
        <w:tc>
          <w:tcPr>
            <w:tcW w:w="9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5"/>
                <w:szCs w:val="15"/>
                <w:color w:val="auto"/>
              </w:rPr>
              <w:t>1,750,810</w:t>
            </w:r>
          </w:p>
        </w:tc>
        <w:tc>
          <w:tcPr>
            <w:tcW w:w="0" w:type="dxa"/>
            <w:vAlign w:val="bottom"/>
          </w:tcPr>
          <w:p>
            <w:pPr>
              <w:spacing w:after="0"/>
              <w:rPr>
                <w:sz w:val="1"/>
                <w:szCs w:val="1"/>
                <w:color w:val="auto"/>
              </w:rPr>
            </w:pPr>
          </w:p>
        </w:tc>
      </w:tr>
      <w:tr>
        <w:trPr>
          <w:trHeight w:val="210"/>
        </w:trPr>
        <w:tc>
          <w:tcPr>
            <w:tcW w:w="1900" w:type="dxa"/>
            <w:vAlign w:val="bottom"/>
          </w:tcPr>
          <w:p>
            <w:pPr>
              <w:ind w:left="20"/>
              <w:spacing w:after="0"/>
              <w:rPr>
                <w:sz w:val="20"/>
                <w:szCs w:val="20"/>
                <w:color w:val="auto"/>
              </w:rPr>
            </w:pPr>
            <w:r>
              <w:rPr>
                <w:rFonts w:ascii="Arial" w:cs="Arial" w:eastAsia="Arial" w:hAnsi="Arial"/>
                <w:sz w:val="15"/>
                <w:szCs w:val="15"/>
                <w:b w:val="1"/>
                <w:bCs w:val="1"/>
                <w:color w:val="004A98"/>
              </w:rPr>
              <w:t>Danny R. McPherson</w:t>
            </w:r>
          </w:p>
        </w:tc>
        <w:tc>
          <w:tcPr>
            <w:tcW w:w="100" w:type="dxa"/>
            <w:vAlign w:val="bottom"/>
          </w:tcPr>
          <w:p>
            <w:pPr>
              <w:spacing w:after="0"/>
              <w:rPr>
                <w:sz w:val="18"/>
                <w:szCs w:val="18"/>
                <w:color w:val="auto"/>
              </w:rPr>
            </w:pPr>
          </w:p>
        </w:tc>
        <w:tc>
          <w:tcPr>
            <w:tcW w:w="106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N/A</w:t>
            </w:r>
          </w:p>
        </w:tc>
        <w:tc>
          <w:tcPr>
            <w:tcW w:w="120" w:type="dxa"/>
            <w:vAlign w:val="bottom"/>
          </w:tcPr>
          <w:p>
            <w:pPr>
              <w:spacing w:after="0"/>
              <w:rPr>
                <w:sz w:val="18"/>
                <w:szCs w:val="18"/>
                <w:color w:val="auto"/>
              </w:rPr>
            </w:pP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138,750</w:t>
            </w:r>
          </w:p>
        </w:tc>
        <w:tc>
          <w:tcPr>
            <w:tcW w:w="120" w:type="dxa"/>
            <w:vAlign w:val="bottom"/>
          </w:tcPr>
          <w:p>
            <w:pPr>
              <w:spacing w:after="0"/>
              <w:rPr>
                <w:sz w:val="18"/>
                <w:szCs w:val="18"/>
                <w:color w:val="auto"/>
              </w:rPr>
            </w:pP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555,000</w:t>
            </w:r>
          </w:p>
        </w:tc>
        <w:tc>
          <w:tcPr>
            <w:tcW w:w="100" w:type="dxa"/>
            <w:vAlign w:val="bottom"/>
          </w:tcPr>
          <w:p>
            <w:pPr>
              <w:spacing w:after="0"/>
              <w:rPr>
                <w:sz w:val="18"/>
                <w:szCs w:val="18"/>
                <w:color w:val="auto"/>
              </w:rPr>
            </w:pPr>
          </w:p>
        </w:tc>
        <w:tc>
          <w:tcPr>
            <w:tcW w:w="960" w:type="dxa"/>
            <w:vAlign w:val="bottom"/>
            <w:tcBorders>
              <w:bottom w:val="single" w:sz="8" w:color="939598"/>
            </w:tcBorders>
          </w:tcPr>
          <w:p>
            <w:pPr>
              <w:jc w:val="right"/>
              <w:ind w:right="3"/>
              <w:spacing w:after="0"/>
              <w:rPr>
                <w:sz w:val="20"/>
                <w:szCs w:val="20"/>
                <w:color w:val="auto"/>
              </w:rPr>
            </w:pPr>
            <w:r>
              <w:rPr>
                <w:rFonts w:ascii="Arial" w:cs="Arial" w:eastAsia="Arial" w:hAnsi="Arial"/>
                <w:sz w:val="15"/>
                <w:szCs w:val="15"/>
                <w:color w:val="auto"/>
              </w:rPr>
              <w:t>971,250</w:t>
            </w:r>
          </w:p>
        </w:tc>
        <w:tc>
          <w:tcPr>
            <w:tcW w:w="100" w:type="dxa"/>
            <w:vAlign w:val="bottom"/>
          </w:tcPr>
          <w:p>
            <w:pPr>
              <w:spacing w:after="0"/>
              <w:rPr>
                <w:sz w:val="18"/>
                <w:szCs w:val="18"/>
                <w:color w:val="auto"/>
              </w:rPr>
            </w:pPr>
          </w:p>
        </w:tc>
        <w:tc>
          <w:tcPr>
            <w:tcW w:w="1000" w:type="dxa"/>
            <w:vAlign w:val="bottom"/>
            <w:tcBorders>
              <w:bottom w:val="single" w:sz="8" w:color="939598"/>
            </w:tcBorders>
          </w:tcPr>
          <w:p>
            <w:pPr>
              <w:jc w:val="right"/>
              <w:ind w:right="6"/>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2/12/2024</w:t>
            </w:r>
          </w:p>
        </w:tc>
        <w:tc>
          <w:tcPr>
            <w:tcW w:w="120" w:type="dxa"/>
            <w:vAlign w:val="bottom"/>
          </w:tcPr>
          <w:p>
            <w:pPr>
              <w:spacing w:after="0"/>
              <w:rPr>
                <w:sz w:val="18"/>
                <w:szCs w:val="18"/>
                <w:color w:val="auto"/>
              </w:rPr>
            </w:pPr>
          </w:p>
        </w:tc>
        <w:tc>
          <w:tcPr>
            <w:tcW w:w="9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tcBorders>
              <w:bottom w:val="single" w:sz="8" w:color="939598"/>
            </w:tcBorders>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6,705</w:t>
            </w:r>
          </w:p>
        </w:tc>
        <w:tc>
          <w:tcPr>
            <w:tcW w:w="100" w:type="dxa"/>
            <w:vAlign w:val="bottom"/>
          </w:tcPr>
          <w:p>
            <w:pPr>
              <w:spacing w:after="0"/>
              <w:rPr>
                <w:sz w:val="18"/>
                <w:szCs w:val="18"/>
                <w:color w:val="auto"/>
              </w:rPr>
            </w:pPr>
          </w:p>
        </w:tc>
        <w:tc>
          <w:tcPr>
            <w:tcW w:w="78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8,940</w:t>
            </w:r>
          </w:p>
        </w:tc>
        <w:tc>
          <w:tcPr>
            <w:tcW w:w="120" w:type="dxa"/>
            <w:vAlign w:val="bottom"/>
          </w:tcPr>
          <w:p>
            <w:pPr>
              <w:spacing w:after="0"/>
              <w:rPr>
                <w:sz w:val="18"/>
                <w:szCs w:val="18"/>
                <w:color w:val="auto"/>
              </w:rPr>
            </w:pPr>
          </w:p>
        </w:tc>
        <w:tc>
          <w:tcPr>
            <w:tcW w:w="200" w:type="dxa"/>
            <w:vAlign w:val="bottom"/>
            <w:tcBorders>
              <w:bottom w:val="single" w:sz="8" w:color="939598"/>
            </w:tcBorders>
          </w:tcPr>
          <w:p>
            <w:pPr>
              <w:spacing w:after="0"/>
              <w:rPr>
                <w:sz w:val="18"/>
                <w:szCs w:val="18"/>
                <w:color w:val="auto"/>
              </w:rPr>
            </w:pPr>
          </w:p>
        </w:tc>
        <w:tc>
          <w:tcPr>
            <w:tcW w:w="62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13,410</w:t>
            </w:r>
          </w:p>
        </w:tc>
        <w:tc>
          <w:tcPr>
            <w:tcW w:w="120" w:type="dxa"/>
            <w:vAlign w:val="bottom"/>
          </w:tcPr>
          <w:p>
            <w:pPr>
              <w:spacing w:after="0"/>
              <w:rPr>
                <w:sz w:val="18"/>
                <w:szCs w:val="18"/>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920" w:type="dxa"/>
            <w:vAlign w:val="bottom"/>
            <w:tcBorders>
              <w:bottom w:val="single" w:sz="8" w:color="939598"/>
            </w:tcBorders>
          </w:tcPr>
          <w:p>
            <w:pPr>
              <w:jc w:val="right"/>
              <w:spacing w:after="0"/>
              <w:rPr>
                <w:sz w:val="20"/>
                <w:szCs w:val="20"/>
                <w:color w:val="auto"/>
              </w:rPr>
            </w:pPr>
            <w:r>
              <w:rPr>
                <w:rFonts w:ascii="Arial" w:cs="Arial" w:eastAsia="Arial" w:hAnsi="Arial"/>
                <w:sz w:val="15"/>
                <w:szCs w:val="15"/>
                <w:color w:val="auto"/>
              </w:rPr>
              <w:t>1,750,810</w:t>
            </w:r>
          </w:p>
        </w:tc>
        <w:tc>
          <w:tcPr>
            <w:tcW w:w="0" w:type="dxa"/>
            <w:vAlign w:val="bottom"/>
          </w:tcPr>
          <w:p>
            <w:pPr>
              <w:spacing w:after="0"/>
              <w:rPr>
                <w:sz w:val="1"/>
                <w:szCs w:val="1"/>
                <w:color w:val="auto"/>
              </w:rPr>
            </w:pPr>
          </w:p>
        </w:tc>
      </w:tr>
      <w:tr>
        <w:trPr>
          <w:trHeight w:val="210"/>
        </w:trPr>
        <w:tc>
          <w:tcPr>
            <w:tcW w:w="19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5"/>
                <w:szCs w:val="15"/>
                <w:color w:val="auto"/>
              </w:rPr>
              <w:t>2/12/2024</w:t>
            </w: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000" w:type="dxa"/>
            <w:vAlign w:val="bottom"/>
          </w:tcPr>
          <w:p>
            <w:pPr>
              <w:jc w:val="right"/>
              <w:ind w:right="6"/>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8,940</w:t>
            </w:r>
          </w:p>
        </w:tc>
        <w:tc>
          <w:tcPr>
            <w:tcW w:w="1040" w:type="dxa"/>
            <w:vAlign w:val="bottom"/>
            <w:gridSpan w:val="2"/>
          </w:tcPr>
          <w:p>
            <w:pPr>
              <w:jc w:val="right"/>
              <w:spacing w:after="0"/>
              <w:rPr>
                <w:sz w:val="20"/>
                <w:szCs w:val="20"/>
                <w:color w:val="auto"/>
              </w:rPr>
            </w:pPr>
            <w:r>
              <w:rPr>
                <w:rFonts w:ascii="Arial" w:cs="Arial" w:eastAsia="Arial" w:hAnsi="Arial"/>
                <w:sz w:val="15"/>
                <w:szCs w:val="15"/>
                <w:color w:val="auto"/>
              </w:rPr>
              <w:t>1,750,810</w:t>
            </w:r>
          </w:p>
        </w:tc>
        <w:tc>
          <w:tcPr>
            <w:tcW w:w="0" w:type="dxa"/>
            <w:vAlign w:val="bottom"/>
          </w:tcPr>
          <w:p>
            <w:pPr>
              <w:spacing w:after="0"/>
              <w:rPr>
                <w:sz w:val="1"/>
                <w:szCs w:val="1"/>
                <w:color w:val="auto"/>
              </w:rPr>
            </w:pPr>
          </w:p>
        </w:tc>
      </w:tr>
      <w:tr>
        <w:trPr>
          <w:trHeight w:val="210"/>
        </w:trPr>
        <w:tc>
          <w:tcPr>
            <w:tcW w:w="1900" w:type="dxa"/>
            <w:vAlign w:val="bottom"/>
            <w:tcBorders>
              <w:top w:val="single" w:sz="8" w:color="939598"/>
              <w:bottom w:val="single" w:sz="8" w:color="E6E7E8"/>
            </w:tcBorders>
            <w:shd w:val="clear" w:color="auto" w:fill="E6E7E8"/>
          </w:tcPr>
          <w:p>
            <w:pPr>
              <w:ind w:left="20"/>
              <w:spacing w:after="0"/>
              <w:rPr>
                <w:sz w:val="20"/>
                <w:szCs w:val="20"/>
                <w:color w:val="auto"/>
              </w:rPr>
            </w:pPr>
            <w:r>
              <w:rPr>
                <w:rFonts w:ascii="Arial" w:cs="Arial" w:eastAsia="Arial" w:hAnsi="Arial"/>
                <w:sz w:val="15"/>
                <w:szCs w:val="15"/>
                <w:b w:val="1"/>
                <w:bCs w:val="1"/>
                <w:color w:val="004A98"/>
              </w:rPr>
              <w:t>Thomas C. Indelicarto</w:t>
            </w:r>
          </w:p>
        </w:tc>
        <w:tc>
          <w:tcPr>
            <w:tcW w:w="100" w:type="dxa"/>
            <w:vAlign w:val="bottom"/>
            <w:tcBorders>
              <w:right w:val="single" w:sz="8" w:color="E6E7E8"/>
            </w:tcBorders>
          </w:tcPr>
          <w:p>
            <w:pPr>
              <w:spacing w:after="0"/>
              <w:rPr>
                <w:sz w:val="18"/>
                <w:szCs w:val="18"/>
                <w:color w:val="auto"/>
              </w:rPr>
            </w:pPr>
          </w:p>
        </w:tc>
        <w:tc>
          <w:tcPr>
            <w:tcW w:w="106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5"/>
                <w:szCs w:val="15"/>
                <w:color w:val="auto"/>
              </w:rPr>
              <w:t>N/A</w:t>
            </w:r>
          </w:p>
        </w:tc>
        <w:tc>
          <w:tcPr>
            <w:tcW w:w="120" w:type="dxa"/>
            <w:vAlign w:val="bottom"/>
            <w:tcBorders>
              <w:right w:val="single" w:sz="8" w:color="E5E5E5"/>
            </w:tcBorders>
          </w:tcPr>
          <w:p>
            <w:pPr>
              <w:spacing w:after="0"/>
              <w:rPr>
                <w:sz w:val="18"/>
                <w:szCs w:val="18"/>
                <w:color w:val="auto"/>
              </w:rPr>
            </w:pPr>
          </w:p>
        </w:tc>
        <w:tc>
          <w:tcPr>
            <w:tcW w:w="940" w:type="dxa"/>
            <w:vAlign w:val="bottom"/>
            <w:tcBorders>
              <w:top w:val="single" w:sz="8" w:color="939598"/>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138,750</w:t>
            </w:r>
          </w:p>
        </w:tc>
        <w:tc>
          <w:tcPr>
            <w:tcW w:w="120" w:type="dxa"/>
            <w:vAlign w:val="bottom"/>
            <w:tcBorders>
              <w:right w:val="single" w:sz="8" w:color="E5E5E5"/>
            </w:tcBorders>
          </w:tcPr>
          <w:p>
            <w:pPr>
              <w:spacing w:after="0"/>
              <w:rPr>
                <w:sz w:val="18"/>
                <w:szCs w:val="18"/>
                <w:color w:val="auto"/>
              </w:rPr>
            </w:pPr>
          </w:p>
        </w:tc>
        <w:tc>
          <w:tcPr>
            <w:tcW w:w="880" w:type="dxa"/>
            <w:vAlign w:val="bottom"/>
            <w:tcBorders>
              <w:top w:val="single" w:sz="8" w:color="939598"/>
              <w:bottom w:val="single" w:sz="8" w:color="939598"/>
            </w:tcBorders>
            <w:shd w:val="clear" w:color="auto" w:fill="E5E5E5"/>
          </w:tcPr>
          <w:p>
            <w:pPr>
              <w:jc w:val="right"/>
              <w:spacing w:after="0"/>
              <w:rPr>
                <w:sz w:val="20"/>
                <w:szCs w:val="20"/>
                <w:color w:val="auto"/>
              </w:rPr>
            </w:pPr>
            <w:r>
              <w:rPr>
                <w:rFonts w:ascii="Arial" w:cs="Arial" w:eastAsia="Arial" w:hAnsi="Arial"/>
                <w:sz w:val="15"/>
                <w:szCs w:val="15"/>
                <w:color w:val="auto"/>
              </w:rPr>
              <w:t>555,000</w:t>
            </w:r>
          </w:p>
        </w:tc>
        <w:tc>
          <w:tcPr>
            <w:tcW w:w="100" w:type="dxa"/>
            <w:vAlign w:val="bottom"/>
            <w:tcBorders>
              <w:right w:val="single" w:sz="8" w:color="E5E5E5"/>
            </w:tcBorders>
          </w:tcPr>
          <w:p>
            <w:pPr>
              <w:spacing w:after="0"/>
              <w:rPr>
                <w:sz w:val="18"/>
                <w:szCs w:val="18"/>
                <w:color w:val="auto"/>
              </w:rPr>
            </w:pPr>
          </w:p>
        </w:tc>
        <w:tc>
          <w:tcPr>
            <w:tcW w:w="960" w:type="dxa"/>
            <w:vAlign w:val="bottom"/>
            <w:tcBorders>
              <w:top w:val="single" w:sz="8" w:color="939598"/>
              <w:bottom w:val="single" w:sz="8" w:color="939598"/>
            </w:tcBorders>
            <w:shd w:val="clear" w:color="auto" w:fill="E5E5E5"/>
          </w:tcPr>
          <w:p>
            <w:pPr>
              <w:jc w:val="right"/>
              <w:ind w:right="3"/>
              <w:spacing w:after="0"/>
              <w:rPr>
                <w:sz w:val="20"/>
                <w:szCs w:val="20"/>
                <w:color w:val="auto"/>
              </w:rPr>
            </w:pPr>
            <w:r>
              <w:rPr>
                <w:rFonts w:ascii="Arial" w:cs="Arial" w:eastAsia="Arial" w:hAnsi="Arial"/>
                <w:sz w:val="15"/>
                <w:szCs w:val="15"/>
                <w:color w:val="auto"/>
              </w:rPr>
              <w:t>971,250</w:t>
            </w:r>
          </w:p>
        </w:tc>
        <w:tc>
          <w:tcPr>
            <w:tcW w:w="100" w:type="dxa"/>
            <w:vAlign w:val="bottom"/>
            <w:tcBorders>
              <w:right w:val="single" w:sz="8" w:color="E6E7E8"/>
            </w:tcBorders>
          </w:tcPr>
          <w:p>
            <w:pPr>
              <w:spacing w:after="0"/>
              <w:rPr>
                <w:sz w:val="18"/>
                <w:szCs w:val="18"/>
                <w:color w:val="auto"/>
              </w:rPr>
            </w:pPr>
          </w:p>
        </w:tc>
        <w:tc>
          <w:tcPr>
            <w:tcW w:w="1000" w:type="dxa"/>
            <w:vAlign w:val="bottom"/>
            <w:tcBorders>
              <w:top w:val="single" w:sz="8" w:color="939598"/>
              <w:bottom w:val="single" w:sz="8" w:color="939598"/>
            </w:tcBorders>
            <w:shd w:val="clear" w:color="auto" w:fill="E6E7E8"/>
          </w:tcPr>
          <w:p>
            <w:pPr>
              <w:jc w:val="right"/>
              <w:ind w:right="6"/>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E6E7E8"/>
            </w:tcBorders>
          </w:tcPr>
          <w:p>
            <w:pPr>
              <w:spacing w:after="0"/>
              <w:rPr>
                <w:sz w:val="18"/>
                <w:szCs w:val="18"/>
                <w:color w:val="auto"/>
              </w:rPr>
            </w:pPr>
          </w:p>
        </w:tc>
        <w:tc>
          <w:tcPr>
            <w:tcW w:w="78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200" w:type="dxa"/>
            <w:vAlign w:val="bottom"/>
            <w:tcBorders>
              <w:top w:val="single" w:sz="8" w:color="939598"/>
              <w:bottom w:val="single" w:sz="8" w:color="939598"/>
            </w:tcBorders>
            <w:shd w:val="clear" w:color="auto" w:fill="E6E7E8"/>
          </w:tcPr>
          <w:p>
            <w:pPr>
              <w:spacing w:after="0"/>
              <w:rPr>
                <w:sz w:val="18"/>
                <w:szCs w:val="18"/>
                <w:color w:val="auto"/>
              </w:rPr>
            </w:pPr>
          </w:p>
        </w:tc>
        <w:tc>
          <w:tcPr>
            <w:tcW w:w="62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92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92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1900" w:type="dxa"/>
            <w:vAlign w:val="bottom"/>
            <w:tcBorders>
              <w:bottom w:val="single" w:sz="8" w:color="E6E7E8"/>
            </w:tcBorders>
            <w:shd w:val="clear" w:color="auto" w:fill="E6E7E8"/>
          </w:tcPr>
          <w:p>
            <w:pPr>
              <w:spacing w:after="0"/>
              <w:rPr>
                <w:sz w:val="18"/>
                <w:szCs w:val="18"/>
                <w:color w:val="auto"/>
              </w:rPr>
            </w:pPr>
          </w:p>
        </w:tc>
        <w:tc>
          <w:tcPr>
            <w:tcW w:w="100" w:type="dxa"/>
            <w:vAlign w:val="bottom"/>
            <w:tcBorders>
              <w:right w:val="single" w:sz="8" w:color="E6E7E8"/>
            </w:tcBorders>
          </w:tcPr>
          <w:p>
            <w:pPr>
              <w:spacing w:after="0"/>
              <w:rPr>
                <w:sz w:val="18"/>
                <w:szCs w:val="18"/>
                <w:color w:val="auto"/>
              </w:rPr>
            </w:pPr>
          </w:p>
        </w:tc>
        <w:tc>
          <w:tcPr>
            <w:tcW w:w="106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5"/>
                <w:szCs w:val="15"/>
                <w:color w:val="auto"/>
              </w:rPr>
              <w:t>2/12/2024</w:t>
            </w:r>
          </w:p>
        </w:tc>
        <w:tc>
          <w:tcPr>
            <w:tcW w:w="120" w:type="dxa"/>
            <w:vAlign w:val="bottom"/>
            <w:tcBorders>
              <w:right w:val="single" w:sz="8" w:color="E6E7E8"/>
            </w:tcBorders>
          </w:tcPr>
          <w:p>
            <w:pPr>
              <w:spacing w:after="0"/>
              <w:rPr>
                <w:sz w:val="18"/>
                <w:szCs w:val="18"/>
                <w:color w:val="auto"/>
              </w:rPr>
            </w:pPr>
          </w:p>
        </w:tc>
        <w:tc>
          <w:tcPr>
            <w:tcW w:w="94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88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E6E7E8"/>
            </w:tcBorders>
          </w:tcPr>
          <w:p>
            <w:pPr>
              <w:spacing w:after="0"/>
              <w:rPr>
                <w:sz w:val="18"/>
                <w:szCs w:val="18"/>
                <w:color w:val="auto"/>
              </w:rPr>
            </w:pPr>
          </w:p>
        </w:tc>
        <w:tc>
          <w:tcPr>
            <w:tcW w:w="960" w:type="dxa"/>
            <w:vAlign w:val="bottom"/>
            <w:tcBorders>
              <w:bottom w:val="single" w:sz="8" w:color="939598"/>
            </w:tcBorders>
            <w:shd w:val="clear" w:color="auto" w:fill="E6E7E8"/>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E6E7E8"/>
            </w:tcBorders>
          </w:tcPr>
          <w:p>
            <w:pPr>
              <w:spacing w:after="0"/>
              <w:rPr>
                <w:sz w:val="18"/>
                <w:szCs w:val="18"/>
                <w:color w:val="auto"/>
              </w:rPr>
            </w:pPr>
          </w:p>
        </w:tc>
        <w:tc>
          <w:tcPr>
            <w:tcW w:w="100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5"/>
                <w:szCs w:val="15"/>
                <w:color w:val="auto"/>
              </w:rPr>
              <w:t>6,705</w:t>
            </w:r>
          </w:p>
        </w:tc>
        <w:tc>
          <w:tcPr>
            <w:tcW w:w="100" w:type="dxa"/>
            <w:vAlign w:val="bottom"/>
            <w:tcBorders>
              <w:right w:val="single" w:sz="8" w:color="E6E7E8"/>
            </w:tcBorders>
          </w:tcPr>
          <w:p>
            <w:pPr>
              <w:spacing w:after="0"/>
              <w:rPr>
                <w:sz w:val="18"/>
                <w:szCs w:val="18"/>
                <w:color w:val="auto"/>
              </w:rPr>
            </w:pPr>
          </w:p>
        </w:tc>
        <w:tc>
          <w:tcPr>
            <w:tcW w:w="78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5"/>
                <w:szCs w:val="15"/>
                <w:color w:val="auto"/>
              </w:rPr>
              <w:t>8,940</w:t>
            </w:r>
          </w:p>
        </w:tc>
        <w:tc>
          <w:tcPr>
            <w:tcW w:w="120" w:type="dxa"/>
            <w:vAlign w:val="bottom"/>
            <w:tcBorders>
              <w:right w:val="single" w:sz="8" w:color="E6E7E8"/>
            </w:tcBorders>
          </w:tcPr>
          <w:p>
            <w:pPr>
              <w:spacing w:after="0"/>
              <w:rPr>
                <w:sz w:val="18"/>
                <w:szCs w:val="18"/>
                <w:color w:val="auto"/>
              </w:rPr>
            </w:pPr>
          </w:p>
        </w:tc>
        <w:tc>
          <w:tcPr>
            <w:tcW w:w="200" w:type="dxa"/>
            <w:vAlign w:val="bottom"/>
            <w:tcBorders>
              <w:bottom w:val="single" w:sz="8" w:color="939598"/>
            </w:tcBorders>
            <w:shd w:val="clear" w:color="auto" w:fill="E6E7E8"/>
          </w:tcPr>
          <w:p>
            <w:pPr>
              <w:spacing w:after="0"/>
              <w:rPr>
                <w:sz w:val="18"/>
                <w:szCs w:val="18"/>
                <w:color w:val="auto"/>
              </w:rPr>
            </w:pPr>
          </w:p>
        </w:tc>
        <w:tc>
          <w:tcPr>
            <w:tcW w:w="6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5"/>
                <w:szCs w:val="15"/>
                <w:color w:val="auto"/>
              </w:rPr>
              <w:t>13,410</w:t>
            </w:r>
          </w:p>
        </w:tc>
        <w:tc>
          <w:tcPr>
            <w:tcW w:w="120" w:type="dxa"/>
            <w:vAlign w:val="bottom"/>
            <w:tcBorders>
              <w:right w:val="single" w:sz="8" w:color="E6E7E8"/>
            </w:tcBorders>
          </w:tcPr>
          <w:p>
            <w:pPr>
              <w:spacing w:after="0"/>
              <w:rPr>
                <w:sz w:val="18"/>
                <w:szCs w:val="18"/>
                <w:color w:val="auto"/>
              </w:rPr>
            </w:pPr>
          </w:p>
        </w:tc>
        <w:tc>
          <w:tcPr>
            <w:tcW w:w="9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9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5"/>
                <w:szCs w:val="15"/>
                <w:color w:val="auto"/>
              </w:rPr>
              <w:t>1,750,810</w:t>
            </w:r>
          </w:p>
        </w:tc>
        <w:tc>
          <w:tcPr>
            <w:tcW w:w="0" w:type="dxa"/>
            <w:vAlign w:val="bottom"/>
          </w:tcPr>
          <w:p>
            <w:pPr>
              <w:spacing w:after="0"/>
              <w:rPr>
                <w:sz w:val="1"/>
                <w:szCs w:val="1"/>
                <w:color w:val="auto"/>
              </w:rPr>
            </w:pPr>
          </w:p>
        </w:tc>
      </w:tr>
      <w:tr>
        <w:trPr>
          <w:trHeight w:val="209"/>
        </w:trPr>
        <w:tc>
          <w:tcPr>
            <w:tcW w:w="1900" w:type="dxa"/>
            <w:vAlign w:val="bottom"/>
            <w:tcBorders>
              <w:bottom w:val="single" w:sz="8" w:color="939598"/>
            </w:tcBorders>
            <w:shd w:val="clear" w:color="auto" w:fill="E6E7E8"/>
          </w:tcPr>
          <w:p>
            <w:pPr>
              <w:spacing w:after="0"/>
              <w:rPr>
                <w:sz w:val="18"/>
                <w:szCs w:val="18"/>
                <w:color w:val="auto"/>
              </w:rPr>
            </w:pPr>
          </w:p>
        </w:tc>
        <w:tc>
          <w:tcPr>
            <w:tcW w:w="100" w:type="dxa"/>
            <w:vAlign w:val="bottom"/>
            <w:tcBorders>
              <w:right w:val="single" w:sz="8" w:color="E6E7E8"/>
            </w:tcBorders>
          </w:tcPr>
          <w:p>
            <w:pPr>
              <w:spacing w:after="0"/>
              <w:rPr>
                <w:sz w:val="18"/>
                <w:szCs w:val="18"/>
                <w:color w:val="auto"/>
              </w:rPr>
            </w:pPr>
          </w:p>
        </w:tc>
        <w:tc>
          <w:tcPr>
            <w:tcW w:w="106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5"/>
                <w:szCs w:val="15"/>
                <w:color w:val="auto"/>
              </w:rPr>
              <w:t>2/12/2024</w:t>
            </w:r>
          </w:p>
        </w:tc>
        <w:tc>
          <w:tcPr>
            <w:tcW w:w="120" w:type="dxa"/>
            <w:vAlign w:val="bottom"/>
            <w:tcBorders>
              <w:right w:val="single" w:sz="8" w:color="E6E7E8"/>
            </w:tcBorders>
          </w:tcPr>
          <w:p>
            <w:pPr>
              <w:spacing w:after="0"/>
              <w:rPr>
                <w:sz w:val="18"/>
                <w:szCs w:val="18"/>
                <w:color w:val="auto"/>
              </w:rPr>
            </w:pPr>
          </w:p>
        </w:tc>
        <w:tc>
          <w:tcPr>
            <w:tcW w:w="94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88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E6E7E8"/>
            </w:tcBorders>
          </w:tcPr>
          <w:p>
            <w:pPr>
              <w:spacing w:after="0"/>
              <w:rPr>
                <w:sz w:val="18"/>
                <w:szCs w:val="18"/>
                <w:color w:val="auto"/>
              </w:rPr>
            </w:pPr>
          </w:p>
        </w:tc>
        <w:tc>
          <w:tcPr>
            <w:tcW w:w="960" w:type="dxa"/>
            <w:vAlign w:val="bottom"/>
            <w:tcBorders>
              <w:bottom w:val="single" w:sz="8" w:color="939598"/>
            </w:tcBorders>
            <w:shd w:val="clear" w:color="auto" w:fill="E6E7E8"/>
          </w:tcPr>
          <w:p>
            <w:pPr>
              <w:jc w:val="right"/>
              <w:ind w:right="3"/>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E6E7E8"/>
            </w:tcBorders>
          </w:tcPr>
          <w:p>
            <w:pPr>
              <w:spacing w:after="0"/>
              <w:rPr>
                <w:sz w:val="18"/>
                <w:szCs w:val="18"/>
                <w:color w:val="auto"/>
              </w:rPr>
            </w:pPr>
          </w:p>
        </w:tc>
        <w:tc>
          <w:tcPr>
            <w:tcW w:w="1000" w:type="dxa"/>
            <w:vAlign w:val="bottom"/>
            <w:tcBorders>
              <w:bottom w:val="single" w:sz="8" w:color="939598"/>
            </w:tcBorders>
            <w:shd w:val="clear" w:color="auto" w:fill="E6E7E8"/>
          </w:tcPr>
          <w:p>
            <w:pPr>
              <w:jc w:val="right"/>
              <w:ind w:right="6"/>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E6E7E8"/>
            </w:tcBorders>
          </w:tcPr>
          <w:p>
            <w:pPr>
              <w:spacing w:after="0"/>
              <w:rPr>
                <w:sz w:val="18"/>
                <w:szCs w:val="18"/>
                <w:color w:val="auto"/>
              </w:rPr>
            </w:pPr>
          </w:p>
        </w:tc>
        <w:tc>
          <w:tcPr>
            <w:tcW w:w="78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200" w:type="dxa"/>
            <w:vAlign w:val="bottom"/>
            <w:tcBorders>
              <w:bottom w:val="single" w:sz="8" w:color="939598"/>
            </w:tcBorders>
            <w:shd w:val="clear" w:color="auto" w:fill="E6E7E8"/>
          </w:tcPr>
          <w:p>
            <w:pPr>
              <w:spacing w:after="0"/>
              <w:rPr>
                <w:sz w:val="18"/>
                <w:szCs w:val="18"/>
                <w:color w:val="auto"/>
              </w:rPr>
            </w:pPr>
          </w:p>
        </w:tc>
        <w:tc>
          <w:tcPr>
            <w:tcW w:w="6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9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5"/>
                <w:szCs w:val="15"/>
                <w:color w:val="auto"/>
              </w:rPr>
              <w:t>8,940</w:t>
            </w:r>
          </w:p>
        </w:tc>
        <w:tc>
          <w:tcPr>
            <w:tcW w:w="120" w:type="dxa"/>
            <w:vAlign w:val="bottom"/>
            <w:tcBorders>
              <w:right w:val="single" w:sz="8" w:color="E6E7E8"/>
            </w:tcBorders>
          </w:tcPr>
          <w:p>
            <w:pPr>
              <w:spacing w:after="0"/>
              <w:rPr>
                <w:sz w:val="18"/>
                <w:szCs w:val="18"/>
                <w:color w:val="auto"/>
              </w:rPr>
            </w:pPr>
          </w:p>
        </w:tc>
        <w:tc>
          <w:tcPr>
            <w:tcW w:w="9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5"/>
                <w:szCs w:val="15"/>
                <w:color w:val="auto"/>
              </w:rPr>
              <w:t>1,750,810</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440" w:hanging="252"/>
        <w:spacing w:after="0" w:line="222" w:lineRule="auto"/>
        <w:tabs>
          <w:tab w:leader="none" w:pos="264" w:val="left"/>
        </w:tabs>
        <w:numPr>
          <w:ilvl w:val="0"/>
          <w:numId w:val="33"/>
        </w:numPr>
        <w:rPr>
          <w:rFonts w:ascii="Arial" w:cs="Arial" w:eastAsia="Arial" w:hAnsi="Arial"/>
          <w:sz w:val="19"/>
          <w:szCs w:val="19"/>
          <w:color w:val="auto"/>
          <w:vertAlign w:val="superscript"/>
        </w:rPr>
      </w:pPr>
      <w:r>
        <w:rPr>
          <w:rFonts w:ascii="Arial" w:cs="Arial" w:eastAsia="Arial" w:hAnsi="Arial"/>
          <w:sz w:val="14"/>
          <w:szCs w:val="14"/>
          <w:color w:val="auto"/>
        </w:rPr>
        <w:t>Each of our NEOs received an annual cash bonus under the VPP as described in “Compensation Discussion and Analysis” earlier in this Proxy Statement. The actual amount of the annual cash bonus paid to the NEOs is reflected in the Summary Compensation Table above.</w:t>
      </w:r>
    </w:p>
    <w:p>
      <w:pPr>
        <w:spacing w:after="0" w:line="40" w:lineRule="exact"/>
        <w:rPr>
          <w:rFonts w:ascii="Arial" w:cs="Arial" w:eastAsia="Arial" w:hAnsi="Arial"/>
          <w:sz w:val="19"/>
          <w:szCs w:val="19"/>
          <w:color w:val="auto"/>
          <w:vertAlign w:val="superscript"/>
        </w:rPr>
      </w:pPr>
    </w:p>
    <w:p>
      <w:pPr>
        <w:ind w:left="260" w:right="120" w:hanging="252"/>
        <w:spacing w:after="0" w:line="256" w:lineRule="auto"/>
        <w:tabs>
          <w:tab w:leader="none" w:pos="250" w:val="left"/>
        </w:tabs>
        <w:numPr>
          <w:ilvl w:val="0"/>
          <w:numId w:val="33"/>
        </w:numPr>
        <w:rPr>
          <w:rFonts w:ascii="Arial" w:cs="Arial" w:eastAsia="Arial" w:hAnsi="Arial"/>
          <w:sz w:val="9"/>
          <w:szCs w:val="9"/>
          <w:color w:val="auto"/>
        </w:rPr>
      </w:pPr>
      <w:r>
        <w:rPr>
          <w:rFonts w:ascii="Arial" w:cs="Arial" w:eastAsia="Arial" w:hAnsi="Arial"/>
          <w:sz w:val="14"/>
          <w:szCs w:val="14"/>
          <w:color w:val="auto"/>
        </w:rPr>
        <w:t>Each of our NEOs was awarded PSUs on February 12, 2024, to be earned based on Company performance and subject to a relative TSR achievement threshold in 2026 and determination to be made after the end of 2026. The maximum value set forth in the third column of “Estimated Future Payouts Under Equity Incentive Plan Awards” is described in footnote (2) of the Summary Compensation Table, and the target value set forth in the second column of “Estimated Future Payouts Under Equity Incentive Plan Awards” was included in the “Stock Awards” column of the Summary Compensation Table.</w:t>
      </w:r>
    </w:p>
    <w:p>
      <w:pPr>
        <w:spacing w:after="0" w:line="55" w:lineRule="exact"/>
        <w:rPr>
          <w:rFonts w:ascii="Arial" w:cs="Arial" w:eastAsia="Arial" w:hAnsi="Arial"/>
          <w:sz w:val="9"/>
          <w:szCs w:val="9"/>
          <w:color w:val="auto"/>
        </w:rPr>
      </w:pPr>
    </w:p>
    <w:p>
      <w:pPr>
        <w:ind w:left="260" w:right="100" w:hanging="252"/>
        <w:spacing w:after="0" w:line="222" w:lineRule="auto"/>
        <w:tabs>
          <w:tab w:leader="none" w:pos="264" w:val="left"/>
        </w:tabs>
        <w:numPr>
          <w:ilvl w:val="0"/>
          <w:numId w:val="33"/>
        </w:numPr>
        <w:rPr>
          <w:rFonts w:ascii="Arial" w:cs="Arial" w:eastAsia="Arial" w:hAnsi="Arial"/>
          <w:sz w:val="19"/>
          <w:szCs w:val="19"/>
          <w:color w:val="auto"/>
          <w:vertAlign w:val="superscript"/>
        </w:rPr>
      </w:pPr>
      <w:r>
        <w:rPr>
          <w:rFonts w:ascii="Arial" w:cs="Arial" w:eastAsia="Arial" w:hAnsi="Arial"/>
          <w:sz w:val="14"/>
          <w:szCs w:val="14"/>
          <w:color w:val="auto"/>
        </w:rPr>
        <w:t>With the exception of the grant to Mr. Strubbe whose award was forfeited upon his retirement in April 2024, the RSU awards vested 25% of the total award on February 15, 2025, and the remainder vests 6.25% of the total award each quarter thereafter, until fully vested.</w:t>
      </w:r>
    </w:p>
    <w:p>
      <w:pPr>
        <w:spacing w:after="0" w:line="53" w:lineRule="exact"/>
        <w:rPr>
          <w:rFonts w:ascii="Arial" w:cs="Arial" w:eastAsia="Arial" w:hAnsi="Arial"/>
          <w:sz w:val="19"/>
          <w:szCs w:val="19"/>
          <w:color w:val="auto"/>
          <w:vertAlign w:val="superscript"/>
        </w:rPr>
      </w:pPr>
    </w:p>
    <w:p>
      <w:pPr>
        <w:ind w:left="260" w:hanging="252"/>
        <w:spacing w:after="0" w:line="272" w:lineRule="auto"/>
        <w:tabs>
          <w:tab w:leader="none" w:pos="264" w:val="left"/>
        </w:tabs>
        <w:numPr>
          <w:ilvl w:val="0"/>
          <w:numId w:val="33"/>
        </w:numPr>
        <w:rPr>
          <w:rFonts w:ascii="Arial" w:cs="Arial" w:eastAsia="Arial" w:hAnsi="Arial"/>
          <w:sz w:val="9"/>
          <w:szCs w:val="9"/>
          <w:color w:val="auto"/>
        </w:rPr>
      </w:pPr>
      <w:r>
        <w:rPr>
          <w:rFonts w:ascii="Arial" w:cs="Arial" w:eastAsia="Arial" w:hAnsi="Arial"/>
          <w:sz w:val="14"/>
          <w:szCs w:val="14"/>
          <w:color w:val="auto"/>
        </w:rPr>
        <w:t>Under the applicable FASB ASC Topic 718 rules, the total amount reported in this column represents the fair value of the 2024 PSU or RSU award on its “grant date” (i.e., the date the Compensation Committee approved each award), based (i) for a PSU, upon the then-probable outcome of the CAGR of operating income performance condition (i.e., the target value of the award), and (ii) for an RSU award upon the full number of shares subject to the award. See Note 9 to our 2024 financial statements included in our Annual Report on Form 10-K for the year ended December 31, 2024, regarding assumptions underlying the valuation of these awards, and footnote (2) to the Summary Compensation Table for additional information.</w:t>
      </w:r>
    </w:p>
    <w:p>
      <w:pPr>
        <w:spacing w:after="0" w:line="200" w:lineRule="exact"/>
        <w:rPr>
          <w:sz w:val="20"/>
          <w:szCs w:val="20"/>
          <w:color w:val="auto"/>
        </w:rPr>
      </w:pPr>
    </w:p>
    <w:p>
      <w:pPr>
        <w:spacing w:after="0" w:line="373"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36</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ind w:left="8940"/>
        <w:spacing w:after="0"/>
        <w:rPr>
          <w:sz w:val="20"/>
          <w:szCs w:val="20"/>
          <w:color w:val="auto"/>
        </w:rPr>
      </w:pPr>
      <w:r>
        <w:rPr>
          <w:rFonts w:ascii="Arial" w:cs="Arial" w:eastAsia="Arial" w:hAnsi="Arial"/>
          <w:sz w:val="16"/>
          <w:szCs w:val="16"/>
          <w:color w:val="004A98"/>
        </w:rPr>
        <w:t>Executive Compensation Tables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Outstanding Equity Awards at 2024 Year-End</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all outstanding equity awards held by our NEOs as of the end of 2024 granted under the 2006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270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420" w:type="dxa"/>
            <w:vAlign w:val="bottom"/>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tcPr>
          <w:p>
            <w:pPr>
              <w:jc w:val="right"/>
              <w:ind w:right="644"/>
              <w:spacing w:after="0"/>
              <w:rPr>
                <w:sz w:val="20"/>
                <w:szCs w:val="20"/>
                <w:color w:val="auto"/>
              </w:rPr>
            </w:pPr>
            <w:r>
              <w:rPr>
                <w:rFonts w:ascii="Arial" w:cs="Arial" w:eastAsia="Arial" w:hAnsi="Arial"/>
                <w:sz w:val="13"/>
                <w:szCs w:val="13"/>
                <w:b w:val="1"/>
                <w:bCs w:val="1"/>
                <w:color w:val="auto"/>
                <w:w w:val="96"/>
              </w:rPr>
              <w:t>STOCK AWARDS</w:t>
            </w:r>
          </w:p>
        </w:tc>
        <w:tc>
          <w:tcPr>
            <w:tcW w:w="3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20"/>
        </w:trPr>
        <w:tc>
          <w:tcPr>
            <w:tcW w:w="27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NUMBER</w:t>
            </w:r>
          </w:p>
        </w:tc>
        <w:tc>
          <w:tcPr>
            <w:tcW w:w="120" w:type="dxa"/>
            <w:vAlign w:val="bottom"/>
            <w:tcBorders>
              <w:right w:val="single" w:sz="8" w:color="auto"/>
            </w:tcBorders>
          </w:tcPr>
          <w:p>
            <w:pPr>
              <w:spacing w:after="0"/>
              <w:rPr>
                <w:sz w:val="10"/>
                <w:szCs w:val="10"/>
                <w:color w:val="auto"/>
              </w:rPr>
            </w:pPr>
          </w:p>
        </w:tc>
        <w:tc>
          <w:tcPr>
            <w:tcW w:w="13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MARKET</w:t>
            </w:r>
          </w:p>
        </w:tc>
        <w:tc>
          <w:tcPr>
            <w:tcW w:w="120" w:type="dxa"/>
            <w:vAlign w:val="bottom"/>
            <w:tcBorders>
              <w:right w:val="single" w:sz="8" w:color="auto"/>
            </w:tcBorders>
          </w:tcPr>
          <w:p>
            <w:pPr>
              <w:spacing w:after="0"/>
              <w:rPr>
                <w:sz w:val="10"/>
                <w:szCs w:val="10"/>
                <w:color w:val="auto"/>
              </w:rPr>
            </w:pPr>
          </w:p>
        </w:tc>
        <w:tc>
          <w:tcPr>
            <w:tcW w:w="2120" w:type="dxa"/>
            <w:vAlign w:val="bottom"/>
            <w:gridSpan w:val="2"/>
          </w:tcPr>
          <w:p>
            <w:pPr>
              <w:jc w:val="right"/>
              <w:spacing w:after="0" w:line="121" w:lineRule="exact"/>
              <w:rPr>
                <w:sz w:val="20"/>
                <w:szCs w:val="20"/>
                <w:color w:val="auto"/>
              </w:rPr>
            </w:pPr>
            <w:r>
              <w:rPr>
                <w:rFonts w:ascii="Arial" w:cs="Arial" w:eastAsia="Arial" w:hAnsi="Arial"/>
                <w:sz w:val="13"/>
                <w:szCs w:val="13"/>
                <w:b w:val="1"/>
                <w:bCs w:val="1"/>
                <w:color w:val="auto"/>
              </w:rPr>
              <w:t>EQUITY INCENTIVE</w:t>
            </w:r>
          </w:p>
        </w:tc>
        <w:tc>
          <w:tcPr>
            <w:tcW w:w="120" w:type="dxa"/>
            <w:vAlign w:val="bottom"/>
            <w:tcBorders>
              <w:right w:val="single" w:sz="8" w:color="auto"/>
            </w:tcBorders>
          </w:tcPr>
          <w:p>
            <w:pPr>
              <w:spacing w:after="0"/>
              <w:rPr>
                <w:sz w:val="10"/>
                <w:szCs w:val="10"/>
                <w:color w:val="auto"/>
              </w:rPr>
            </w:pPr>
          </w:p>
        </w:tc>
        <w:tc>
          <w:tcPr>
            <w:tcW w:w="1760" w:type="dxa"/>
            <w:vAlign w:val="bottom"/>
          </w:tcPr>
          <w:p>
            <w:pPr>
              <w:jc w:val="right"/>
              <w:spacing w:after="0" w:line="121" w:lineRule="exact"/>
              <w:rPr>
                <w:sz w:val="20"/>
                <w:szCs w:val="20"/>
                <w:color w:val="auto"/>
              </w:rPr>
            </w:pPr>
            <w:r>
              <w:rPr>
                <w:rFonts w:ascii="Arial" w:cs="Arial" w:eastAsia="Arial" w:hAnsi="Arial"/>
                <w:sz w:val="13"/>
                <w:szCs w:val="13"/>
                <w:b w:val="1"/>
                <w:bCs w:val="1"/>
                <w:color w:val="auto"/>
              </w:rPr>
              <w:t>EQUITY INCENTIVE</w:t>
            </w: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32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32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12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rPr>
              <w:t>PLAN AWARDS:</w:t>
            </w:r>
          </w:p>
        </w:tc>
        <w:tc>
          <w:tcPr>
            <w:tcW w:w="120" w:type="dxa"/>
            <w:vAlign w:val="bottom"/>
            <w:tcBorders>
              <w:right w:val="single" w:sz="8" w:color="auto"/>
            </w:tcBorders>
          </w:tcPr>
          <w:p>
            <w:pPr>
              <w:spacing w:after="0"/>
              <w:rPr>
                <w:sz w:val="10"/>
                <w:szCs w:val="10"/>
                <w:color w:val="auto"/>
              </w:rPr>
            </w:pPr>
          </w:p>
        </w:tc>
        <w:tc>
          <w:tcPr>
            <w:tcW w:w="176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PLAN AWARDS:</w:t>
            </w:r>
          </w:p>
        </w:tc>
        <w:tc>
          <w:tcPr>
            <w:tcW w:w="0" w:type="dxa"/>
            <w:vAlign w:val="bottom"/>
          </w:tcPr>
          <w:p>
            <w:pPr>
              <w:spacing w:after="0"/>
              <w:rPr>
                <w:sz w:val="1"/>
                <w:szCs w:val="1"/>
                <w:color w:val="auto"/>
              </w:rPr>
            </w:pPr>
          </w:p>
        </w:tc>
      </w:tr>
      <w:tr>
        <w:trPr>
          <w:trHeight w:val="135"/>
        </w:trPr>
        <w:tc>
          <w:tcPr>
            <w:tcW w:w="270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420" w:type="dxa"/>
            <w:vAlign w:val="bottom"/>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3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OF SHARES</w:t>
            </w:r>
          </w:p>
        </w:tc>
        <w:tc>
          <w:tcPr>
            <w:tcW w:w="120" w:type="dxa"/>
            <w:vAlign w:val="bottom"/>
            <w:tcBorders>
              <w:right w:val="single" w:sz="8" w:color="auto"/>
            </w:tcBorders>
          </w:tcPr>
          <w:p>
            <w:pPr>
              <w:spacing w:after="0"/>
              <w:rPr>
                <w:sz w:val="11"/>
                <w:szCs w:val="11"/>
                <w:color w:val="auto"/>
              </w:rPr>
            </w:pPr>
          </w:p>
        </w:tc>
        <w:tc>
          <w:tcPr>
            <w:tcW w:w="13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VALUE OF</w:t>
            </w:r>
          </w:p>
        </w:tc>
        <w:tc>
          <w:tcPr>
            <w:tcW w:w="120" w:type="dxa"/>
            <w:vAlign w:val="bottom"/>
            <w:tcBorders>
              <w:right w:val="single" w:sz="8" w:color="auto"/>
            </w:tcBorders>
          </w:tcPr>
          <w:p>
            <w:pPr>
              <w:spacing w:after="0"/>
              <w:rPr>
                <w:sz w:val="11"/>
                <w:szCs w:val="11"/>
                <w:color w:val="auto"/>
              </w:rPr>
            </w:pPr>
          </w:p>
        </w:tc>
        <w:tc>
          <w:tcPr>
            <w:tcW w:w="21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NUMBER OF</w:t>
            </w:r>
          </w:p>
        </w:tc>
        <w:tc>
          <w:tcPr>
            <w:tcW w:w="120" w:type="dxa"/>
            <w:vAlign w:val="bottom"/>
            <w:tcBorders>
              <w:right w:val="single" w:sz="8" w:color="auto"/>
            </w:tcBorders>
          </w:tcPr>
          <w:p>
            <w:pPr>
              <w:spacing w:after="0"/>
              <w:rPr>
                <w:sz w:val="11"/>
                <w:szCs w:val="11"/>
                <w:color w:val="auto"/>
              </w:rPr>
            </w:pPr>
          </w:p>
        </w:tc>
        <w:tc>
          <w:tcPr>
            <w:tcW w:w="17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MARKET OR</w:t>
            </w:r>
          </w:p>
        </w:tc>
        <w:tc>
          <w:tcPr>
            <w:tcW w:w="0" w:type="dxa"/>
            <w:vAlign w:val="bottom"/>
          </w:tcPr>
          <w:p>
            <w:pPr>
              <w:spacing w:after="0"/>
              <w:rPr>
                <w:sz w:val="1"/>
                <w:szCs w:val="1"/>
                <w:color w:val="auto"/>
              </w:rPr>
            </w:pPr>
          </w:p>
        </w:tc>
      </w:tr>
      <w:tr>
        <w:trPr>
          <w:trHeight w:val="121"/>
        </w:trPr>
        <w:tc>
          <w:tcPr>
            <w:tcW w:w="27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3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OR UNITS</w:t>
            </w:r>
          </w:p>
        </w:tc>
        <w:tc>
          <w:tcPr>
            <w:tcW w:w="120" w:type="dxa"/>
            <w:vAlign w:val="bottom"/>
            <w:tcBorders>
              <w:right w:val="single" w:sz="8" w:color="auto"/>
            </w:tcBorders>
          </w:tcPr>
          <w:p>
            <w:pPr>
              <w:spacing w:after="0"/>
              <w:rPr>
                <w:sz w:val="10"/>
                <w:szCs w:val="10"/>
                <w:color w:val="auto"/>
              </w:rPr>
            </w:pPr>
          </w:p>
        </w:tc>
        <w:tc>
          <w:tcPr>
            <w:tcW w:w="13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SHARES OR</w:t>
            </w:r>
          </w:p>
        </w:tc>
        <w:tc>
          <w:tcPr>
            <w:tcW w:w="120" w:type="dxa"/>
            <w:vAlign w:val="bottom"/>
            <w:tcBorders>
              <w:right w:val="single" w:sz="8" w:color="auto"/>
            </w:tcBorders>
          </w:tcPr>
          <w:p>
            <w:pPr>
              <w:spacing w:after="0"/>
              <w:rPr>
                <w:sz w:val="10"/>
                <w:szCs w:val="10"/>
                <w:color w:val="auto"/>
              </w:rPr>
            </w:pPr>
          </w:p>
        </w:tc>
        <w:tc>
          <w:tcPr>
            <w:tcW w:w="212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rPr>
              <w:t>UNEARNED</w:t>
            </w:r>
          </w:p>
        </w:tc>
        <w:tc>
          <w:tcPr>
            <w:tcW w:w="120" w:type="dxa"/>
            <w:vAlign w:val="bottom"/>
            <w:tcBorders>
              <w:right w:val="single" w:sz="8" w:color="auto"/>
            </w:tcBorders>
          </w:tcPr>
          <w:p>
            <w:pPr>
              <w:spacing w:after="0"/>
              <w:rPr>
                <w:sz w:val="10"/>
                <w:szCs w:val="10"/>
                <w:color w:val="auto"/>
              </w:rPr>
            </w:pPr>
          </w:p>
        </w:tc>
        <w:tc>
          <w:tcPr>
            <w:tcW w:w="176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PAYOUT VALUE OF</w:t>
            </w:r>
          </w:p>
        </w:tc>
        <w:tc>
          <w:tcPr>
            <w:tcW w:w="0" w:type="dxa"/>
            <w:vAlign w:val="bottom"/>
          </w:tcPr>
          <w:p>
            <w:pPr>
              <w:spacing w:after="0"/>
              <w:rPr>
                <w:sz w:val="1"/>
                <w:szCs w:val="1"/>
                <w:color w:val="auto"/>
              </w:rPr>
            </w:pPr>
          </w:p>
        </w:tc>
      </w:tr>
      <w:tr>
        <w:trPr>
          <w:trHeight w:val="122"/>
        </w:trPr>
        <w:tc>
          <w:tcPr>
            <w:tcW w:w="27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3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OF STOCK</w:t>
            </w:r>
          </w:p>
        </w:tc>
        <w:tc>
          <w:tcPr>
            <w:tcW w:w="120" w:type="dxa"/>
            <w:vAlign w:val="bottom"/>
            <w:tcBorders>
              <w:right w:val="single" w:sz="8" w:color="auto"/>
            </w:tcBorders>
          </w:tcPr>
          <w:p>
            <w:pPr>
              <w:spacing w:after="0"/>
              <w:rPr>
                <w:sz w:val="10"/>
                <w:szCs w:val="10"/>
                <w:color w:val="auto"/>
              </w:rPr>
            </w:pPr>
          </w:p>
        </w:tc>
        <w:tc>
          <w:tcPr>
            <w:tcW w:w="13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UNITS OF</w:t>
            </w:r>
          </w:p>
        </w:tc>
        <w:tc>
          <w:tcPr>
            <w:tcW w:w="120" w:type="dxa"/>
            <w:vAlign w:val="bottom"/>
            <w:tcBorders>
              <w:right w:val="single" w:sz="8" w:color="auto"/>
            </w:tcBorders>
          </w:tcPr>
          <w:p>
            <w:pPr>
              <w:spacing w:after="0"/>
              <w:rPr>
                <w:sz w:val="10"/>
                <w:szCs w:val="10"/>
                <w:color w:val="auto"/>
              </w:rPr>
            </w:pPr>
          </w:p>
        </w:tc>
        <w:tc>
          <w:tcPr>
            <w:tcW w:w="212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rPr>
              <w:t>SHARES, UNITS</w:t>
            </w:r>
          </w:p>
        </w:tc>
        <w:tc>
          <w:tcPr>
            <w:tcW w:w="120" w:type="dxa"/>
            <w:vAlign w:val="bottom"/>
            <w:tcBorders>
              <w:right w:val="single" w:sz="8" w:color="auto"/>
            </w:tcBorders>
          </w:tcPr>
          <w:p>
            <w:pPr>
              <w:spacing w:after="0"/>
              <w:rPr>
                <w:sz w:val="10"/>
                <w:szCs w:val="10"/>
                <w:color w:val="auto"/>
              </w:rPr>
            </w:pPr>
          </w:p>
        </w:tc>
        <w:tc>
          <w:tcPr>
            <w:tcW w:w="176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UNEARNED SHARES,</w:t>
            </w:r>
          </w:p>
        </w:tc>
        <w:tc>
          <w:tcPr>
            <w:tcW w:w="0" w:type="dxa"/>
            <w:vAlign w:val="bottom"/>
          </w:tcPr>
          <w:p>
            <w:pPr>
              <w:spacing w:after="0"/>
              <w:rPr>
                <w:sz w:val="1"/>
                <w:szCs w:val="1"/>
                <w:color w:val="auto"/>
              </w:rPr>
            </w:pPr>
          </w:p>
        </w:tc>
      </w:tr>
      <w:tr>
        <w:trPr>
          <w:trHeight w:val="122"/>
        </w:trPr>
        <w:tc>
          <w:tcPr>
            <w:tcW w:w="270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NAMED</w:t>
            </w:r>
          </w:p>
        </w:tc>
        <w:tc>
          <w:tcPr>
            <w:tcW w:w="120" w:type="dxa"/>
            <w:vAlign w:val="bottom"/>
            <w:tcBorders>
              <w:right w:val="single" w:sz="8" w:color="auto"/>
            </w:tcBorders>
          </w:tcPr>
          <w:p>
            <w:pPr>
              <w:spacing w:after="0"/>
              <w:rPr>
                <w:sz w:val="10"/>
                <w:szCs w:val="10"/>
                <w:color w:val="auto"/>
              </w:rPr>
            </w:pPr>
          </w:p>
        </w:tc>
        <w:tc>
          <w:tcPr>
            <w:tcW w:w="14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3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THAT</w:t>
            </w:r>
          </w:p>
        </w:tc>
        <w:tc>
          <w:tcPr>
            <w:tcW w:w="120" w:type="dxa"/>
            <w:vAlign w:val="bottom"/>
            <w:tcBorders>
              <w:right w:val="single" w:sz="8" w:color="auto"/>
            </w:tcBorders>
          </w:tcPr>
          <w:p>
            <w:pPr>
              <w:spacing w:after="0"/>
              <w:rPr>
                <w:sz w:val="10"/>
                <w:szCs w:val="10"/>
                <w:color w:val="auto"/>
              </w:rPr>
            </w:pPr>
          </w:p>
        </w:tc>
        <w:tc>
          <w:tcPr>
            <w:tcW w:w="13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STOCK THAT</w:t>
            </w:r>
          </w:p>
        </w:tc>
        <w:tc>
          <w:tcPr>
            <w:tcW w:w="120" w:type="dxa"/>
            <w:vAlign w:val="bottom"/>
            <w:tcBorders>
              <w:right w:val="single" w:sz="8" w:color="auto"/>
            </w:tcBorders>
          </w:tcPr>
          <w:p>
            <w:pPr>
              <w:spacing w:after="0"/>
              <w:rPr>
                <w:sz w:val="10"/>
                <w:szCs w:val="10"/>
                <w:color w:val="auto"/>
              </w:rPr>
            </w:pPr>
          </w:p>
        </w:tc>
        <w:tc>
          <w:tcPr>
            <w:tcW w:w="212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rPr>
              <w:t>OR OTHER RIGHTS</w:t>
            </w:r>
          </w:p>
        </w:tc>
        <w:tc>
          <w:tcPr>
            <w:tcW w:w="120" w:type="dxa"/>
            <w:vAlign w:val="bottom"/>
            <w:tcBorders>
              <w:right w:val="single" w:sz="8" w:color="auto"/>
            </w:tcBorders>
          </w:tcPr>
          <w:p>
            <w:pPr>
              <w:spacing w:after="0"/>
              <w:rPr>
                <w:sz w:val="10"/>
                <w:szCs w:val="10"/>
                <w:color w:val="auto"/>
              </w:rPr>
            </w:pPr>
          </w:p>
        </w:tc>
        <w:tc>
          <w:tcPr>
            <w:tcW w:w="176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UNITS OR OTHER</w:t>
            </w:r>
          </w:p>
        </w:tc>
        <w:tc>
          <w:tcPr>
            <w:tcW w:w="0" w:type="dxa"/>
            <w:vAlign w:val="bottom"/>
          </w:tcPr>
          <w:p>
            <w:pPr>
              <w:spacing w:after="0"/>
              <w:rPr>
                <w:sz w:val="1"/>
                <w:szCs w:val="1"/>
                <w:color w:val="auto"/>
              </w:rPr>
            </w:pPr>
          </w:p>
        </w:tc>
      </w:tr>
      <w:tr>
        <w:trPr>
          <w:trHeight w:val="135"/>
        </w:trPr>
        <w:tc>
          <w:tcPr>
            <w:tcW w:w="2700" w:type="dxa"/>
            <w:vAlign w:val="bottom"/>
            <w:vMerge w:val="continue"/>
          </w:tcPr>
          <w:p>
            <w:pPr>
              <w:spacing w:after="0"/>
              <w:rPr>
                <w:sz w:val="11"/>
                <w:szCs w:val="11"/>
                <w:color w:val="auto"/>
              </w:rPr>
            </w:pPr>
          </w:p>
        </w:tc>
        <w:tc>
          <w:tcPr>
            <w:tcW w:w="120" w:type="dxa"/>
            <w:vAlign w:val="bottom"/>
            <w:tcBorders>
              <w:right w:val="single" w:sz="8" w:color="auto"/>
            </w:tcBorders>
          </w:tcPr>
          <w:p>
            <w:pPr>
              <w:spacing w:after="0"/>
              <w:rPr>
                <w:sz w:val="11"/>
                <w:szCs w:val="11"/>
                <w:color w:val="auto"/>
              </w:rPr>
            </w:pPr>
          </w:p>
        </w:tc>
        <w:tc>
          <w:tcPr>
            <w:tcW w:w="1540" w:type="dxa"/>
            <w:vAlign w:val="bottom"/>
            <w:tcBorders>
              <w:right w:val="single" w:sz="8" w:color="auto"/>
            </w:tcBorders>
            <w:gridSpan w:val="2"/>
            <w:vMerge w:val="restart"/>
          </w:tcPr>
          <w:p>
            <w:pPr>
              <w:jc w:val="right"/>
              <w:ind w:right="200"/>
              <w:spacing w:after="0"/>
              <w:rPr>
                <w:sz w:val="20"/>
                <w:szCs w:val="20"/>
                <w:color w:val="auto"/>
              </w:rPr>
            </w:pPr>
            <w:r>
              <w:rPr>
                <w:rFonts w:ascii="Arial" w:cs="Arial" w:eastAsia="Arial" w:hAnsi="Arial"/>
                <w:sz w:val="13"/>
                <w:szCs w:val="13"/>
                <w:b w:val="1"/>
                <w:bCs w:val="1"/>
                <w:color w:val="auto"/>
              </w:rPr>
              <w:t>GRANT</w:t>
            </w:r>
          </w:p>
        </w:tc>
        <w:tc>
          <w:tcPr>
            <w:tcW w:w="13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HAVE NOT</w:t>
            </w:r>
          </w:p>
        </w:tc>
        <w:tc>
          <w:tcPr>
            <w:tcW w:w="120" w:type="dxa"/>
            <w:vAlign w:val="bottom"/>
            <w:tcBorders>
              <w:right w:val="single" w:sz="8" w:color="auto"/>
            </w:tcBorders>
          </w:tcPr>
          <w:p>
            <w:pPr>
              <w:spacing w:after="0"/>
              <w:rPr>
                <w:sz w:val="11"/>
                <w:szCs w:val="11"/>
                <w:color w:val="auto"/>
              </w:rPr>
            </w:pPr>
          </w:p>
        </w:tc>
        <w:tc>
          <w:tcPr>
            <w:tcW w:w="132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HAVE NOT</w:t>
            </w:r>
          </w:p>
        </w:tc>
        <w:tc>
          <w:tcPr>
            <w:tcW w:w="120" w:type="dxa"/>
            <w:vAlign w:val="bottom"/>
            <w:tcBorders>
              <w:right w:val="single" w:sz="8" w:color="auto"/>
            </w:tcBorders>
          </w:tcPr>
          <w:p>
            <w:pPr>
              <w:spacing w:after="0"/>
              <w:rPr>
                <w:sz w:val="11"/>
                <w:szCs w:val="11"/>
                <w:color w:val="auto"/>
              </w:rPr>
            </w:pPr>
          </w:p>
        </w:tc>
        <w:tc>
          <w:tcPr>
            <w:tcW w:w="212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THAT HAVE NOT</w:t>
            </w:r>
          </w:p>
        </w:tc>
        <w:tc>
          <w:tcPr>
            <w:tcW w:w="120" w:type="dxa"/>
            <w:vAlign w:val="bottom"/>
            <w:tcBorders>
              <w:right w:val="single" w:sz="8" w:color="auto"/>
            </w:tcBorders>
          </w:tcPr>
          <w:p>
            <w:pPr>
              <w:spacing w:after="0"/>
              <w:rPr>
                <w:sz w:val="11"/>
                <w:szCs w:val="11"/>
                <w:color w:val="auto"/>
              </w:rPr>
            </w:pPr>
          </w:p>
        </w:tc>
        <w:tc>
          <w:tcPr>
            <w:tcW w:w="1760" w:type="dxa"/>
            <w:vAlign w:val="bottom"/>
          </w:tcPr>
          <w:p>
            <w:pPr>
              <w:jc w:val="right"/>
              <w:spacing w:after="0" w:line="135" w:lineRule="exact"/>
              <w:rPr>
                <w:sz w:val="20"/>
                <w:szCs w:val="20"/>
                <w:color w:val="auto"/>
              </w:rPr>
            </w:pPr>
            <w:r>
              <w:rPr>
                <w:rFonts w:ascii="Arial" w:cs="Arial" w:eastAsia="Arial" w:hAnsi="Arial"/>
                <w:sz w:val="13"/>
                <w:szCs w:val="13"/>
                <w:b w:val="1"/>
                <w:bCs w:val="1"/>
                <w:color w:val="auto"/>
              </w:rPr>
              <w:t>RIGHTS THAT HAVE</w:t>
            </w:r>
          </w:p>
        </w:tc>
        <w:tc>
          <w:tcPr>
            <w:tcW w:w="0" w:type="dxa"/>
            <w:vAlign w:val="bottom"/>
          </w:tcPr>
          <w:p>
            <w:pPr>
              <w:spacing w:after="0"/>
              <w:rPr>
                <w:sz w:val="1"/>
                <w:szCs w:val="1"/>
                <w:color w:val="auto"/>
              </w:rPr>
            </w:pPr>
          </w:p>
        </w:tc>
      </w:tr>
      <w:tr>
        <w:trPr>
          <w:trHeight w:val="122"/>
        </w:trPr>
        <w:tc>
          <w:tcPr>
            <w:tcW w:w="2700" w:type="dxa"/>
            <w:vAlign w:val="bottom"/>
          </w:tcPr>
          <w:p>
            <w:pPr>
              <w:ind w:left="60"/>
              <w:spacing w:after="0" w:line="122" w:lineRule="exact"/>
              <w:rPr>
                <w:sz w:val="20"/>
                <w:szCs w:val="20"/>
                <w:color w:val="auto"/>
              </w:rPr>
            </w:pPr>
            <w:r>
              <w:rPr>
                <w:rFonts w:ascii="Arial" w:cs="Arial" w:eastAsia="Arial" w:hAnsi="Arial"/>
                <w:sz w:val="13"/>
                <w:szCs w:val="13"/>
                <w:b w:val="1"/>
                <w:bCs w:val="1"/>
                <w:color w:val="auto"/>
              </w:rPr>
              <w:t>EXECUTIVE</w:t>
            </w:r>
          </w:p>
        </w:tc>
        <w:tc>
          <w:tcPr>
            <w:tcW w:w="120" w:type="dxa"/>
            <w:vAlign w:val="bottom"/>
            <w:tcBorders>
              <w:right w:val="single" w:sz="8" w:color="auto"/>
            </w:tcBorders>
          </w:tcPr>
          <w:p>
            <w:pPr>
              <w:spacing w:after="0"/>
              <w:rPr>
                <w:sz w:val="10"/>
                <w:szCs w:val="10"/>
                <w:color w:val="auto"/>
              </w:rPr>
            </w:pPr>
          </w:p>
        </w:tc>
        <w:tc>
          <w:tcPr>
            <w:tcW w:w="1540" w:type="dxa"/>
            <w:vAlign w:val="bottom"/>
            <w:tcBorders>
              <w:right w:val="single" w:sz="8" w:color="auto"/>
            </w:tcBorders>
            <w:gridSpan w:val="2"/>
            <w:vMerge w:val="continue"/>
          </w:tcPr>
          <w:p>
            <w:pPr>
              <w:spacing w:after="0"/>
              <w:rPr>
                <w:sz w:val="10"/>
                <w:szCs w:val="10"/>
                <w:color w:val="auto"/>
              </w:rPr>
            </w:pPr>
          </w:p>
        </w:tc>
        <w:tc>
          <w:tcPr>
            <w:tcW w:w="13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VESTED</w:t>
            </w:r>
          </w:p>
        </w:tc>
        <w:tc>
          <w:tcPr>
            <w:tcW w:w="120" w:type="dxa"/>
            <w:vAlign w:val="bottom"/>
            <w:tcBorders>
              <w:right w:val="single" w:sz="8" w:color="auto"/>
            </w:tcBorders>
          </w:tcPr>
          <w:p>
            <w:pPr>
              <w:spacing w:after="0"/>
              <w:rPr>
                <w:sz w:val="10"/>
                <w:szCs w:val="10"/>
                <w:color w:val="auto"/>
              </w:rPr>
            </w:pPr>
          </w:p>
        </w:tc>
        <w:tc>
          <w:tcPr>
            <w:tcW w:w="132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VESTED</w:t>
            </w:r>
          </w:p>
        </w:tc>
        <w:tc>
          <w:tcPr>
            <w:tcW w:w="120" w:type="dxa"/>
            <w:vAlign w:val="bottom"/>
            <w:tcBorders>
              <w:right w:val="single" w:sz="8" w:color="auto"/>
            </w:tcBorders>
          </w:tcPr>
          <w:p>
            <w:pPr>
              <w:spacing w:after="0"/>
              <w:rPr>
                <w:sz w:val="10"/>
                <w:szCs w:val="10"/>
                <w:color w:val="auto"/>
              </w:rPr>
            </w:pPr>
          </w:p>
        </w:tc>
        <w:tc>
          <w:tcPr>
            <w:tcW w:w="2120" w:type="dxa"/>
            <w:vAlign w:val="bottom"/>
            <w:gridSpan w:val="2"/>
          </w:tcPr>
          <w:p>
            <w:pPr>
              <w:jc w:val="right"/>
              <w:spacing w:after="0" w:line="122" w:lineRule="exact"/>
              <w:rPr>
                <w:sz w:val="20"/>
                <w:szCs w:val="20"/>
                <w:color w:val="auto"/>
              </w:rPr>
            </w:pPr>
            <w:r>
              <w:rPr>
                <w:rFonts w:ascii="Arial" w:cs="Arial" w:eastAsia="Arial" w:hAnsi="Arial"/>
                <w:sz w:val="13"/>
                <w:szCs w:val="13"/>
                <w:b w:val="1"/>
                <w:bCs w:val="1"/>
                <w:color w:val="auto"/>
              </w:rPr>
              <w:t>VESTED</w:t>
            </w:r>
          </w:p>
        </w:tc>
        <w:tc>
          <w:tcPr>
            <w:tcW w:w="120" w:type="dxa"/>
            <w:vAlign w:val="bottom"/>
            <w:tcBorders>
              <w:right w:val="single" w:sz="8" w:color="auto"/>
            </w:tcBorders>
          </w:tcPr>
          <w:p>
            <w:pPr>
              <w:spacing w:after="0"/>
              <w:rPr>
                <w:sz w:val="10"/>
                <w:szCs w:val="10"/>
                <w:color w:val="auto"/>
              </w:rPr>
            </w:pPr>
          </w:p>
        </w:tc>
        <w:tc>
          <w:tcPr>
            <w:tcW w:w="176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NOT VESTED</w:t>
            </w:r>
          </w:p>
        </w:tc>
        <w:tc>
          <w:tcPr>
            <w:tcW w:w="0" w:type="dxa"/>
            <w:vAlign w:val="bottom"/>
          </w:tcPr>
          <w:p>
            <w:pPr>
              <w:spacing w:after="0"/>
              <w:rPr>
                <w:sz w:val="1"/>
                <w:szCs w:val="1"/>
                <w:color w:val="auto"/>
              </w:rPr>
            </w:pPr>
          </w:p>
        </w:tc>
      </w:tr>
      <w:tr>
        <w:trPr>
          <w:trHeight w:val="189"/>
        </w:trPr>
        <w:tc>
          <w:tcPr>
            <w:tcW w:w="2700" w:type="dxa"/>
            <w:vAlign w:val="bottom"/>
          </w:tcPr>
          <w:p>
            <w:pPr>
              <w:ind w:left="60"/>
              <w:spacing w:after="0"/>
              <w:rPr>
                <w:sz w:val="20"/>
                <w:szCs w:val="20"/>
                <w:color w:val="auto"/>
              </w:rPr>
            </w:pPr>
            <w:r>
              <w:rPr>
                <w:rFonts w:ascii="Arial" w:cs="Arial" w:eastAsia="Arial" w:hAnsi="Arial"/>
                <w:sz w:val="13"/>
                <w:szCs w:val="13"/>
                <w:b w:val="1"/>
                <w:bCs w:val="1"/>
                <w:color w:val="auto"/>
              </w:rPr>
              <w:t>OFFICER</w:t>
            </w:r>
          </w:p>
        </w:tc>
        <w:tc>
          <w:tcPr>
            <w:tcW w:w="12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gridSpan w:val="2"/>
          </w:tcPr>
          <w:p>
            <w:pPr>
              <w:jc w:val="right"/>
              <w:ind w:right="200"/>
              <w:spacing w:after="0"/>
              <w:rPr>
                <w:sz w:val="20"/>
                <w:szCs w:val="20"/>
                <w:color w:val="auto"/>
              </w:rPr>
            </w:pPr>
            <w:r>
              <w:rPr>
                <w:rFonts w:ascii="Arial" w:cs="Arial" w:eastAsia="Arial" w:hAnsi="Arial"/>
                <w:sz w:val="13"/>
                <w:szCs w:val="13"/>
                <w:b w:val="1"/>
                <w:bCs w:val="1"/>
                <w:color w:val="auto"/>
              </w:rPr>
              <w:t>DATE</w:t>
            </w:r>
          </w:p>
        </w:tc>
        <w:tc>
          <w:tcPr>
            <w:tcW w:w="1320" w:type="dxa"/>
            <w:vAlign w:val="bottom"/>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(1)</w:t>
            </w:r>
          </w:p>
        </w:tc>
        <w:tc>
          <w:tcPr>
            <w:tcW w:w="120" w:type="dxa"/>
            <w:vAlign w:val="bottom"/>
            <w:tcBorders>
              <w:right w:val="single" w:sz="8" w:color="auto"/>
            </w:tcBorders>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(2)</w:t>
            </w:r>
          </w:p>
        </w:tc>
        <w:tc>
          <w:tcPr>
            <w:tcW w:w="120" w:type="dxa"/>
            <w:vAlign w:val="bottom"/>
            <w:tcBorders>
              <w:right w:val="single" w:sz="8" w:color="auto"/>
            </w:tcBorders>
          </w:tcPr>
          <w:p>
            <w:pPr>
              <w:spacing w:after="0"/>
              <w:rPr>
                <w:sz w:val="16"/>
                <w:szCs w:val="16"/>
                <w:color w:val="auto"/>
              </w:rPr>
            </w:pPr>
          </w:p>
        </w:tc>
        <w:tc>
          <w:tcPr>
            <w:tcW w:w="178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0" w:type="dxa"/>
            <w:vAlign w:val="bottom"/>
            <w:tcBorders>
              <w:right w:val="single" w:sz="8" w:color="auto"/>
            </w:tcBorders>
          </w:tcPr>
          <w:p>
            <w:pPr>
              <w:spacing w:after="0"/>
              <w:rPr>
                <w:sz w:val="16"/>
                <w:szCs w:val="16"/>
                <w:color w:val="auto"/>
              </w:rPr>
            </w:pPr>
          </w:p>
        </w:tc>
        <w:tc>
          <w:tcPr>
            <w:tcW w:w="1760" w:type="dxa"/>
            <w:vAlign w:val="bottom"/>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(2)</w:t>
            </w:r>
          </w:p>
        </w:tc>
        <w:tc>
          <w:tcPr>
            <w:tcW w:w="0" w:type="dxa"/>
            <w:vAlign w:val="bottom"/>
          </w:tcPr>
          <w:p>
            <w:pPr>
              <w:spacing w:after="0"/>
              <w:rPr>
                <w:sz w:val="1"/>
                <w:szCs w:val="1"/>
                <w:color w:val="auto"/>
              </w:rPr>
            </w:pPr>
          </w:p>
        </w:tc>
      </w:tr>
      <w:tr>
        <w:trPr>
          <w:trHeight w:val="209"/>
        </w:trPr>
        <w:tc>
          <w:tcPr>
            <w:tcW w:w="2700" w:type="dxa"/>
            <w:vAlign w:val="bottom"/>
            <w:tcBorders>
              <w:top w:val="single" w:sz="8" w:color="auto"/>
              <w:bottom w:val="single" w:sz="8" w:color="E6E7E8"/>
            </w:tcBorders>
            <w:shd w:val="clear" w:color="auto" w:fill="E6E7E8"/>
          </w:tcPr>
          <w:p>
            <w:pPr>
              <w:ind w:left="60"/>
              <w:spacing w:after="0"/>
              <w:rPr>
                <w:sz w:val="20"/>
                <w:szCs w:val="20"/>
                <w:color w:val="auto"/>
              </w:rPr>
            </w:pPr>
            <w:r>
              <w:rPr>
                <w:rFonts w:ascii="Arial" w:cs="Arial" w:eastAsia="Arial" w:hAnsi="Arial"/>
                <w:sz w:val="16"/>
                <w:szCs w:val="16"/>
                <w:b w:val="1"/>
                <w:bCs w:val="1"/>
                <w:color w:val="004A98"/>
              </w:rPr>
              <w:t>D. James Bidzos</w:t>
            </w:r>
          </w:p>
        </w:tc>
        <w:tc>
          <w:tcPr>
            <w:tcW w:w="120" w:type="dxa"/>
            <w:vAlign w:val="bottom"/>
            <w:tcBorders>
              <w:right w:val="single" w:sz="8" w:color="E6E7E8"/>
            </w:tcBorders>
          </w:tcPr>
          <w:p>
            <w:pPr>
              <w:spacing w:after="0"/>
              <w:rPr>
                <w:sz w:val="18"/>
                <w:szCs w:val="18"/>
                <w:color w:val="auto"/>
              </w:rPr>
            </w:pPr>
          </w:p>
        </w:tc>
        <w:tc>
          <w:tcPr>
            <w:tcW w:w="1420" w:type="dxa"/>
            <w:vAlign w:val="bottom"/>
            <w:tcBorders>
              <w:top w:val="single" w:sz="8" w:color="auto"/>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2/16/2021</w:t>
            </w:r>
          </w:p>
        </w:tc>
        <w:tc>
          <w:tcPr>
            <w:tcW w:w="120" w:type="dxa"/>
            <w:vAlign w:val="bottom"/>
            <w:tcBorders>
              <w:right w:val="single" w:sz="8" w:color="E6E7E8"/>
            </w:tcBorders>
          </w:tcPr>
          <w:p>
            <w:pPr>
              <w:spacing w:after="0"/>
              <w:rPr>
                <w:sz w:val="18"/>
                <w:szCs w:val="18"/>
                <w:color w:val="auto"/>
              </w:rPr>
            </w:pPr>
          </w:p>
        </w:tc>
        <w:tc>
          <w:tcPr>
            <w:tcW w:w="1320" w:type="dxa"/>
            <w:vAlign w:val="bottom"/>
            <w:tcBorders>
              <w:top w:val="single" w:sz="8" w:color="auto"/>
              <w:bottom w:val="single" w:sz="8" w:color="939598"/>
            </w:tcBorders>
            <w:shd w:val="clear" w:color="auto" w:fill="E6E7E8"/>
          </w:tcPr>
          <w:p>
            <w:pPr>
              <w:jc w:val="right"/>
              <w:ind w:right="3"/>
              <w:spacing w:after="0"/>
              <w:rPr>
                <w:sz w:val="20"/>
                <w:szCs w:val="20"/>
                <w:color w:val="auto"/>
              </w:rPr>
            </w:pPr>
            <w:r>
              <w:rPr>
                <w:rFonts w:ascii="Arial" w:cs="Arial" w:eastAsia="Arial" w:hAnsi="Arial"/>
                <w:sz w:val="16"/>
                <w:szCs w:val="16"/>
                <w:color w:val="auto"/>
              </w:rPr>
              <w:t>977</w:t>
            </w:r>
          </w:p>
        </w:tc>
        <w:tc>
          <w:tcPr>
            <w:tcW w:w="120" w:type="dxa"/>
            <w:vAlign w:val="bottom"/>
            <w:tcBorders>
              <w:right w:val="single" w:sz="8" w:color="E6E7E8"/>
            </w:tcBorders>
          </w:tcPr>
          <w:p>
            <w:pPr>
              <w:spacing w:after="0"/>
              <w:rPr>
                <w:sz w:val="18"/>
                <w:szCs w:val="18"/>
                <w:color w:val="auto"/>
              </w:rPr>
            </w:pPr>
          </w:p>
        </w:tc>
        <w:tc>
          <w:tcPr>
            <w:tcW w:w="1320" w:type="dxa"/>
            <w:vAlign w:val="bottom"/>
            <w:tcBorders>
              <w:top w:val="single" w:sz="8" w:color="auto"/>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202,200</w:t>
            </w:r>
          </w:p>
        </w:tc>
        <w:tc>
          <w:tcPr>
            <w:tcW w:w="120" w:type="dxa"/>
            <w:vAlign w:val="bottom"/>
            <w:tcBorders>
              <w:right w:val="single" w:sz="8" w:color="E6E7E8"/>
            </w:tcBorders>
          </w:tcPr>
          <w:p>
            <w:pPr>
              <w:spacing w:after="0"/>
              <w:rPr>
                <w:sz w:val="18"/>
                <w:szCs w:val="18"/>
                <w:color w:val="auto"/>
              </w:rPr>
            </w:pPr>
          </w:p>
        </w:tc>
        <w:tc>
          <w:tcPr>
            <w:tcW w:w="178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939598"/>
              <w:bottom w:val="single" w:sz="8" w:color="939598"/>
            </w:tcBorders>
            <w:shd w:val="clear" w:color="auto" w:fill="E6E7E8"/>
          </w:tcPr>
          <w:p>
            <w:pPr>
              <w:spacing w:after="0"/>
              <w:rPr>
                <w:sz w:val="18"/>
                <w:szCs w:val="18"/>
                <w:color w:val="auto"/>
              </w:rPr>
            </w:pPr>
          </w:p>
        </w:tc>
        <w:tc>
          <w:tcPr>
            <w:tcW w:w="120" w:type="dxa"/>
            <w:vAlign w:val="bottom"/>
            <w:tcBorders>
              <w:top w:val="single" w:sz="8" w:color="939598"/>
              <w:bottom w:val="single" w:sz="8" w:color="939598"/>
              <w:right w:val="single" w:sz="8" w:color="E6E7E8"/>
            </w:tcBorders>
          </w:tcPr>
          <w:p>
            <w:pPr>
              <w:spacing w:after="0"/>
              <w:rPr>
                <w:sz w:val="18"/>
                <w:szCs w:val="18"/>
                <w:color w:val="auto"/>
              </w:rPr>
            </w:pPr>
          </w:p>
        </w:tc>
        <w:tc>
          <w:tcPr>
            <w:tcW w:w="1760" w:type="dxa"/>
            <w:vAlign w:val="bottom"/>
            <w:tcBorders>
              <w:top w:val="single" w:sz="8" w:color="939598"/>
              <w:bottom w:val="single" w:sz="8" w:color="939598"/>
            </w:tcBorders>
            <w:shd w:val="clear" w:color="auto" w:fill="E6E7E8"/>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700" w:type="dxa"/>
            <w:vAlign w:val="bottom"/>
            <w:tcBorders>
              <w:bottom w:val="single" w:sz="8" w:color="E6E7E8"/>
            </w:tcBorders>
            <w:shd w:val="clear" w:color="auto" w:fill="E6E7E8"/>
          </w:tcPr>
          <w:p>
            <w:pPr>
              <w:spacing w:after="0"/>
              <w:rPr>
                <w:sz w:val="18"/>
                <w:szCs w:val="18"/>
                <w:color w:val="auto"/>
              </w:rPr>
            </w:pPr>
          </w:p>
        </w:tc>
        <w:tc>
          <w:tcPr>
            <w:tcW w:w="120" w:type="dxa"/>
            <w:vAlign w:val="bottom"/>
            <w:tcBorders>
              <w:right w:val="single" w:sz="8" w:color="E6E7E8"/>
            </w:tcBorders>
          </w:tcPr>
          <w:p>
            <w:pPr>
              <w:spacing w:after="0"/>
              <w:rPr>
                <w:sz w:val="18"/>
                <w:szCs w:val="18"/>
                <w:color w:val="auto"/>
              </w:rPr>
            </w:pPr>
          </w:p>
        </w:tc>
        <w:tc>
          <w:tcPr>
            <w:tcW w:w="14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2/14/2022</w:t>
            </w:r>
          </w:p>
        </w:tc>
        <w:tc>
          <w:tcPr>
            <w:tcW w:w="120" w:type="dxa"/>
            <w:vAlign w:val="bottom"/>
            <w:tcBorders>
              <w:right w:val="single" w:sz="8" w:color="E6E7E8"/>
            </w:tcBorders>
          </w:tcPr>
          <w:p>
            <w:pPr>
              <w:spacing w:after="0"/>
              <w:rPr>
                <w:sz w:val="18"/>
                <w:szCs w:val="18"/>
                <w:color w:val="auto"/>
              </w:rPr>
            </w:pPr>
          </w:p>
        </w:tc>
        <w:tc>
          <w:tcPr>
            <w:tcW w:w="1320" w:type="dxa"/>
            <w:vAlign w:val="bottom"/>
            <w:tcBorders>
              <w:bottom w:val="single" w:sz="8" w:color="939598"/>
            </w:tcBorders>
            <w:shd w:val="clear" w:color="auto" w:fill="E6E7E8"/>
          </w:tcPr>
          <w:p>
            <w:pPr>
              <w:jc w:val="right"/>
              <w:ind w:right="3"/>
              <w:spacing w:after="0"/>
              <w:rPr>
                <w:sz w:val="20"/>
                <w:szCs w:val="20"/>
                <w:color w:val="auto"/>
              </w:rPr>
            </w:pPr>
            <w:r>
              <w:rPr>
                <w:rFonts w:ascii="Arial" w:cs="Arial" w:eastAsia="Arial" w:hAnsi="Arial"/>
                <w:sz w:val="16"/>
                <w:szCs w:val="16"/>
                <w:color w:val="auto"/>
              </w:rPr>
              <w:t>5,265</w:t>
            </w:r>
          </w:p>
        </w:tc>
        <w:tc>
          <w:tcPr>
            <w:tcW w:w="120" w:type="dxa"/>
            <w:vAlign w:val="bottom"/>
            <w:tcBorders>
              <w:bottom w:val="single" w:sz="8" w:color="939598"/>
              <w:right w:val="single" w:sz="8" w:color="E6E7E8"/>
            </w:tcBorders>
          </w:tcPr>
          <w:p>
            <w:pPr>
              <w:spacing w:after="0"/>
              <w:rPr>
                <w:sz w:val="18"/>
                <w:szCs w:val="18"/>
                <w:color w:val="auto"/>
              </w:rPr>
            </w:pPr>
          </w:p>
        </w:tc>
        <w:tc>
          <w:tcPr>
            <w:tcW w:w="13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1,089,644</w:t>
            </w:r>
          </w:p>
        </w:tc>
        <w:tc>
          <w:tcPr>
            <w:tcW w:w="120" w:type="dxa"/>
            <w:vAlign w:val="bottom"/>
            <w:tcBorders>
              <w:right w:val="single" w:sz="8" w:color="E6E7E8"/>
            </w:tcBorders>
          </w:tcPr>
          <w:p>
            <w:pPr>
              <w:spacing w:after="0"/>
              <w:rPr>
                <w:sz w:val="18"/>
                <w:szCs w:val="18"/>
                <w:color w:val="auto"/>
              </w:rPr>
            </w:pPr>
          </w:p>
        </w:tc>
        <w:tc>
          <w:tcPr>
            <w:tcW w:w="178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939598"/>
            </w:tcBorders>
            <w:shd w:val="clear" w:color="auto" w:fill="E6E7E8"/>
          </w:tcPr>
          <w:p>
            <w:pPr>
              <w:spacing w:after="0"/>
              <w:rPr>
                <w:sz w:val="18"/>
                <w:szCs w:val="18"/>
                <w:color w:val="auto"/>
              </w:rPr>
            </w:pPr>
          </w:p>
        </w:tc>
        <w:tc>
          <w:tcPr>
            <w:tcW w:w="120" w:type="dxa"/>
            <w:vAlign w:val="bottom"/>
            <w:tcBorders>
              <w:bottom w:val="single" w:sz="8" w:color="939598"/>
              <w:right w:val="single" w:sz="8" w:color="E6E7E8"/>
            </w:tcBorders>
          </w:tcPr>
          <w:p>
            <w:pPr>
              <w:spacing w:after="0"/>
              <w:rPr>
                <w:sz w:val="18"/>
                <w:szCs w:val="18"/>
                <w:color w:val="auto"/>
              </w:rPr>
            </w:pPr>
          </w:p>
        </w:tc>
        <w:tc>
          <w:tcPr>
            <w:tcW w:w="1760" w:type="dxa"/>
            <w:vAlign w:val="bottom"/>
            <w:tcBorders>
              <w:bottom w:val="single" w:sz="8" w:color="939598"/>
            </w:tcBorders>
            <w:shd w:val="clear" w:color="auto" w:fill="E6E7E8"/>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700" w:type="dxa"/>
            <w:vAlign w:val="bottom"/>
            <w:tcBorders>
              <w:bottom w:val="single" w:sz="8" w:color="E6E7E8"/>
            </w:tcBorders>
            <w:shd w:val="clear" w:color="auto" w:fill="E6E7E8"/>
          </w:tcPr>
          <w:p>
            <w:pPr>
              <w:spacing w:after="0"/>
              <w:rPr>
                <w:sz w:val="18"/>
                <w:szCs w:val="18"/>
                <w:color w:val="auto"/>
              </w:rPr>
            </w:pPr>
          </w:p>
        </w:tc>
        <w:tc>
          <w:tcPr>
            <w:tcW w:w="120" w:type="dxa"/>
            <w:vAlign w:val="bottom"/>
            <w:tcBorders>
              <w:right w:val="single" w:sz="8" w:color="E6E7E8"/>
            </w:tcBorders>
          </w:tcPr>
          <w:p>
            <w:pPr>
              <w:spacing w:after="0"/>
              <w:rPr>
                <w:sz w:val="18"/>
                <w:szCs w:val="18"/>
                <w:color w:val="auto"/>
              </w:rPr>
            </w:pPr>
          </w:p>
        </w:tc>
        <w:tc>
          <w:tcPr>
            <w:tcW w:w="14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2/14/2022</w:t>
            </w:r>
          </w:p>
        </w:tc>
        <w:tc>
          <w:tcPr>
            <w:tcW w:w="120" w:type="dxa"/>
            <w:vAlign w:val="bottom"/>
            <w:tcBorders>
              <w:right w:val="single" w:sz="8" w:color="E6E7E8"/>
            </w:tcBorders>
          </w:tcPr>
          <w:p>
            <w:pPr>
              <w:spacing w:after="0"/>
              <w:rPr>
                <w:sz w:val="18"/>
                <w:szCs w:val="18"/>
                <w:color w:val="auto"/>
              </w:rPr>
            </w:pPr>
          </w:p>
        </w:tc>
        <w:tc>
          <w:tcPr>
            <w:tcW w:w="1320" w:type="dxa"/>
            <w:vAlign w:val="bottom"/>
            <w:tcBorders>
              <w:bottom w:val="single" w:sz="8" w:color="939598"/>
            </w:tcBorders>
            <w:shd w:val="clear" w:color="auto" w:fill="E6E7E8"/>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939598"/>
              <w:right w:val="single" w:sz="8" w:color="E6E7E8"/>
            </w:tcBorders>
          </w:tcPr>
          <w:p>
            <w:pPr>
              <w:spacing w:after="0"/>
              <w:rPr>
                <w:sz w:val="18"/>
                <w:szCs w:val="18"/>
                <w:color w:val="auto"/>
              </w:rPr>
            </w:pPr>
          </w:p>
        </w:tc>
        <w:tc>
          <w:tcPr>
            <w:tcW w:w="13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178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18,710</w:t>
            </w:r>
          </w:p>
        </w:tc>
        <w:tc>
          <w:tcPr>
            <w:tcW w:w="340" w:type="dxa"/>
            <w:vAlign w:val="bottom"/>
            <w:tcBorders>
              <w:bottom w:val="single" w:sz="8" w:color="939598"/>
            </w:tcBorders>
            <w:shd w:val="clear" w:color="auto" w:fill="E6E7E8"/>
          </w:tcPr>
          <w:p>
            <w:pPr>
              <w:jc w:val="right"/>
              <w:ind w:right="107"/>
              <w:spacing w:after="0"/>
              <w:rPr>
                <w:sz w:val="20"/>
                <w:szCs w:val="20"/>
                <w:color w:val="auto"/>
              </w:rPr>
            </w:pPr>
            <w:r>
              <w:rPr>
                <w:rFonts w:ascii="Arial" w:cs="Arial" w:eastAsia="Arial" w:hAnsi="Arial"/>
                <w:sz w:val="11"/>
                <w:szCs w:val="11"/>
                <w:color w:val="auto"/>
              </w:rPr>
              <w:t>(3)</w:t>
            </w:r>
          </w:p>
        </w:tc>
        <w:tc>
          <w:tcPr>
            <w:tcW w:w="120" w:type="dxa"/>
            <w:vAlign w:val="bottom"/>
            <w:tcBorders>
              <w:right w:val="single" w:sz="8" w:color="E6E7E8"/>
            </w:tcBorders>
          </w:tcPr>
          <w:p>
            <w:pPr>
              <w:spacing w:after="0"/>
              <w:rPr>
                <w:sz w:val="18"/>
                <w:szCs w:val="18"/>
                <w:color w:val="auto"/>
              </w:rPr>
            </w:pPr>
          </w:p>
        </w:tc>
        <w:tc>
          <w:tcPr>
            <w:tcW w:w="1760" w:type="dxa"/>
            <w:vAlign w:val="bottom"/>
            <w:tcBorders>
              <w:bottom w:val="single" w:sz="8" w:color="939598"/>
            </w:tcBorders>
            <w:shd w:val="clear" w:color="auto" w:fill="E6E7E8"/>
          </w:tcPr>
          <w:p>
            <w:pPr>
              <w:jc w:val="right"/>
              <w:ind w:right="4"/>
              <w:spacing w:after="0"/>
              <w:rPr>
                <w:sz w:val="20"/>
                <w:szCs w:val="20"/>
                <w:color w:val="auto"/>
              </w:rPr>
            </w:pPr>
            <w:r>
              <w:rPr>
                <w:rFonts w:ascii="Arial" w:cs="Arial" w:eastAsia="Arial" w:hAnsi="Arial"/>
                <w:sz w:val="16"/>
                <w:szCs w:val="16"/>
                <w:color w:val="auto"/>
              </w:rPr>
              <w:t>3,872,222</w:t>
            </w:r>
          </w:p>
        </w:tc>
        <w:tc>
          <w:tcPr>
            <w:tcW w:w="0" w:type="dxa"/>
            <w:vAlign w:val="bottom"/>
          </w:tcPr>
          <w:p>
            <w:pPr>
              <w:spacing w:after="0"/>
              <w:rPr>
                <w:sz w:val="1"/>
                <w:szCs w:val="1"/>
                <w:color w:val="auto"/>
              </w:rPr>
            </w:pPr>
          </w:p>
        </w:tc>
      </w:tr>
      <w:tr>
        <w:trPr>
          <w:trHeight w:val="209"/>
        </w:trPr>
        <w:tc>
          <w:tcPr>
            <w:tcW w:w="2700" w:type="dxa"/>
            <w:vAlign w:val="bottom"/>
            <w:tcBorders>
              <w:bottom w:val="single" w:sz="8" w:color="E6E7E8"/>
            </w:tcBorders>
            <w:shd w:val="clear" w:color="auto" w:fill="E6E7E8"/>
          </w:tcPr>
          <w:p>
            <w:pPr>
              <w:spacing w:after="0"/>
              <w:rPr>
                <w:sz w:val="18"/>
                <w:szCs w:val="18"/>
                <w:color w:val="auto"/>
              </w:rPr>
            </w:pPr>
          </w:p>
        </w:tc>
        <w:tc>
          <w:tcPr>
            <w:tcW w:w="120" w:type="dxa"/>
            <w:vAlign w:val="bottom"/>
            <w:tcBorders>
              <w:right w:val="single" w:sz="8" w:color="E6E7E8"/>
            </w:tcBorders>
          </w:tcPr>
          <w:p>
            <w:pPr>
              <w:spacing w:after="0"/>
              <w:rPr>
                <w:sz w:val="18"/>
                <w:szCs w:val="18"/>
                <w:color w:val="auto"/>
              </w:rPr>
            </w:pPr>
          </w:p>
        </w:tc>
        <w:tc>
          <w:tcPr>
            <w:tcW w:w="14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2/13/2023</w:t>
            </w:r>
          </w:p>
        </w:tc>
        <w:tc>
          <w:tcPr>
            <w:tcW w:w="120" w:type="dxa"/>
            <w:vAlign w:val="bottom"/>
            <w:tcBorders>
              <w:right w:val="single" w:sz="8" w:color="E6E7E8"/>
            </w:tcBorders>
          </w:tcPr>
          <w:p>
            <w:pPr>
              <w:spacing w:after="0"/>
              <w:rPr>
                <w:sz w:val="18"/>
                <w:szCs w:val="18"/>
                <w:color w:val="auto"/>
              </w:rPr>
            </w:pPr>
          </w:p>
        </w:tc>
        <w:tc>
          <w:tcPr>
            <w:tcW w:w="1320" w:type="dxa"/>
            <w:vAlign w:val="bottom"/>
            <w:tcBorders>
              <w:bottom w:val="single" w:sz="8" w:color="939598"/>
            </w:tcBorders>
            <w:shd w:val="clear" w:color="auto" w:fill="E6E7E8"/>
          </w:tcPr>
          <w:p>
            <w:pPr>
              <w:jc w:val="right"/>
              <w:ind w:right="3"/>
              <w:spacing w:after="0"/>
              <w:rPr>
                <w:sz w:val="20"/>
                <w:szCs w:val="20"/>
                <w:color w:val="auto"/>
              </w:rPr>
            </w:pPr>
            <w:r>
              <w:rPr>
                <w:rFonts w:ascii="Arial" w:cs="Arial" w:eastAsia="Arial" w:hAnsi="Arial"/>
                <w:sz w:val="16"/>
                <w:szCs w:val="16"/>
                <w:color w:val="auto"/>
              </w:rPr>
              <w:t>10,567</w:t>
            </w:r>
          </w:p>
        </w:tc>
        <w:tc>
          <w:tcPr>
            <w:tcW w:w="120" w:type="dxa"/>
            <w:vAlign w:val="bottom"/>
            <w:tcBorders>
              <w:bottom w:val="single" w:sz="8" w:color="939598"/>
              <w:right w:val="single" w:sz="8" w:color="E6E7E8"/>
            </w:tcBorders>
          </w:tcPr>
          <w:p>
            <w:pPr>
              <w:spacing w:after="0"/>
              <w:rPr>
                <w:sz w:val="18"/>
                <w:szCs w:val="18"/>
                <w:color w:val="auto"/>
              </w:rPr>
            </w:pPr>
          </w:p>
        </w:tc>
        <w:tc>
          <w:tcPr>
            <w:tcW w:w="13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2,186,946</w:t>
            </w:r>
          </w:p>
        </w:tc>
        <w:tc>
          <w:tcPr>
            <w:tcW w:w="120" w:type="dxa"/>
            <w:vAlign w:val="bottom"/>
            <w:tcBorders>
              <w:right w:val="single" w:sz="8" w:color="E6E7E8"/>
            </w:tcBorders>
          </w:tcPr>
          <w:p>
            <w:pPr>
              <w:spacing w:after="0"/>
              <w:rPr>
                <w:sz w:val="18"/>
                <w:szCs w:val="18"/>
                <w:color w:val="auto"/>
              </w:rPr>
            </w:pPr>
          </w:p>
        </w:tc>
        <w:tc>
          <w:tcPr>
            <w:tcW w:w="178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939598"/>
            </w:tcBorders>
            <w:shd w:val="clear" w:color="auto" w:fill="E6E7E8"/>
          </w:tcPr>
          <w:p>
            <w:pPr>
              <w:spacing w:after="0"/>
              <w:rPr>
                <w:sz w:val="18"/>
                <w:szCs w:val="18"/>
                <w:color w:val="auto"/>
              </w:rPr>
            </w:pPr>
          </w:p>
        </w:tc>
        <w:tc>
          <w:tcPr>
            <w:tcW w:w="120" w:type="dxa"/>
            <w:vAlign w:val="bottom"/>
            <w:tcBorders>
              <w:right w:val="single" w:sz="8" w:color="E6E7E8"/>
            </w:tcBorders>
          </w:tcPr>
          <w:p>
            <w:pPr>
              <w:spacing w:after="0"/>
              <w:rPr>
                <w:sz w:val="18"/>
                <w:szCs w:val="18"/>
                <w:color w:val="auto"/>
              </w:rPr>
            </w:pPr>
          </w:p>
        </w:tc>
        <w:tc>
          <w:tcPr>
            <w:tcW w:w="1760" w:type="dxa"/>
            <w:vAlign w:val="bottom"/>
            <w:tcBorders>
              <w:bottom w:val="single" w:sz="8" w:color="939598"/>
            </w:tcBorders>
            <w:shd w:val="clear" w:color="auto" w:fill="E6E7E8"/>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700" w:type="dxa"/>
            <w:vAlign w:val="bottom"/>
            <w:tcBorders>
              <w:bottom w:val="single" w:sz="8" w:color="E6E7E8"/>
            </w:tcBorders>
            <w:shd w:val="clear" w:color="auto" w:fill="E6E7E8"/>
          </w:tcPr>
          <w:p>
            <w:pPr>
              <w:spacing w:after="0"/>
              <w:rPr>
                <w:sz w:val="18"/>
                <w:szCs w:val="18"/>
                <w:color w:val="auto"/>
              </w:rPr>
            </w:pPr>
          </w:p>
        </w:tc>
        <w:tc>
          <w:tcPr>
            <w:tcW w:w="120" w:type="dxa"/>
            <w:vAlign w:val="bottom"/>
            <w:tcBorders>
              <w:right w:val="single" w:sz="8" w:color="E6E7E8"/>
            </w:tcBorders>
          </w:tcPr>
          <w:p>
            <w:pPr>
              <w:spacing w:after="0"/>
              <w:rPr>
                <w:sz w:val="18"/>
                <w:szCs w:val="18"/>
                <w:color w:val="auto"/>
              </w:rPr>
            </w:pPr>
          </w:p>
        </w:tc>
        <w:tc>
          <w:tcPr>
            <w:tcW w:w="14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2/13/2023</w:t>
            </w:r>
          </w:p>
        </w:tc>
        <w:tc>
          <w:tcPr>
            <w:tcW w:w="120" w:type="dxa"/>
            <w:vAlign w:val="bottom"/>
            <w:tcBorders>
              <w:right w:val="single" w:sz="8" w:color="E6E7E8"/>
            </w:tcBorders>
          </w:tcPr>
          <w:p>
            <w:pPr>
              <w:spacing w:after="0"/>
              <w:rPr>
                <w:sz w:val="18"/>
                <w:szCs w:val="18"/>
                <w:color w:val="auto"/>
              </w:rPr>
            </w:pPr>
          </w:p>
        </w:tc>
        <w:tc>
          <w:tcPr>
            <w:tcW w:w="1320" w:type="dxa"/>
            <w:vAlign w:val="bottom"/>
            <w:tcBorders>
              <w:bottom w:val="single" w:sz="8" w:color="939598"/>
            </w:tcBorders>
            <w:shd w:val="clear" w:color="auto" w:fill="E6E7E8"/>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939598"/>
              <w:right w:val="single" w:sz="8" w:color="E6E7E8"/>
            </w:tcBorders>
          </w:tcPr>
          <w:p>
            <w:pPr>
              <w:spacing w:after="0"/>
              <w:rPr>
                <w:sz w:val="18"/>
                <w:szCs w:val="18"/>
                <w:color w:val="auto"/>
              </w:rPr>
            </w:pPr>
          </w:p>
        </w:tc>
        <w:tc>
          <w:tcPr>
            <w:tcW w:w="13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178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28,186</w:t>
            </w:r>
          </w:p>
        </w:tc>
        <w:tc>
          <w:tcPr>
            <w:tcW w:w="340" w:type="dxa"/>
            <w:vAlign w:val="bottom"/>
            <w:tcBorders>
              <w:bottom w:val="single" w:sz="8" w:color="939598"/>
            </w:tcBorders>
            <w:shd w:val="clear" w:color="auto" w:fill="E6E7E8"/>
          </w:tcPr>
          <w:p>
            <w:pPr>
              <w:jc w:val="right"/>
              <w:ind w:right="107"/>
              <w:spacing w:after="0"/>
              <w:rPr>
                <w:sz w:val="20"/>
                <w:szCs w:val="20"/>
                <w:color w:val="auto"/>
              </w:rPr>
            </w:pPr>
            <w:r>
              <w:rPr>
                <w:rFonts w:ascii="Arial" w:cs="Arial" w:eastAsia="Arial" w:hAnsi="Arial"/>
                <w:sz w:val="11"/>
                <w:szCs w:val="11"/>
                <w:color w:val="auto"/>
              </w:rPr>
              <w:t>(4)</w:t>
            </w:r>
          </w:p>
        </w:tc>
        <w:tc>
          <w:tcPr>
            <w:tcW w:w="120" w:type="dxa"/>
            <w:vAlign w:val="bottom"/>
            <w:tcBorders>
              <w:right w:val="single" w:sz="8" w:color="E6E7E8"/>
            </w:tcBorders>
          </w:tcPr>
          <w:p>
            <w:pPr>
              <w:spacing w:after="0"/>
              <w:rPr>
                <w:sz w:val="18"/>
                <w:szCs w:val="18"/>
                <w:color w:val="auto"/>
              </w:rPr>
            </w:pPr>
          </w:p>
        </w:tc>
        <w:tc>
          <w:tcPr>
            <w:tcW w:w="1760" w:type="dxa"/>
            <w:vAlign w:val="bottom"/>
            <w:tcBorders>
              <w:bottom w:val="single" w:sz="8" w:color="939598"/>
            </w:tcBorders>
            <w:shd w:val="clear" w:color="auto" w:fill="E6E7E8"/>
          </w:tcPr>
          <w:p>
            <w:pPr>
              <w:jc w:val="right"/>
              <w:ind w:right="4"/>
              <w:spacing w:after="0"/>
              <w:rPr>
                <w:sz w:val="20"/>
                <w:szCs w:val="20"/>
                <w:color w:val="auto"/>
              </w:rPr>
            </w:pPr>
            <w:r>
              <w:rPr>
                <w:rFonts w:ascii="Arial" w:cs="Arial" w:eastAsia="Arial" w:hAnsi="Arial"/>
                <w:sz w:val="16"/>
                <w:szCs w:val="16"/>
                <w:color w:val="auto"/>
              </w:rPr>
              <w:t>5,833,375</w:t>
            </w:r>
          </w:p>
        </w:tc>
        <w:tc>
          <w:tcPr>
            <w:tcW w:w="0" w:type="dxa"/>
            <w:vAlign w:val="bottom"/>
          </w:tcPr>
          <w:p>
            <w:pPr>
              <w:spacing w:after="0"/>
              <w:rPr>
                <w:sz w:val="1"/>
                <w:szCs w:val="1"/>
                <w:color w:val="auto"/>
              </w:rPr>
            </w:pPr>
          </w:p>
        </w:tc>
      </w:tr>
      <w:tr>
        <w:trPr>
          <w:trHeight w:val="210"/>
        </w:trPr>
        <w:tc>
          <w:tcPr>
            <w:tcW w:w="2700" w:type="dxa"/>
            <w:vAlign w:val="bottom"/>
            <w:tcBorders>
              <w:bottom w:val="single" w:sz="8" w:color="E6E7E8"/>
            </w:tcBorders>
            <w:shd w:val="clear" w:color="auto" w:fill="E6E7E8"/>
          </w:tcPr>
          <w:p>
            <w:pPr>
              <w:spacing w:after="0"/>
              <w:rPr>
                <w:sz w:val="18"/>
                <w:szCs w:val="18"/>
                <w:color w:val="auto"/>
              </w:rPr>
            </w:pPr>
          </w:p>
        </w:tc>
        <w:tc>
          <w:tcPr>
            <w:tcW w:w="120" w:type="dxa"/>
            <w:vAlign w:val="bottom"/>
            <w:tcBorders>
              <w:right w:val="single" w:sz="8" w:color="E6E7E8"/>
            </w:tcBorders>
          </w:tcPr>
          <w:p>
            <w:pPr>
              <w:spacing w:after="0"/>
              <w:rPr>
                <w:sz w:val="18"/>
                <w:szCs w:val="18"/>
                <w:color w:val="auto"/>
              </w:rPr>
            </w:pPr>
          </w:p>
        </w:tc>
        <w:tc>
          <w:tcPr>
            <w:tcW w:w="14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2/12/2024</w:t>
            </w:r>
          </w:p>
        </w:tc>
        <w:tc>
          <w:tcPr>
            <w:tcW w:w="120" w:type="dxa"/>
            <w:vAlign w:val="bottom"/>
            <w:tcBorders>
              <w:right w:val="single" w:sz="8" w:color="E6E7E8"/>
            </w:tcBorders>
          </w:tcPr>
          <w:p>
            <w:pPr>
              <w:spacing w:after="0"/>
              <w:rPr>
                <w:sz w:val="18"/>
                <w:szCs w:val="18"/>
                <w:color w:val="auto"/>
              </w:rPr>
            </w:pPr>
          </w:p>
        </w:tc>
        <w:tc>
          <w:tcPr>
            <w:tcW w:w="1320" w:type="dxa"/>
            <w:vAlign w:val="bottom"/>
            <w:tcBorders>
              <w:bottom w:val="single" w:sz="8" w:color="939598"/>
            </w:tcBorders>
            <w:shd w:val="clear" w:color="auto" w:fill="E6E7E8"/>
          </w:tcPr>
          <w:p>
            <w:pPr>
              <w:jc w:val="right"/>
              <w:ind w:right="3"/>
              <w:spacing w:after="0"/>
              <w:rPr>
                <w:sz w:val="20"/>
                <w:szCs w:val="20"/>
                <w:color w:val="auto"/>
              </w:rPr>
            </w:pPr>
            <w:r>
              <w:rPr>
                <w:rFonts w:ascii="Arial" w:cs="Arial" w:eastAsia="Arial" w:hAnsi="Arial"/>
                <w:sz w:val="16"/>
                <w:szCs w:val="16"/>
                <w:color w:val="auto"/>
              </w:rPr>
              <w:t>23,963</w:t>
            </w:r>
          </w:p>
        </w:tc>
        <w:tc>
          <w:tcPr>
            <w:tcW w:w="120" w:type="dxa"/>
            <w:vAlign w:val="bottom"/>
            <w:tcBorders>
              <w:bottom w:val="single" w:sz="8" w:color="939598"/>
              <w:right w:val="single" w:sz="8" w:color="E6E7E8"/>
            </w:tcBorders>
          </w:tcPr>
          <w:p>
            <w:pPr>
              <w:spacing w:after="0"/>
              <w:rPr>
                <w:sz w:val="18"/>
                <w:szCs w:val="18"/>
                <w:color w:val="auto"/>
              </w:rPr>
            </w:pPr>
          </w:p>
        </w:tc>
        <w:tc>
          <w:tcPr>
            <w:tcW w:w="13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4,959,382</w:t>
            </w:r>
          </w:p>
        </w:tc>
        <w:tc>
          <w:tcPr>
            <w:tcW w:w="120" w:type="dxa"/>
            <w:vAlign w:val="bottom"/>
            <w:tcBorders>
              <w:right w:val="single" w:sz="8" w:color="E6E7E8"/>
            </w:tcBorders>
          </w:tcPr>
          <w:p>
            <w:pPr>
              <w:spacing w:after="0"/>
              <w:rPr>
                <w:sz w:val="18"/>
                <w:szCs w:val="18"/>
                <w:color w:val="auto"/>
              </w:rPr>
            </w:pPr>
          </w:p>
        </w:tc>
        <w:tc>
          <w:tcPr>
            <w:tcW w:w="178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939598"/>
            </w:tcBorders>
            <w:shd w:val="clear" w:color="auto" w:fill="E6E7E8"/>
          </w:tcPr>
          <w:p>
            <w:pPr>
              <w:spacing w:after="0"/>
              <w:rPr>
                <w:sz w:val="18"/>
                <w:szCs w:val="18"/>
                <w:color w:val="auto"/>
              </w:rPr>
            </w:pPr>
          </w:p>
        </w:tc>
        <w:tc>
          <w:tcPr>
            <w:tcW w:w="120" w:type="dxa"/>
            <w:vAlign w:val="bottom"/>
            <w:tcBorders>
              <w:right w:val="single" w:sz="8" w:color="E6E7E8"/>
            </w:tcBorders>
          </w:tcPr>
          <w:p>
            <w:pPr>
              <w:spacing w:after="0"/>
              <w:rPr>
                <w:sz w:val="18"/>
                <w:szCs w:val="18"/>
                <w:color w:val="auto"/>
              </w:rPr>
            </w:pPr>
          </w:p>
        </w:tc>
        <w:tc>
          <w:tcPr>
            <w:tcW w:w="1760" w:type="dxa"/>
            <w:vAlign w:val="bottom"/>
            <w:tcBorders>
              <w:bottom w:val="single" w:sz="8" w:color="939598"/>
            </w:tcBorders>
            <w:shd w:val="clear" w:color="auto" w:fill="E6E7E8"/>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700" w:type="dxa"/>
            <w:vAlign w:val="bottom"/>
            <w:tcBorders>
              <w:bottom w:val="single" w:sz="8" w:color="939598"/>
            </w:tcBorders>
            <w:shd w:val="clear" w:color="auto" w:fill="E6E7E8"/>
          </w:tcPr>
          <w:p>
            <w:pPr>
              <w:spacing w:after="0"/>
              <w:rPr>
                <w:sz w:val="20"/>
                <w:szCs w:val="20"/>
                <w:color w:val="auto"/>
              </w:rPr>
            </w:pPr>
          </w:p>
        </w:tc>
        <w:tc>
          <w:tcPr>
            <w:tcW w:w="120" w:type="dxa"/>
            <w:vAlign w:val="bottom"/>
            <w:tcBorders>
              <w:right w:val="single" w:sz="8" w:color="E6E7E8"/>
            </w:tcBorders>
          </w:tcPr>
          <w:p>
            <w:pPr>
              <w:spacing w:after="0"/>
              <w:rPr>
                <w:sz w:val="20"/>
                <w:szCs w:val="20"/>
                <w:color w:val="auto"/>
              </w:rPr>
            </w:pPr>
          </w:p>
        </w:tc>
        <w:tc>
          <w:tcPr>
            <w:tcW w:w="14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2/12/2024</w:t>
            </w:r>
          </w:p>
        </w:tc>
        <w:tc>
          <w:tcPr>
            <w:tcW w:w="120" w:type="dxa"/>
            <w:vAlign w:val="bottom"/>
            <w:tcBorders>
              <w:right w:val="single" w:sz="8" w:color="E6E7E8"/>
            </w:tcBorders>
          </w:tcPr>
          <w:p>
            <w:pPr>
              <w:spacing w:after="0"/>
              <w:rPr>
                <w:sz w:val="20"/>
                <w:szCs w:val="20"/>
                <w:color w:val="auto"/>
              </w:rPr>
            </w:pPr>
          </w:p>
        </w:tc>
        <w:tc>
          <w:tcPr>
            <w:tcW w:w="1320" w:type="dxa"/>
            <w:vAlign w:val="bottom"/>
            <w:tcBorders>
              <w:bottom w:val="single" w:sz="8" w:color="939598"/>
            </w:tcBorders>
            <w:shd w:val="clear" w:color="auto" w:fill="E6E7E8"/>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939598"/>
              <w:right w:val="single" w:sz="8" w:color="E6E7E8"/>
            </w:tcBorders>
          </w:tcPr>
          <w:p>
            <w:pPr>
              <w:spacing w:after="0"/>
              <w:rPr>
                <w:sz w:val="20"/>
                <w:szCs w:val="20"/>
                <w:color w:val="auto"/>
              </w:rPr>
            </w:pPr>
          </w:p>
        </w:tc>
        <w:tc>
          <w:tcPr>
            <w:tcW w:w="13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20"/>
                <w:szCs w:val="20"/>
                <w:color w:val="auto"/>
              </w:rPr>
            </w:pPr>
          </w:p>
        </w:tc>
        <w:tc>
          <w:tcPr>
            <w:tcW w:w="178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35,945</w:t>
            </w:r>
          </w:p>
        </w:tc>
        <w:tc>
          <w:tcPr>
            <w:tcW w:w="340" w:type="dxa"/>
            <w:vAlign w:val="bottom"/>
            <w:tcBorders>
              <w:bottom w:val="single" w:sz="8" w:color="939598"/>
            </w:tcBorders>
            <w:shd w:val="clear" w:color="auto" w:fill="E6E7E8"/>
          </w:tcPr>
          <w:p>
            <w:pPr>
              <w:jc w:val="right"/>
              <w:ind w:right="107"/>
              <w:spacing w:after="0"/>
              <w:rPr>
                <w:sz w:val="20"/>
                <w:szCs w:val="20"/>
                <w:color w:val="auto"/>
              </w:rPr>
            </w:pPr>
            <w:r>
              <w:rPr>
                <w:rFonts w:ascii="Arial" w:cs="Arial" w:eastAsia="Arial" w:hAnsi="Arial"/>
                <w:sz w:val="11"/>
                <w:szCs w:val="11"/>
                <w:color w:val="auto"/>
              </w:rPr>
              <w:t>(5)</w:t>
            </w:r>
          </w:p>
        </w:tc>
        <w:tc>
          <w:tcPr>
            <w:tcW w:w="120" w:type="dxa"/>
            <w:vAlign w:val="bottom"/>
            <w:tcBorders>
              <w:right w:val="single" w:sz="8" w:color="E6E7E8"/>
            </w:tcBorders>
          </w:tcPr>
          <w:p>
            <w:pPr>
              <w:spacing w:after="0"/>
              <w:rPr>
                <w:sz w:val="20"/>
                <w:szCs w:val="20"/>
                <w:color w:val="auto"/>
              </w:rPr>
            </w:pPr>
          </w:p>
        </w:tc>
        <w:tc>
          <w:tcPr>
            <w:tcW w:w="1760" w:type="dxa"/>
            <w:vAlign w:val="bottom"/>
            <w:tcBorders>
              <w:bottom w:val="single" w:sz="8" w:color="939598"/>
            </w:tcBorders>
            <w:shd w:val="clear" w:color="auto" w:fill="E6E7E8"/>
          </w:tcPr>
          <w:p>
            <w:pPr>
              <w:jc w:val="right"/>
              <w:ind w:right="4"/>
              <w:spacing w:after="0"/>
              <w:rPr>
                <w:sz w:val="20"/>
                <w:szCs w:val="20"/>
                <w:color w:val="auto"/>
              </w:rPr>
            </w:pPr>
            <w:r>
              <w:rPr>
                <w:rFonts w:ascii="Arial" w:cs="Arial" w:eastAsia="Arial" w:hAnsi="Arial"/>
                <w:sz w:val="16"/>
                <w:szCs w:val="16"/>
                <w:color w:val="auto"/>
              </w:rPr>
              <w:t>7,439,177</w:t>
            </w:r>
          </w:p>
        </w:tc>
        <w:tc>
          <w:tcPr>
            <w:tcW w:w="0" w:type="dxa"/>
            <w:vAlign w:val="bottom"/>
          </w:tcPr>
          <w:p>
            <w:pPr>
              <w:spacing w:after="0"/>
              <w:rPr>
                <w:sz w:val="1"/>
                <w:szCs w:val="1"/>
                <w:color w:val="auto"/>
              </w:rPr>
            </w:pPr>
          </w:p>
        </w:tc>
      </w:tr>
      <w:tr>
        <w:trPr>
          <w:trHeight w:val="211"/>
        </w:trPr>
        <w:tc>
          <w:tcPr>
            <w:tcW w:w="2700" w:type="dxa"/>
            <w:vAlign w:val="bottom"/>
          </w:tcPr>
          <w:p>
            <w:pPr>
              <w:ind w:left="60"/>
              <w:spacing w:after="0"/>
              <w:rPr>
                <w:sz w:val="20"/>
                <w:szCs w:val="20"/>
                <w:color w:val="auto"/>
              </w:rPr>
            </w:pPr>
            <w:r>
              <w:rPr>
                <w:rFonts w:ascii="Arial" w:cs="Arial" w:eastAsia="Arial" w:hAnsi="Arial"/>
                <w:sz w:val="16"/>
                <w:szCs w:val="16"/>
                <w:b w:val="1"/>
                <w:bCs w:val="1"/>
                <w:color w:val="004A98"/>
              </w:rPr>
              <w:t>George E. Kilguss, III</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2/16/2021</w:t>
            </w:r>
          </w:p>
        </w:tc>
        <w:tc>
          <w:tcPr>
            <w:tcW w:w="12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378</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78,231</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6"/>
                <w:szCs w:val="16"/>
                <w:color w:val="auto"/>
              </w:rPr>
              <w:t>2/14/2022</w:t>
            </w:r>
          </w:p>
        </w:tc>
        <w:tc>
          <w:tcPr>
            <w:tcW w:w="120" w:type="dxa"/>
            <w:vAlign w:val="bottom"/>
          </w:tcPr>
          <w:p>
            <w:pPr>
              <w:spacing w:after="0"/>
              <w:rPr>
                <w:sz w:val="18"/>
                <w:szCs w:val="18"/>
                <w:color w:val="auto"/>
              </w:rPr>
            </w:pPr>
          </w:p>
        </w:tc>
        <w:tc>
          <w:tcPr>
            <w:tcW w:w="1320" w:type="dxa"/>
            <w:vAlign w:val="bottom"/>
            <w:tcBorders>
              <w:top w:val="single" w:sz="8" w:color="939598"/>
              <w:bottom w:val="single" w:sz="8" w:color="939598"/>
            </w:tcBorders>
          </w:tcPr>
          <w:p>
            <w:pPr>
              <w:jc w:val="right"/>
              <w:ind w:right="3"/>
              <w:spacing w:after="0"/>
              <w:rPr>
                <w:sz w:val="20"/>
                <w:szCs w:val="20"/>
                <w:color w:val="auto"/>
              </w:rPr>
            </w:pPr>
            <w:r>
              <w:rPr>
                <w:rFonts w:ascii="Arial" w:cs="Arial" w:eastAsia="Arial" w:hAnsi="Arial"/>
                <w:sz w:val="16"/>
                <w:szCs w:val="16"/>
                <w:color w:val="auto"/>
              </w:rPr>
              <w:t>2,046</w:t>
            </w:r>
          </w:p>
        </w:tc>
        <w:tc>
          <w:tcPr>
            <w:tcW w:w="120" w:type="dxa"/>
            <w:vAlign w:val="bottom"/>
            <w:tcBorders>
              <w:bottom w:val="single" w:sz="8" w:color="939598"/>
            </w:tcBorders>
          </w:tcPr>
          <w:p>
            <w:pPr>
              <w:spacing w:after="0"/>
              <w:rPr>
                <w:sz w:val="18"/>
                <w:szCs w:val="18"/>
                <w:color w:val="auto"/>
              </w:rPr>
            </w:pPr>
          </w:p>
        </w:tc>
        <w:tc>
          <w:tcPr>
            <w:tcW w:w="132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6"/>
                <w:szCs w:val="16"/>
                <w:color w:val="auto"/>
              </w:rPr>
              <w:t>423,440</w:t>
            </w:r>
          </w:p>
        </w:tc>
        <w:tc>
          <w:tcPr>
            <w:tcW w:w="120" w:type="dxa"/>
            <w:vAlign w:val="bottom"/>
          </w:tcPr>
          <w:p>
            <w:pPr>
              <w:spacing w:after="0"/>
              <w:rPr>
                <w:sz w:val="18"/>
                <w:szCs w:val="18"/>
                <w:color w:val="auto"/>
              </w:rPr>
            </w:pPr>
          </w:p>
        </w:tc>
        <w:tc>
          <w:tcPr>
            <w:tcW w:w="178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939598"/>
              <w:bottom w:val="single" w:sz="8" w:color="939598"/>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top w:val="single" w:sz="8" w:color="939598"/>
              <w:bottom w:val="single" w:sz="8" w:color="939598"/>
            </w:tcBorders>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70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2/14/2022</w:t>
            </w:r>
          </w:p>
        </w:tc>
        <w:tc>
          <w:tcPr>
            <w:tcW w:w="120" w:type="dxa"/>
            <w:vAlign w:val="bottom"/>
          </w:tcPr>
          <w:p>
            <w:pPr>
              <w:spacing w:after="0"/>
              <w:rPr>
                <w:sz w:val="20"/>
                <w:szCs w:val="20"/>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4,850</w:t>
            </w:r>
          </w:p>
        </w:tc>
        <w:tc>
          <w:tcPr>
            <w:tcW w:w="340" w:type="dxa"/>
            <w:vAlign w:val="bottom"/>
          </w:tcPr>
          <w:p>
            <w:pPr>
              <w:jc w:val="right"/>
              <w:ind w:right="107"/>
              <w:spacing w:after="0"/>
              <w:rPr>
                <w:sz w:val="20"/>
                <w:szCs w:val="20"/>
                <w:color w:val="auto"/>
              </w:rPr>
            </w:pPr>
            <w:r>
              <w:rPr>
                <w:rFonts w:ascii="Arial" w:cs="Arial" w:eastAsia="Arial" w:hAnsi="Arial"/>
                <w:sz w:val="11"/>
                <w:szCs w:val="11"/>
                <w:color w:val="auto"/>
              </w:rPr>
              <w:t>(3)</w:t>
            </w:r>
          </w:p>
        </w:tc>
        <w:tc>
          <w:tcPr>
            <w:tcW w:w="1880" w:type="dxa"/>
            <w:vAlign w:val="bottom"/>
            <w:gridSpan w:val="2"/>
          </w:tcPr>
          <w:p>
            <w:pPr>
              <w:jc w:val="right"/>
              <w:ind w:right="4"/>
              <w:spacing w:after="0"/>
              <w:rPr>
                <w:sz w:val="20"/>
                <w:szCs w:val="20"/>
                <w:color w:val="auto"/>
              </w:rPr>
            </w:pPr>
            <w:r>
              <w:rPr>
                <w:rFonts w:ascii="Arial" w:cs="Arial" w:eastAsia="Arial" w:hAnsi="Arial"/>
                <w:sz w:val="16"/>
                <w:szCs w:val="16"/>
                <w:color w:val="auto"/>
              </w:rPr>
              <w:t>1,003,756</w:t>
            </w: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6"/>
                <w:szCs w:val="16"/>
                <w:color w:val="auto"/>
              </w:rPr>
              <w:t>2/13/2023</w:t>
            </w:r>
          </w:p>
        </w:tc>
        <w:tc>
          <w:tcPr>
            <w:tcW w:w="120" w:type="dxa"/>
            <w:vAlign w:val="bottom"/>
          </w:tcPr>
          <w:p>
            <w:pPr>
              <w:spacing w:after="0"/>
              <w:rPr>
                <w:sz w:val="18"/>
                <w:szCs w:val="18"/>
                <w:color w:val="auto"/>
              </w:rPr>
            </w:pPr>
          </w:p>
        </w:tc>
        <w:tc>
          <w:tcPr>
            <w:tcW w:w="1320" w:type="dxa"/>
            <w:vAlign w:val="bottom"/>
            <w:tcBorders>
              <w:top w:val="single" w:sz="8" w:color="939598"/>
              <w:bottom w:val="single" w:sz="8" w:color="939598"/>
            </w:tcBorders>
          </w:tcPr>
          <w:p>
            <w:pPr>
              <w:jc w:val="right"/>
              <w:ind w:right="3"/>
              <w:spacing w:after="0"/>
              <w:rPr>
                <w:sz w:val="20"/>
                <w:szCs w:val="20"/>
                <w:color w:val="auto"/>
              </w:rPr>
            </w:pPr>
            <w:r>
              <w:rPr>
                <w:rFonts w:ascii="Arial" w:cs="Arial" w:eastAsia="Arial" w:hAnsi="Arial"/>
                <w:sz w:val="16"/>
                <w:szCs w:val="16"/>
                <w:color w:val="auto"/>
              </w:rPr>
              <w:t>4,226</w:t>
            </w:r>
          </w:p>
        </w:tc>
        <w:tc>
          <w:tcPr>
            <w:tcW w:w="120" w:type="dxa"/>
            <w:vAlign w:val="bottom"/>
            <w:tcBorders>
              <w:top w:val="single" w:sz="8" w:color="939598"/>
            </w:tcBorders>
          </w:tcPr>
          <w:p>
            <w:pPr>
              <w:spacing w:after="0"/>
              <w:rPr>
                <w:sz w:val="18"/>
                <w:szCs w:val="18"/>
                <w:color w:val="auto"/>
              </w:rPr>
            </w:pPr>
          </w:p>
        </w:tc>
        <w:tc>
          <w:tcPr>
            <w:tcW w:w="132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6"/>
                <w:szCs w:val="16"/>
                <w:color w:val="auto"/>
              </w:rPr>
              <w:t>874,613</w:t>
            </w:r>
          </w:p>
        </w:tc>
        <w:tc>
          <w:tcPr>
            <w:tcW w:w="120" w:type="dxa"/>
            <w:vAlign w:val="bottom"/>
          </w:tcPr>
          <w:p>
            <w:pPr>
              <w:spacing w:after="0"/>
              <w:rPr>
                <w:sz w:val="18"/>
                <w:szCs w:val="18"/>
                <w:color w:val="auto"/>
              </w:rPr>
            </w:pPr>
          </w:p>
        </w:tc>
        <w:tc>
          <w:tcPr>
            <w:tcW w:w="178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939598"/>
              <w:bottom w:val="single" w:sz="8" w:color="939598"/>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top w:val="single" w:sz="8" w:color="939598"/>
              <w:bottom w:val="single" w:sz="8" w:color="939598"/>
            </w:tcBorders>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70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2/13/2023</w:t>
            </w:r>
          </w:p>
        </w:tc>
        <w:tc>
          <w:tcPr>
            <w:tcW w:w="120" w:type="dxa"/>
            <w:vAlign w:val="bottom"/>
          </w:tcPr>
          <w:p>
            <w:pPr>
              <w:spacing w:after="0"/>
              <w:rPr>
                <w:sz w:val="20"/>
                <w:szCs w:val="20"/>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7,516</w:t>
            </w:r>
          </w:p>
        </w:tc>
        <w:tc>
          <w:tcPr>
            <w:tcW w:w="340" w:type="dxa"/>
            <w:vAlign w:val="bottom"/>
          </w:tcPr>
          <w:p>
            <w:pPr>
              <w:jc w:val="right"/>
              <w:ind w:right="107"/>
              <w:spacing w:after="0"/>
              <w:rPr>
                <w:sz w:val="20"/>
                <w:szCs w:val="20"/>
                <w:color w:val="auto"/>
              </w:rPr>
            </w:pPr>
            <w:r>
              <w:rPr>
                <w:rFonts w:ascii="Arial" w:cs="Arial" w:eastAsia="Arial" w:hAnsi="Arial"/>
                <w:sz w:val="11"/>
                <w:szCs w:val="11"/>
                <w:color w:val="auto"/>
              </w:rPr>
              <w:t>(4)</w:t>
            </w:r>
          </w:p>
        </w:tc>
        <w:tc>
          <w:tcPr>
            <w:tcW w:w="1880" w:type="dxa"/>
            <w:vAlign w:val="bottom"/>
            <w:gridSpan w:val="2"/>
          </w:tcPr>
          <w:p>
            <w:pPr>
              <w:jc w:val="right"/>
              <w:ind w:right="4"/>
              <w:spacing w:after="0"/>
              <w:rPr>
                <w:sz w:val="20"/>
                <w:szCs w:val="20"/>
                <w:color w:val="auto"/>
              </w:rPr>
            </w:pPr>
            <w:r>
              <w:rPr>
                <w:rFonts w:ascii="Arial" w:cs="Arial" w:eastAsia="Arial" w:hAnsi="Arial"/>
                <w:sz w:val="16"/>
                <w:szCs w:val="16"/>
                <w:color w:val="auto"/>
              </w:rPr>
              <w:t>1,555,511</w:t>
            </w: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6"/>
                <w:szCs w:val="16"/>
                <w:color w:val="auto"/>
              </w:rPr>
              <w:t>2/12/2024</w:t>
            </w:r>
          </w:p>
        </w:tc>
        <w:tc>
          <w:tcPr>
            <w:tcW w:w="120" w:type="dxa"/>
            <w:vAlign w:val="bottom"/>
          </w:tcPr>
          <w:p>
            <w:pPr>
              <w:spacing w:after="0"/>
              <w:rPr>
                <w:sz w:val="18"/>
                <w:szCs w:val="18"/>
                <w:color w:val="auto"/>
              </w:rPr>
            </w:pPr>
          </w:p>
        </w:tc>
        <w:tc>
          <w:tcPr>
            <w:tcW w:w="1320" w:type="dxa"/>
            <w:vAlign w:val="bottom"/>
            <w:tcBorders>
              <w:top w:val="single" w:sz="8" w:color="939598"/>
              <w:bottom w:val="single" w:sz="8" w:color="939598"/>
            </w:tcBorders>
          </w:tcPr>
          <w:p>
            <w:pPr>
              <w:jc w:val="right"/>
              <w:ind w:right="3"/>
              <w:spacing w:after="0"/>
              <w:rPr>
                <w:sz w:val="20"/>
                <w:szCs w:val="20"/>
                <w:color w:val="auto"/>
              </w:rPr>
            </w:pPr>
            <w:r>
              <w:rPr>
                <w:rFonts w:ascii="Arial" w:cs="Arial" w:eastAsia="Arial" w:hAnsi="Arial"/>
                <w:sz w:val="16"/>
                <w:szCs w:val="16"/>
                <w:color w:val="auto"/>
              </w:rPr>
              <w:t>8,940</w:t>
            </w:r>
          </w:p>
        </w:tc>
        <w:tc>
          <w:tcPr>
            <w:tcW w:w="120" w:type="dxa"/>
            <w:vAlign w:val="bottom"/>
          </w:tcPr>
          <w:p>
            <w:pPr>
              <w:spacing w:after="0"/>
              <w:rPr>
                <w:sz w:val="18"/>
                <w:szCs w:val="18"/>
                <w:color w:val="auto"/>
              </w:rPr>
            </w:pPr>
          </w:p>
        </w:tc>
        <w:tc>
          <w:tcPr>
            <w:tcW w:w="132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6"/>
                <w:szCs w:val="16"/>
                <w:color w:val="auto"/>
              </w:rPr>
              <w:t>1,850,222</w:t>
            </w:r>
          </w:p>
        </w:tc>
        <w:tc>
          <w:tcPr>
            <w:tcW w:w="120" w:type="dxa"/>
            <w:vAlign w:val="bottom"/>
          </w:tcPr>
          <w:p>
            <w:pPr>
              <w:spacing w:after="0"/>
              <w:rPr>
                <w:sz w:val="18"/>
                <w:szCs w:val="18"/>
                <w:color w:val="auto"/>
              </w:rPr>
            </w:pPr>
          </w:p>
        </w:tc>
        <w:tc>
          <w:tcPr>
            <w:tcW w:w="178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939598"/>
              <w:bottom w:val="single" w:sz="8" w:color="939598"/>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top w:val="single" w:sz="8" w:color="939598"/>
              <w:bottom w:val="single" w:sz="8" w:color="939598"/>
            </w:tcBorders>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70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2/12/2024</w:t>
            </w:r>
          </w:p>
        </w:tc>
        <w:tc>
          <w:tcPr>
            <w:tcW w:w="120" w:type="dxa"/>
            <w:vAlign w:val="bottom"/>
          </w:tcPr>
          <w:p>
            <w:pPr>
              <w:spacing w:after="0"/>
              <w:rPr>
                <w:sz w:val="20"/>
                <w:szCs w:val="20"/>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8,940</w:t>
            </w:r>
          </w:p>
        </w:tc>
        <w:tc>
          <w:tcPr>
            <w:tcW w:w="340" w:type="dxa"/>
            <w:vAlign w:val="bottom"/>
          </w:tcPr>
          <w:p>
            <w:pPr>
              <w:jc w:val="right"/>
              <w:ind w:right="107"/>
              <w:spacing w:after="0"/>
              <w:rPr>
                <w:sz w:val="20"/>
                <w:szCs w:val="20"/>
                <w:color w:val="auto"/>
              </w:rPr>
            </w:pPr>
            <w:r>
              <w:rPr>
                <w:rFonts w:ascii="Arial" w:cs="Arial" w:eastAsia="Arial" w:hAnsi="Arial"/>
                <w:sz w:val="11"/>
                <w:szCs w:val="11"/>
                <w:color w:val="auto"/>
              </w:rPr>
              <w:t>(5)</w:t>
            </w:r>
          </w:p>
        </w:tc>
        <w:tc>
          <w:tcPr>
            <w:tcW w:w="1880" w:type="dxa"/>
            <w:vAlign w:val="bottom"/>
            <w:gridSpan w:val="2"/>
          </w:tcPr>
          <w:p>
            <w:pPr>
              <w:jc w:val="right"/>
              <w:ind w:right="4"/>
              <w:spacing w:after="0"/>
              <w:rPr>
                <w:sz w:val="20"/>
                <w:szCs w:val="20"/>
                <w:color w:val="auto"/>
              </w:rPr>
            </w:pPr>
            <w:r>
              <w:rPr>
                <w:rFonts w:ascii="Arial" w:cs="Arial" w:eastAsia="Arial" w:hAnsi="Arial"/>
                <w:sz w:val="16"/>
                <w:szCs w:val="16"/>
                <w:color w:val="auto"/>
              </w:rPr>
              <w:t>1,850,222</w:t>
            </w:r>
          </w:p>
        </w:tc>
        <w:tc>
          <w:tcPr>
            <w:tcW w:w="0" w:type="dxa"/>
            <w:vAlign w:val="bottom"/>
          </w:tcPr>
          <w:p>
            <w:pPr>
              <w:spacing w:after="0"/>
              <w:rPr>
                <w:sz w:val="1"/>
                <w:szCs w:val="1"/>
                <w:color w:val="auto"/>
              </w:rPr>
            </w:pPr>
          </w:p>
        </w:tc>
      </w:tr>
      <w:tr>
        <w:trPr>
          <w:trHeight w:val="211"/>
        </w:trPr>
        <w:tc>
          <w:tcPr>
            <w:tcW w:w="2700" w:type="dxa"/>
            <w:vAlign w:val="bottom"/>
            <w:tcBorders>
              <w:top w:val="single" w:sz="8" w:color="939598"/>
              <w:bottom w:val="single" w:sz="8" w:color="E6E7E8"/>
            </w:tcBorders>
            <w:shd w:val="clear" w:color="auto" w:fill="E6E7E8"/>
          </w:tcPr>
          <w:p>
            <w:pPr>
              <w:ind w:left="60"/>
              <w:spacing w:after="0"/>
              <w:rPr>
                <w:sz w:val="20"/>
                <w:szCs w:val="20"/>
                <w:color w:val="auto"/>
              </w:rPr>
            </w:pPr>
            <w:r>
              <w:rPr>
                <w:rFonts w:ascii="Arial" w:cs="Arial" w:eastAsia="Arial" w:hAnsi="Arial"/>
                <w:sz w:val="16"/>
                <w:szCs w:val="16"/>
                <w:b w:val="1"/>
                <w:bCs w:val="1"/>
                <w:color w:val="004A98"/>
              </w:rPr>
              <w:t>Danny R. McPherson</w:t>
            </w:r>
          </w:p>
        </w:tc>
        <w:tc>
          <w:tcPr>
            <w:tcW w:w="120" w:type="dxa"/>
            <w:vAlign w:val="bottom"/>
            <w:tcBorders>
              <w:right w:val="single" w:sz="8" w:color="E6E7E8"/>
            </w:tcBorders>
          </w:tcPr>
          <w:p>
            <w:pPr>
              <w:spacing w:after="0"/>
              <w:rPr>
                <w:sz w:val="18"/>
                <w:szCs w:val="18"/>
                <w:color w:val="auto"/>
              </w:rPr>
            </w:pPr>
          </w:p>
        </w:tc>
        <w:tc>
          <w:tcPr>
            <w:tcW w:w="142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2/16/2021</w:t>
            </w:r>
          </w:p>
        </w:tc>
        <w:tc>
          <w:tcPr>
            <w:tcW w:w="120" w:type="dxa"/>
            <w:vAlign w:val="bottom"/>
            <w:tcBorders>
              <w:bottom w:val="single" w:sz="8" w:color="939598"/>
              <w:right w:val="single" w:sz="8" w:color="E6E7E8"/>
            </w:tcBorders>
          </w:tcPr>
          <w:p>
            <w:pPr>
              <w:spacing w:after="0"/>
              <w:rPr>
                <w:sz w:val="18"/>
                <w:szCs w:val="18"/>
                <w:color w:val="auto"/>
              </w:rPr>
            </w:pPr>
          </w:p>
        </w:tc>
        <w:tc>
          <w:tcPr>
            <w:tcW w:w="1320" w:type="dxa"/>
            <w:vAlign w:val="bottom"/>
            <w:tcBorders>
              <w:top w:val="single" w:sz="8" w:color="939598"/>
              <w:bottom w:val="single" w:sz="8" w:color="939598"/>
            </w:tcBorders>
            <w:shd w:val="clear" w:color="auto" w:fill="E6E7E8"/>
          </w:tcPr>
          <w:p>
            <w:pPr>
              <w:jc w:val="right"/>
              <w:ind w:right="3"/>
              <w:spacing w:after="0"/>
              <w:rPr>
                <w:sz w:val="20"/>
                <w:szCs w:val="20"/>
                <w:color w:val="auto"/>
              </w:rPr>
            </w:pPr>
            <w:r>
              <w:rPr>
                <w:rFonts w:ascii="Arial" w:cs="Arial" w:eastAsia="Arial" w:hAnsi="Arial"/>
                <w:sz w:val="16"/>
                <w:szCs w:val="16"/>
                <w:color w:val="auto"/>
              </w:rPr>
              <w:t>264</w:t>
            </w:r>
          </w:p>
        </w:tc>
        <w:tc>
          <w:tcPr>
            <w:tcW w:w="120" w:type="dxa"/>
            <w:vAlign w:val="bottom"/>
            <w:tcBorders>
              <w:bottom w:val="single" w:sz="8" w:color="939598"/>
              <w:right w:val="single" w:sz="8" w:color="E6E7E8"/>
            </w:tcBorders>
          </w:tcPr>
          <w:p>
            <w:pPr>
              <w:spacing w:after="0"/>
              <w:rPr>
                <w:sz w:val="18"/>
                <w:szCs w:val="18"/>
                <w:color w:val="auto"/>
              </w:rPr>
            </w:pPr>
          </w:p>
        </w:tc>
        <w:tc>
          <w:tcPr>
            <w:tcW w:w="132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54,637</w:t>
            </w:r>
          </w:p>
        </w:tc>
        <w:tc>
          <w:tcPr>
            <w:tcW w:w="120" w:type="dxa"/>
            <w:vAlign w:val="bottom"/>
            <w:tcBorders>
              <w:right w:val="single" w:sz="8" w:color="E6E7E8"/>
            </w:tcBorders>
          </w:tcPr>
          <w:p>
            <w:pPr>
              <w:spacing w:after="0"/>
              <w:rPr>
                <w:sz w:val="18"/>
                <w:szCs w:val="18"/>
                <w:color w:val="auto"/>
              </w:rPr>
            </w:pPr>
          </w:p>
        </w:tc>
        <w:tc>
          <w:tcPr>
            <w:tcW w:w="178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939598"/>
              <w:bottom w:val="single" w:sz="8" w:color="939598"/>
            </w:tcBorders>
            <w:shd w:val="clear" w:color="auto" w:fill="E6E7E8"/>
          </w:tcPr>
          <w:p>
            <w:pPr>
              <w:spacing w:after="0"/>
              <w:rPr>
                <w:sz w:val="18"/>
                <w:szCs w:val="18"/>
                <w:color w:val="auto"/>
              </w:rPr>
            </w:pPr>
          </w:p>
        </w:tc>
        <w:tc>
          <w:tcPr>
            <w:tcW w:w="120" w:type="dxa"/>
            <w:vAlign w:val="bottom"/>
            <w:tcBorders>
              <w:bottom w:val="single" w:sz="8" w:color="939598"/>
              <w:right w:val="single" w:sz="8" w:color="E6E7E8"/>
            </w:tcBorders>
          </w:tcPr>
          <w:p>
            <w:pPr>
              <w:spacing w:after="0"/>
              <w:rPr>
                <w:sz w:val="18"/>
                <w:szCs w:val="18"/>
                <w:color w:val="auto"/>
              </w:rPr>
            </w:pPr>
          </w:p>
        </w:tc>
        <w:tc>
          <w:tcPr>
            <w:tcW w:w="1760" w:type="dxa"/>
            <w:vAlign w:val="bottom"/>
            <w:tcBorders>
              <w:top w:val="single" w:sz="8" w:color="939598"/>
              <w:bottom w:val="single" w:sz="8" w:color="939598"/>
            </w:tcBorders>
            <w:shd w:val="clear" w:color="auto" w:fill="E6E7E8"/>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700" w:type="dxa"/>
            <w:vAlign w:val="bottom"/>
            <w:tcBorders>
              <w:bottom w:val="single" w:sz="8" w:color="E6E7E8"/>
            </w:tcBorders>
            <w:shd w:val="clear" w:color="auto" w:fill="E6E7E8"/>
          </w:tcPr>
          <w:p>
            <w:pPr>
              <w:spacing w:after="0"/>
              <w:rPr>
                <w:sz w:val="18"/>
                <w:szCs w:val="18"/>
                <w:color w:val="auto"/>
              </w:rPr>
            </w:pPr>
          </w:p>
        </w:tc>
        <w:tc>
          <w:tcPr>
            <w:tcW w:w="120" w:type="dxa"/>
            <w:vAlign w:val="bottom"/>
            <w:tcBorders>
              <w:right w:val="single" w:sz="8" w:color="E6E7E8"/>
            </w:tcBorders>
          </w:tcPr>
          <w:p>
            <w:pPr>
              <w:spacing w:after="0"/>
              <w:rPr>
                <w:sz w:val="18"/>
                <w:szCs w:val="18"/>
                <w:color w:val="auto"/>
              </w:rPr>
            </w:pPr>
          </w:p>
        </w:tc>
        <w:tc>
          <w:tcPr>
            <w:tcW w:w="14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2/14/2022</w:t>
            </w:r>
          </w:p>
        </w:tc>
        <w:tc>
          <w:tcPr>
            <w:tcW w:w="120" w:type="dxa"/>
            <w:vAlign w:val="bottom"/>
            <w:tcBorders>
              <w:bottom w:val="single" w:sz="8" w:color="939598"/>
              <w:right w:val="single" w:sz="8" w:color="E6E7E8"/>
            </w:tcBorders>
          </w:tcPr>
          <w:p>
            <w:pPr>
              <w:spacing w:after="0"/>
              <w:rPr>
                <w:sz w:val="18"/>
                <w:szCs w:val="18"/>
                <w:color w:val="auto"/>
              </w:rPr>
            </w:pPr>
          </w:p>
        </w:tc>
        <w:tc>
          <w:tcPr>
            <w:tcW w:w="1320" w:type="dxa"/>
            <w:vAlign w:val="bottom"/>
            <w:tcBorders>
              <w:bottom w:val="single" w:sz="8" w:color="939598"/>
            </w:tcBorders>
            <w:shd w:val="clear" w:color="auto" w:fill="E6E7E8"/>
          </w:tcPr>
          <w:p>
            <w:pPr>
              <w:jc w:val="right"/>
              <w:ind w:right="3"/>
              <w:spacing w:after="0"/>
              <w:rPr>
                <w:sz w:val="20"/>
                <w:szCs w:val="20"/>
                <w:color w:val="auto"/>
              </w:rPr>
            </w:pPr>
            <w:r>
              <w:rPr>
                <w:rFonts w:ascii="Arial" w:cs="Arial" w:eastAsia="Arial" w:hAnsi="Arial"/>
                <w:sz w:val="16"/>
                <w:szCs w:val="16"/>
                <w:color w:val="auto"/>
              </w:rPr>
              <w:t>1,755</w:t>
            </w:r>
          </w:p>
        </w:tc>
        <w:tc>
          <w:tcPr>
            <w:tcW w:w="120" w:type="dxa"/>
            <w:vAlign w:val="bottom"/>
            <w:tcBorders>
              <w:bottom w:val="single" w:sz="8" w:color="939598"/>
              <w:right w:val="single" w:sz="8" w:color="E6E7E8"/>
            </w:tcBorders>
          </w:tcPr>
          <w:p>
            <w:pPr>
              <w:spacing w:after="0"/>
              <w:rPr>
                <w:sz w:val="18"/>
                <w:szCs w:val="18"/>
                <w:color w:val="auto"/>
              </w:rPr>
            </w:pPr>
          </w:p>
        </w:tc>
        <w:tc>
          <w:tcPr>
            <w:tcW w:w="13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363,215</w:t>
            </w:r>
          </w:p>
        </w:tc>
        <w:tc>
          <w:tcPr>
            <w:tcW w:w="120" w:type="dxa"/>
            <w:vAlign w:val="bottom"/>
            <w:tcBorders>
              <w:right w:val="single" w:sz="8" w:color="E6E7E8"/>
            </w:tcBorders>
          </w:tcPr>
          <w:p>
            <w:pPr>
              <w:spacing w:after="0"/>
              <w:rPr>
                <w:sz w:val="18"/>
                <w:szCs w:val="18"/>
                <w:color w:val="auto"/>
              </w:rPr>
            </w:pPr>
          </w:p>
        </w:tc>
        <w:tc>
          <w:tcPr>
            <w:tcW w:w="178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939598"/>
            </w:tcBorders>
            <w:shd w:val="clear" w:color="auto" w:fill="E6E7E8"/>
          </w:tcPr>
          <w:p>
            <w:pPr>
              <w:spacing w:after="0"/>
              <w:rPr>
                <w:sz w:val="18"/>
                <w:szCs w:val="18"/>
                <w:color w:val="auto"/>
              </w:rPr>
            </w:pPr>
          </w:p>
        </w:tc>
        <w:tc>
          <w:tcPr>
            <w:tcW w:w="120" w:type="dxa"/>
            <w:vAlign w:val="bottom"/>
            <w:tcBorders>
              <w:bottom w:val="single" w:sz="8" w:color="939598"/>
              <w:right w:val="single" w:sz="8" w:color="E6E7E8"/>
            </w:tcBorders>
          </w:tcPr>
          <w:p>
            <w:pPr>
              <w:spacing w:after="0"/>
              <w:rPr>
                <w:sz w:val="18"/>
                <w:szCs w:val="18"/>
                <w:color w:val="auto"/>
              </w:rPr>
            </w:pPr>
          </w:p>
        </w:tc>
        <w:tc>
          <w:tcPr>
            <w:tcW w:w="1760" w:type="dxa"/>
            <w:vAlign w:val="bottom"/>
            <w:tcBorders>
              <w:bottom w:val="single" w:sz="8" w:color="939598"/>
            </w:tcBorders>
            <w:shd w:val="clear" w:color="auto" w:fill="E6E7E8"/>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700" w:type="dxa"/>
            <w:vAlign w:val="bottom"/>
            <w:tcBorders>
              <w:bottom w:val="single" w:sz="8" w:color="E6E7E8"/>
            </w:tcBorders>
            <w:shd w:val="clear" w:color="auto" w:fill="E6E7E8"/>
          </w:tcPr>
          <w:p>
            <w:pPr>
              <w:spacing w:after="0"/>
              <w:rPr>
                <w:sz w:val="18"/>
                <w:szCs w:val="18"/>
                <w:color w:val="auto"/>
              </w:rPr>
            </w:pPr>
          </w:p>
        </w:tc>
        <w:tc>
          <w:tcPr>
            <w:tcW w:w="120" w:type="dxa"/>
            <w:vAlign w:val="bottom"/>
            <w:tcBorders>
              <w:right w:val="single" w:sz="8" w:color="E6E7E8"/>
            </w:tcBorders>
          </w:tcPr>
          <w:p>
            <w:pPr>
              <w:spacing w:after="0"/>
              <w:rPr>
                <w:sz w:val="18"/>
                <w:szCs w:val="18"/>
                <w:color w:val="auto"/>
              </w:rPr>
            </w:pPr>
          </w:p>
        </w:tc>
        <w:tc>
          <w:tcPr>
            <w:tcW w:w="14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2/14/2022</w:t>
            </w:r>
          </w:p>
        </w:tc>
        <w:tc>
          <w:tcPr>
            <w:tcW w:w="120" w:type="dxa"/>
            <w:vAlign w:val="bottom"/>
            <w:tcBorders>
              <w:bottom w:val="single" w:sz="8" w:color="939598"/>
              <w:right w:val="single" w:sz="8" w:color="E6E7E8"/>
            </w:tcBorders>
          </w:tcPr>
          <w:p>
            <w:pPr>
              <w:spacing w:after="0"/>
              <w:rPr>
                <w:sz w:val="18"/>
                <w:szCs w:val="18"/>
                <w:color w:val="auto"/>
              </w:rPr>
            </w:pPr>
          </w:p>
        </w:tc>
        <w:tc>
          <w:tcPr>
            <w:tcW w:w="1320" w:type="dxa"/>
            <w:vAlign w:val="bottom"/>
            <w:tcBorders>
              <w:bottom w:val="single" w:sz="8" w:color="939598"/>
            </w:tcBorders>
            <w:shd w:val="clear" w:color="auto" w:fill="E6E7E8"/>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939598"/>
              <w:right w:val="single" w:sz="8" w:color="E6E7E8"/>
            </w:tcBorders>
          </w:tcPr>
          <w:p>
            <w:pPr>
              <w:spacing w:after="0"/>
              <w:rPr>
                <w:sz w:val="18"/>
                <w:szCs w:val="18"/>
                <w:color w:val="auto"/>
              </w:rPr>
            </w:pPr>
          </w:p>
        </w:tc>
        <w:tc>
          <w:tcPr>
            <w:tcW w:w="13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178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4,158</w:t>
            </w:r>
          </w:p>
        </w:tc>
        <w:tc>
          <w:tcPr>
            <w:tcW w:w="340" w:type="dxa"/>
            <w:vAlign w:val="bottom"/>
            <w:tcBorders>
              <w:bottom w:val="single" w:sz="8" w:color="939598"/>
            </w:tcBorders>
            <w:shd w:val="clear" w:color="auto" w:fill="E6E7E8"/>
          </w:tcPr>
          <w:p>
            <w:pPr>
              <w:jc w:val="right"/>
              <w:ind w:right="107"/>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939598"/>
              <w:right w:val="single" w:sz="8" w:color="E6E7E8"/>
            </w:tcBorders>
          </w:tcPr>
          <w:p>
            <w:pPr>
              <w:spacing w:after="0"/>
              <w:rPr>
                <w:sz w:val="18"/>
                <w:szCs w:val="18"/>
                <w:color w:val="auto"/>
              </w:rPr>
            </w:pPr>
          </w:p>
        </w:tc>
        <w:tc>
          <w:tcPr>
            <w:tcW w:w="1760" w:type="dxa"/>
            <w:vAlign w:val="bottom"/>
            <w:tcBorders>
              <w:bottom w:val="single" w:sz="8" w:color="939598"/>
            </w:tcBorders>
            <w:shd w:val="clear" w:color="auto" w:fill="E6E7E8"/>
          </w:tcPr>
          <w:p>
            <w:pPr>
              <w:jc w:val="right"/>
              <w:ind w:right="4"/>
              <w:spacing w:after="0"/>
              <w:rPr>
                <w:sz w:val="20"/>
                <w:szCs w:val="20"/>
                <w:color w:val="auto"/>
              </w:rPr>
            </w:pPr>
            <w:r>
              <w:rPr>
                <w:rFonts w:ascii="Arial" w:cs="Arial" w:eastAsia="Arial" w:hAnsi="Arial"/>
                <w:sz w:val="16"/>
                <w:szCs w:val="16"/>
                <w:color w:val="auto"/>
              </w:rPr>
              <w:t>860,540</w:t>
            </w:r>
          </w:p>
        </w:tc>
        <w:tc>
          <w:tcPr>
            <w:tcW w:w="0" w:type="dxa"/>
            <w:vAlign w:val="bottom"/>
          </w:tcPr>
          <w:p>
            <w:pPr>
              <w:spacing w:after="0"/>
              <w:rPr>
                <w:sz w:val="1"/>
                <w:szCs w:val="1"/>
                <w:color w:val="auto"/>
              </w:rPr>
            </w:pPr>
          </w:p>
        </w:tc>
      </w:tr>
      <w:tr>
        <w:trPr>
          <w:trHeight w:val="210"/>
        </w:trPr>
        <w:tc>
          <w:tcPr>
            <w:tcW w:w="2700" w:type="dxa"/>
            <w:vAlign w:val="bottom"/>
            <w:tcBorders>
              <w:bottom w:val="single" w:sz="8" w:color="E6E7E8"/>
            </w:tcBorders>
            <w:shd w:val="clear" w:color="auto" w:fill="E6E7E8"/>
          </w:tcPr>
          <w:p>
            <w:pPr>
              <w:spacing w:after="0"/>
              <w:rPr>
                <w:sz w:val="18"/>
                <w:szCs w:val="18"/>
                <w:color w:val="auto"/>
              </w:rPr>
            </w:pPr>
          </w:p>
        </w:tc>
        <w:tc>
          <w:tcPr>
            <w:tcW w:w="120" w:type="dxa"/>
            <w:vAlign w:val="bottom"/>
            <w:tcBorders>
              <w:right w:val="single" w:sz="8" w:color="E6E7E8"/>
            </w:tcBorders>
          </w:tcPr>
          <w:p>
            <w:pPr>
              <w:spacing w:after="0"/>
              <w:rPr>
                <w:sz w:val="18"/>
                <w:szCs w:val="18"/>
                <w:color w:val="auto"/>
              </w:rPr>
            </w:pPr>
          </w:p>
        </w:tc>
        <w:tc>
          <w:tcPr>
            <w:tcW w:w="14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4/25/2022</w:t>
            </w:r>
          </w:p>
        </w:tc>
        <w:tc>
          <w:tcPr>
            <w:tcW w:w="120" w:type="dxa"/>
            <w:vAlign w:val="bottom"/>
            <w:tcBorders>
              <w:bottom w:val="single" w:sz="8" w:color="939598"/>
              <w:right w:val="single" w:sz="8" w:color="E6E7E8"/>
            </w:tcBorders>
          </w:tcPr>
          <w:p>
            <w:pPr>
              <w:spacing w:after="0"/>
              <w:rPr>
                <w:sz w:val="18"/>
                <w:szCs w:val="18"/>
                <w:color w:val="auto"/>
              </w:rPr>
            </w:pPr>
          </w:p>
        </w:tc>
        <w:tc>
          <w:tcPr>
            <w:tcW w:w="1320" w:type="dxa"/>
            <w:vAlign w:val="bottom"/>
            <w:tcBorders>
              <w:bottom w:val="single" w:sz="8" w:color="939598"/>
            </w:tcBorders>
            <w:shd w:val="clear" w:color="auto" w:fill="E6E7E8"/>
          </w:tcPr>
          <w:p>
            <w:pPr>
              <w:jc w:val="right"/>
              <w:ind w:right="3"/>
              <w:spacing w:after="0"/>
              <w:rPr>
                <w:sz w:val="20"/>
                <w:szCs w:val="20"/>
                <w:color w:val="auto"/>
              </w:rPr>
            </w:pPr>
            <w:r>
              <w:rPr>
                <w:rFonts w:ascii="Arial" w:cs="Arial" w:eastAsia="Arial" w:hAnsi="Arial"/>
                <w:sz w:val="16"/>
                <w:szCs w:val="16"/>
                <w:color w:val="auto"/>
              </w:rPr>
              <w:t>354</w:t>
            </w:r>
          </w:p>
        </w:tc>
        <w:tc>
          <w:tcPr>
            <w:tcW w:w="120" w:type="dxa"/>
            <w:vAlign w:val="bottom"/>
            <w:tcBorders>
              <w:bottom w:val="single" w:sz="8" w:color="939598"/>
              <w:right w:val="single" w:sz="8" w:color="E6E7E8"/>
            </w:tcBorders>
          </w:tcPr>
          <w:p>
            <w:pPr>
              <w:spacing w:after="0"/>
              <w:rPr>
                <w:sz w:val="18"/>
                <w:szCs w:val="18"/>
                <w:color w:val="auto"/>
              </w:rPr>
            </w:pPr>
          </w:p>
        </w:tc>
        <w:tc>
          <w:tcPr>
            <w:tcW w:w="13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73,264</w:t>
            </w:r>
          </w:p>
        </w:tc>
        <w:tc>
          <w:tcPr>
            <w:tcW w:w="120" w:type="dxa"/>
            <w:vAlign w:val="bottom"/>
            <w:tcBorders>
              <w:right w:val="single" w:sz="8" w:color="E6E7E8"/>
            </w:tcBorders>
          </w:tcPr>
          <w:p>
            <w:pPr>
              <w:spacing w:after="0"/>
              <w:rPr>
                <w:sz w:val="18"/>
                <w:szCs w:val="18"/>
                <w:color w:val="auto"/>
              </w:rPr>
            </w:pPr>
          </w:p>
        </w:tc>
        <w:tc>
          <w:tcPr>
            <w:tcW w:w="178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939598"/>
            </w:tcBorders>
            <w:shd w:val="clear" w:color="auto" w:fill="E6E7E8"/>
          </w:tcPr>
          <w:p>
            <w:pPr>
              <w:spacing w:after="0"/>
              <w:rPr>
                <w:sz w:val="18"/>
                <w:szCs w:val="18"/>
                <w:color w:val="auto"/>
              </w:rPr>
            </w:pPr>
          </w:p>
        </w:tc>
        <w:tc>
          <w:tcPr>
            <w:tcW w:w="120" w:type="dxa"/>
            <w:vAlign w:val="bottom"/>
            <w:tcBorders>
              <w:bottom w:val="single" w:sz="8" w:color="939598"/>
              <w:right w:val="single" w:sz="8" w:color="E6E7E8"/>
            </w:tcBorders>
          </w:tcPr>
          <w:p>
            <w:pPr>
              <w:spacing w:after="0"/>
              <w:rPr>
                <w:sz w:val="18"/>
                <w:szCs w:val="18"/>
                <w:color w:val="auto"/>
              </w:rPr>
            </w:pPr>
          </w:p>
        </w:tc>
        <w:tc>
          <w:tcPr>
            <w:tcW w:w="1760" w:type="dxa"/>
            <w:vAlign w:val="bottom"/>
            <w:tcBorders>
              <w:bottom w:val="single" w:sz="8" w:color="939598"/>
            </w:tcBorders>
            <w:shd w:val="clear" w:color="auto" w:fill="E6E7E8"/>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700" w:type="dxa"/>
            <w:vAlign w:val="bottom"/>
            <w:tcBorders>
              <w:bottom w:val="single" w:sz="8" w:color="E6E7E8"/>
            </w:tcBorders>
            <w:shd w:val="clear" w:color="auto" w:fill="E6E7E8"/>
          </w:tcPr>
          <w:p>
            <w:pPr>
              <w:spacing w:after="0"/>
              <w:rPr>
                <w:sz w:val="18"/>
                <w:szCs w:val="18"/>
                <w:color w:val="auto"/>
              </w:rPr>
            </w:pPr>
          </w:p>
        </w:tc>
        <w:tc>
          <w:tcPr>
            <w:tcW w:w="120" w:type="dxa"/>
            <w:vAlign w:val="bottom"/>
            <w:tcBorders>
              <w:right w:val="single" w:sz="8" w:color="E6E7E8"/>
            </w:tcBorders>
          </w:tcPr>
          <w:p>
            <w:pPr>
              <w:spacing w:after="0"/>
              <w:rPr>
                <w:sz w:val="18"/>
                <w:szCs w:val="18"/>
                <w:color w:val="auto"/>
              </w:rPr>
            </w:pPr>
          </w:p>
        </w:tc>
        <w:tc>
          <w:tcPr>
            <w:tcW w:w="14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4/25/2022</w:t>
            </w:r>
          </w:p>
        </w:tc>
        <w:tc>
          <w:tcPr>
            <w:tcW w:w="120" w:type="dxa"/>
            <w:vAlign w:val="bottom"/>
            <w:tcBorders>
              <w:bottom w:val="single" w:sz="8" w:color="939598"/>
              <w:right w:val="single" w:sz="8" w:color="E6E7E8"/>
            </w:tcBorders>
          </w:tcPr>
          <w:p>
            <w:pPr>
              <w:spacing w:after="0"/>
              <w:rPr>
                <w:sz w:val="18"/>
                <w:szCs w:val="18"/>
                <w:color w:val="auto"/>
              </w:rPr>
            </w:pPr>
          </w:p>
        </w:tc>
        <w:tc>
          <w:tcPr>
            <w:tcW w:w="1320" w:type="dxa"/>
            <w:vAlign w:val="bottom"/>
            <w:tcBorders>
              <w:bottom w:val="single" w:sz="8" w:color="939598"/>
            </w:tcBorders>
            <w:shd w:val="clear" w:color="auto" w:fill="E6E7E8"/>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939598"/>
              <w:right w:val="single" w:sz="8" w:color="E6E7E8"/>
            </w:tcBorders>
          </w:tcPr>
          <w:p>
            <w:pPr>
              <w:spacing w:after="0"/>
              <w:rPr>
                <w:sz w:val="18"/>
                <w:szCs w:val="18"/>
                <w:color w:val="auto"/>
              </w:rPr>
            </w:pPr>
          </w:p>
        </w:tc>
        <w:tc>
          <w:tcPr>
            <w:tcW w:w="13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178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700</w:t>
            </w:r>
          </w:p>
        </w:tc>
        <w:tc>
          <w:tcPr>
            <w:tcW w:w="340" w:type="dxa"/>
            <w:vAlign w:val="bottom"/>
            <w:tcBorders>
              <w:bottom w:val="single" w:sz="8" w:color="939598"/>
            </w:tcBorders>
            <w:shd w:val="clear" w:color="auto" w:fill="E6E7E8"/>
          </w:tcPr>
          <w:p>
            <w:pPr>
              <w:jc w:val="right"/>
              <w:ind w:right="107"/>
              <w:spacing w:after="0"/>
              <w:rPr>
                <w:sz w:val="20"/>
                <w:szCs w:val="20"/>
                <w:color w:val="auto"/>
              </w:rPr>
            </w:pPr>
            <w:r>
              <w:rPr>
                <w:rFonts w:ascii="Arial" w:cs="Arial" w:eastAsia="Arial" w:hAnsi="Arial"/>
                <w:sz w:val="11"/>
                <w:szCs w:val="11"/>
                <w:color w:val="auto"/>
              </w:rPr>
              <w:t>(3)</w:t>
            </w:r>
          </w:p>
        </w:tc>
        <w:tc>
          <w:tcPr>
            <w:tcW w:w="120" w:type="dxa"/>
            <w:vAlign w:val="bottom"/>
            <w:tcBorders>
              <w:bottom w:val="single" w:sz="8" w:color="939598"/>
              <w:right w:val="single" w:sz="8" w:color="E6E7E8"/>
            </w:tcBorders>
          </w:tcPr>
          <w:p>
            <w:pPr>
              <w:spacing w:after="0"/>
              <w:rPr>
                <w:sz w:val="18"/>
                <w:szCs w:val="18"/>
                <w:color w:val="auto"/>
              </w:rPr>
            </w:pPr>
          </w:p>
        </w:tc>
        <w:tc>
          <w:tcPr>
            <w:tcW w:w="1760" w:type="dxa"/>
            <w:vAlign w:val="bottom"/>
            <w:tcBorders>
              <w:bottom w:val="single" w:sz="8" w:color="939598"/>
            </w:tcBorders>
            <w:shd w:val="clear" w:color="auto" w:fill="E6E7E8"/>
          </w:tcPr>
          <w:p>
            <w:pPr>
              <w:jc w:val="right"/>
              <w:ind w:right="4"/>
              <w:spacing w:after="0"/>
              <w:rPr>
                <w:sz w:val="20"/>
                <w:szCs w:val="20"/>
                <w:color w:val="auto"/>
              </w:rPr>
            </w:pPr>
            <w:r>
              <w:rPr>
                <w:rFonts w:ascii="Arial" w:cs="Arial" w:eastAsia="Arial" w:hAnsi="Arial"/>
                <w:sz w:val="16"/>
                <w:szCs w:val="16"/>
                <w:color w:val="auto"/>
              </w:rPr>
              <w:t>144,872</w:t>
            </w:r>
          </w:p>
        </w:tc>
        <w:tc>
          <w:tcPr>
            <w:tcW w:w="0" w:type="dxa"/>
            <w:vAlign w:val="bottom"/>
          </w:tcPr>
          <w:p>
            <w:pPr>
              <w:spacing w:after="0"/>
              <w:rPr>
                <w:sz w:val="1"/>
                <w:szCs w:val="1"/>
                <w:color w:val="auto"/>
              </w:rPr>
            </w:pPr>
          </w:p>
        </w:tc>
      </w:tr>
      <w:tr>
        <w:trPr>
          <w:trHeight w:val="210"/>
        </w:trPr>
        <w:tc>
          <w:tcPr>
            <w:tcW w:w="2700" w:type="dxa"/>
            <w:vAlign w:val="bottom"/>
            <w:tcBorders>
              <w:bottom w:val="single" w:sz="8" w:color="E6E7E8"/>
            </w:tcBorders>
            <w:shd w:val="clear" w:color="auto" w:fill="E6E7E8"/>
          </w:tcPr>
          <w:p>
            <w:pPr>
              <w:spacing w:after="0"/>
              <w:rPr>
                <w:sz w:val="18"/>
                <w:szCs w:val="18"/>
                <w:color w:val="auto"/>
              </w:rPr>
            </w:pPr>
          </w:p>
        </w:tc>
        <w:tc>
          <w:tcPr>
            <w:tcW w:w="120" w:type="dxa"/>
            <w:vAlign w:val="bottom"/>
            <w:tcBorders>
              <w:right w:val="single" w:sz="8" w:color="E6E7E8"/>
            </w:tcBorders>
          </w:tcPr>
          <w:p>
            <w:pPr>
              <w:spacing w:after="0"/>
              <w:rPr>
                <w:sz w:val="18"/>
                <w:szCs w:val="18"/>
                <w:color w:val="auto"/>
              </w:rPr>
            </w:pPr>
          </w:p>
        </w:tc>
        <w:tc>
          <w:tcPr>
            <w:tcW w:w="14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2/13/2023</w:t>
            </w:r>
          </w:p>
        </w:tc>
        <w:tc>
          <w:tcPr>
            <w:tcW w:w="120" w:type="dxa"/>
            <w:vAlign w:val="bottom"/>
            <w:tcBorders>
              <w:bottom w:val="single" w:sz="8" w:color="939598"/>
              <w:right w:val="single" w:sz="8" w:color="E6E7E8"/>
            </w:tcBorders>
          </w:tcPr>
          <w:p>
            <w:pPr>
              <w:spacing w:after="0"/>
              <w:rPr>
                <w:sz w:val="18"/>
                <w:szCs w:val="18"/>
                <w:color w:val="auto"/>
              </w:rPr>
            </w:pPr>
          </w:p>
        </w:tc>
        <w:tc>
          <w:tcPr>
            <w:tcW w:w="1320" w:type="dxa"/>
            <w:vAlign w:val="bottom"/>
            <w:tcBorders>
              <w:bottom w:val="single" w:sz="8" w:color="939598"/>
            </w:tcBorders>
            <w:shd w:val="clear" w:color="auto" w:fill="E6E7E8"/>
          </w:tcPr>
          <w:p>
            <w:pPr>
              <w:jc w:val="right"/>
              <w:ind w:right="3"/>
              <w:spacing w:after="0"/>
              <w:rPr>
                <w:sz w:val="20"/>
                <w:szCs w:val="20"/>
                <w:color w:val="auto"/>
              </w:rPr>
            </w:pPr>
            <w:r>
              <w:rPr>
                <w:rFonts w:ascii="Arial" w:cs="Arial" w:eastAsia="Arial" w:hAnsi="Arial"/>
                <w:sz w:val="16"/>
                <w:szCs w:val="16"/>
                <w:color w:val="auto"/>
              </w:rPr>
              <w:t>4,226</w:t>
            </w:r>
          </w:p>
        </w:tc>
        <w:tc>
          <w:tcPr>
            <w:tcW w:w="120" w:type="dxa"/>
            <w:vAlign w:val="bottom"/>
            <w:tcBorders>
              <w:bottom w:val="single" w:sz="8" w:color="939598"/>
              <w:right w:val="single" w:sz="8" w:color="E6E7E8"/>
            </w:tcBorders>
          </w:tcPr>
          <w:p>
            <w:pPr>
              <w:spacing w:after="0"/>
              <w:rPr>
                <w:sz w:val="18"/>
                <w:szCs w:val="18"/>
                <w:color w:val="auto"/>
              </w:rPr>
            </w:pPr>
          </w:p>
        </w:tc>
        <w:tc>
          <w:tcPr>
            <w:tcW w:w="13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874,613</w:t>
            </w:r>
          </w:p>
        </w:tc>
        <w:tc>
          <w:tcPr>
            <w:tcW w:w="120" w:type="dxa"/>
            <w:vAlign w:val="bottom"/>
            <w:tcBorders>
              <w:right w:val="single" w:sz="8" w:color="E6E7E8"/>
            </w:tcBorders>
          </w:tcPr>
          <w:p>
            <w:pPr>
              <w:spacing w:after="0"/>
              <w:rPr>
                <w:sz w:val="18"/>
                <w:szCs w:val="18"/>
                <w:color w:val="auto"/>
              </w:rPr>
            </w:pPr>
          </w:p>
        </w:tc>
        <w:tc>
          <w:tcPr>
            <w:tcW w:w="178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939598"/>
            </w:tcBorders>
            <w:shd w:val="clear" w:color="auto" w:fill="E6E7E8"/>
          </w:tcPr>
          <w:p>
            <w:pPr>
              <w:spacing w:after="0"/>
              <w:rPr>
                <w:sz w:val="18"/>
                <w:szCs w:val="18"/>
                <w:color w:val="auto"/>
              </w:rPr>
            </w:pPr>
          </w:p>
        </w:tc>
        <w:tc>
          <w:tcPr>
            <w:tcW w:w="120" w:type="dxa"/>
            <w:vAlign w:val="bottom"/>
            <w:tcBorders>
              <w:bottom w:val="single" w:sz="8" w:color="939598"/>
              <w:right w:val="single" w:sz="8" w:color="E6E7E8"/>
            </w:tcBorders>
          </w:tcPr>
          <w:p>
            <w:pPr>
              <w:spacing w:after="0"/>
              <w:rPr>
                <w:sz w:val="18"/>
                <w:szCs w:val="18"/>
                <w:color w:val="auto"/>
              </w:rPr>
            </w:pPr>
          </w:p>
        </w:tc>
        <w:tc>
          <w:tcPr>
            <w:tcW w:w="1760" w:type="dxa"/>
            <w:vAlign w:val="bottom"/>
            <w:tcBorders>
              <w:bottom w:val="single" w:sz="8" w:color="939598"/>
            </w:tcBorders>
            <w:shd w:val="clear" w:color="auto" w:fill="E6E7E8"/>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700" w:type="dxa"/>
            <w:vAlign w:val="bottom"/>
            <w:tcBorders>
              <w:bottom w:val="single" w:sz="8" w:color="E6E7E8"/>
            </w:tcBorders>
            <w:shd w:val="clear" w:color="auto" w:fill="E6E7E8"/>
          </w:tcPr>
          <w:p>
            <w:pPr>
              <w:spacing w:after="0"/>
              <w:rPr>
                <w:sz w:val="18"/>
                <w:szCs w:val="18"/>
                <w:color w:val="auto"/>
              </w:rPr>
            </w:pPr>
          </w:p>
        </w:tc>
        <w:tc>
          <w:tcPr>
            <w:tcW w:w="120" w:type="dxa"/>
            <w:vAlign w:val="bottom"/>
            <w:tcBorders>
              <w:right w:val="single" w:sz="8" w:color="E6E7E8"/>
            </w:tcBorders>
          </w:tcPr>
          <w:p>
            <w:pPr>
              <w:spacing w:after="0"/>
              <w:rPr>
                <w:sz w:val="18"/>
                <w:szCs w:val="18"/>
                <w:color w:val="auto"/>
              </w:rPr>
            </w:pPr>
          </w:p>
        </w:tc>
        <w:tc>
          <w:tcPr>
            <w:tcW w:w="14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2/13/2023</w:t>
            </w:r>
          </w:p>
        </w:tc>
        <w:tc>
          <w:tcPr>
            <w:tcW w:w="120" w:type="dxa"/>
            <w:vAlign w:val="bottom"/>
            <w:tcBorders>
              <w:bottom w:val="single" w:sz="8" w:color="939598"/>
              <w:right w:val="single" w:sz="8" w:color="E6E7E8"/>
            </w:tcBorders>
          </w:tcPr>
          <w:p>
            <w:pPr>
              <w:spacing w:after="0"/>
              <w:rPr>
                <w:sz w:val="18"/>
                <w:szCs w:val="18"/>
                <w:color w:val="auto"/>
              </w:rPr>
            </w:pPr>
          </w:p>
        </w:tc>
        <w:tc>
          <w:tcPr>
            <w:tcW w:w="1320" w:type="dxa"/>
            <w:vAlign w:val="bottom"/>
            <w:tcBorders>
              <w:bottom w:val="single" w:sz="8" w:color="939598"/>
            </w:tcBorders>
            <w:shd w:val="clear" w:color="auto" w:fill="E6E7E8"/>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939598"/>
              <w:right w:val="single" w:sz="8" w:color="E6E7E8"/>
            </w:tcBorders>
          </w:tcPr>
          <w:p>
            <w:pPr>
              <w:spacing w:after="0"/>
              <w:rPr>
                <w:sz w:val="18"/>
                <w:szCs w:val="18"/>
                <w:color w:val="auto"/>
              </w:rPr>
            </w:pPr>
          </w:p>
        </w:tc>
        <w:tc>
          <w:tcPr>
            <w:tcW w:w="13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178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7,516</w:t>
            </w:r>
          </w:p>
        </w:tc>
        <w:tc>
          <w:tcPr>
            <w:tcW w:w="340" w:type="dxa"/>
            <w:vAlign w:val="bottom"/>
            <w:tcBorders>
              <w:bottom w:val="single" w:sz="8" w:color="939598"/>
            </w:tcBorders>
            <w:shd w:val="clear" w:color="auto" w:fill="E6E7E8"/>
          </w:tcPr>
          <w:p>
            <w:pPr>
              <w:jc w:val="right"/>
              <w:ind w:right="107"/>
              <w:spacing w:after="0"/>
              <w:rPr>
                <w:sz w:val="20"/>
                <w:szCs w:val="20"/>
                <w:color w:val="auto"/>
              </w:rPr>
            </w:pPr>
            <w:r>
              <w:rPr>
                <w:rFonts w:ascii="Arial" w:cs="Arial" w:eastAsia="Arial" w:hAnsi="Arial"/>
                <w:sz w:val="11"/>
                <w:szCs w:val="11"/>
                <w:color w:val="auto"/>
              </w:rPr>
              <w:t>(4)</w:t>
            </w:r>
          </w:p>
        </w:tc>
        <w:tc>
          <w:tcPr>
            <w:tcW w:w="120" w:type="dxa"/>
            <w:vAlign w:val="bottom"/>
            <w:tcBorders>
              <w:bottom w:val="single" w:sz="8" w:color="939598"/>
              <w:right w:val="single" w:sz="8" w:color="E6E7E8"/>
            </w:tcBorders>
          </w:tcPr>
          <w:p>
            <w:pPr>
              <w:spacing w:after="0"/>
              <w:rPr>
                <w:sz w:val="18"/>
                <w:szCs w:val="18"/>
                <w:color w:val="auto"/>
              </w:rPr>
            </w:pPr>
          </w:p>
        </w:tc>
        <w:tc>
          <w:tcPr>
            <w:tcW w:w="1760" w:type="dxa"/>
            <w:vAlign w:val="bottom"/>
            <w:tcBorders>
              <w:bottom w:val="single" w:sz="8" w:color="939598"/>
            </w:tcBorders>
            <w:shd w:val="clear" w:color="auto" w:fill="E6E7E8"/>
          </w:tcPr>
          <w:p>
            <w:pPr>
              <w:jc w:val="right"/>
              <w:ind w:right="4"/>
              <w:spacing w:after="0"/>
              <w:rPr>
                <w:sz w:val="20"/>
                <w:szCs w:val="20"/>
                <w:color w:val="auto"/>
              </w:rPr>
            </w:pPr>
            <w:r>
              <w:rPr>
                <w:rFonts w:ascii="Arial" w:cs="Arial" w:eastAsia="Arial" w:hAnsi="Arial"/>
                <w:sz w:val="16"/>
                <w:szCs w:val="16"/>
                <w:color w:val="auto"/>
              </w:rPr>
              <w:t>1,555,511</w:t>
            </w:r>
          </w:p>
        </w:tc>
        <w:tc>
          <w:tcPr>
            <w:tcW w:w="0" w:type="dxa"/>
            <w:vAlign w:val="bottom"/>
          </w:tcPr>
          <w:p>
            <w:pPr>
              <w:spacing w:after="0"/>
              <w:rPr>
                <w:sz w:val="1"/>
                <w:szCs w:val="1"/>
                <w:color w:val="auto"/>
              </w:rPr>
            </w:pPr>
          </w:p>
        </w:tc>
      </w:tr>
      <w:tr>
        <w:trPr>
          <w:trHeight w:val="209"/>
        </w:trPr>
        <w:tc>
          <w:tcPr>
            <w:tcW w:w="2700" w:type="dxa"/>
            <w:vAlign w:val="bottom"/>
            <w:tcBorders>
              <w:bottom w:val="single" w:sz="8" w:color="E6E7E8"/>
            </w:tcBorders>
            <w:shd w:val="clear" w:color="auto" w:fill="E6E7E8"/>
          </w:tcPr>
          <w:p>
            <w:pPr>
              <w:spacing w:after="0"/>
              <w:rPr>
                <w:sz w:val="18"/>
                <w:szCs w:val="18"/>
                <w:color w:val="auto"/>
              </w:rPr>
            </w:pPr>
          </w:p>
        </w:tc>
        <w:tc>
          <w:tcPr>
            <w:tcW w:w="120" w:type="dxa"/>
            <w:vAlign w:val="bottom"/>
            <w:tcBorders>
              <w:right w:val="single" w:sz="8" w:color="E6E7E8"/>
            </w:tcBorders>
          </w:tcPr>
          <w:p>
            <w:pPr>
              <w:spacing w:after="0"/>
              <w:rPr>
                <w:sz w:val="18"/>
                <w:szCs w:val="18"/>
                <w:color w:val="auto"/>
              </w:rPr>
            </w:pPr>
          </w:p>
        </w:tc>
        <w:tc>
          <w:tcPr>
            <w:tcW w:w="14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2/12/2024</w:t>
            </w:r>
          </w:p>
        </w:tc>
        <w:tc>
          <w:tcPr>
            <w:tcW w:w="120" w:type="dxa"/>
            <w:vAlign w:val="bottom"/>
            <w:tcBorders>
              <w:bottom w:val="single" w:sz="8" w:color="939598"/>
              <w:right w:val="single" w:sz="8" w:color="E6E7E8"/>
            </w:tcBorders>
          </w:tcPr>
          <w:p>
            <w:pPr>
              <w:spacing w:after="0"/>
              <w:rPr>
                <w:sz w:val="18"/>
                <w:szCs w:val="18"/>
                <w:color w:val="auto"/>
              </w:rPr>
            </w:pPr>
          </w:p>
        </w:tc>
        <w:tc>
          <w:tcPr>
            <w:tcW w:w="1320" w:type="dxa"/>
            <w:vAlign w:val="bottom"/>
            <w:tcBorders>
              <w:bottom w:val="single" w:sz="8" w:color="939598"/>
            </w:tcBorders>
            <w:shd w:val="clear" w:color="auto" w:fill="E6E7E8"/>
          </w:tcPr>
          <w:p>
            <w:pPr>
              <w:jc w:val="right"/>
              <w:ind w:right="3"/>
              <w:spacing w:after="0"/>
              <w:rPr>
                <w:sz w:val="20"/>
                <w:szCs w:val="20"/>
                <w:color w:val="auto"/>
              </w:rPr>
            </w:pPr>
            <w:r>
              <w:rPr>
                <w:rFonts w:ascii="Arial" w:cs="Arial" w:eastAsia="Arial" w:hAnsi="Arial"/>
                <w:sz w:val="16"/>
                <w:szCs w:val="16"/>
                <w:color w:val="auto"/>
              </w:rPr>
              <w:t>8,940</w:t>
            </w:r>
          </w:p>
        </w:tc>
        <w:tc>
          <w:tcPr>
            <w:tcW w:w="120" w:type="dxa"/>
            <w:vAlign w:val="bottom"/>
            <w:tcBorders>
              <w:bottom w:val="single" w:sz="8" w:color="939598"/>
              <w:right w:val="single" w:sz="8" w:color="E6E7E8"/>
            </w:tcBorders>
          </w:tcPr>
          <w:p>
            <w:pPr>
              <w:spacing w:after="0"/>
              <w:rPr>
                <w:sz w:val="18"/>
                <w:szCs w:val="18"/>
                <w:color w:val="auto"/>
              </w:rPr>
            </w:pPr>
          </w:p>
        </w:tc>
        <w:tc>
          <w:tcPr>
            <w:tcW w:w="13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1,850,222</w:t>
            </w:r>
          </w:p>
        </w:tc>
        <w:tc>
          <w:tcPr>
            <w:tcW w:w="120" w:type="dxa"/>
            <w:vAlign w:val="bottom"/>
            <w:tcBorders>
              <w:right w:val="single" w:sz="8" w:color="E6E7E8"/>
            </w:tcBorders>
          </w:tcPr>
          <w:p>
            <w:pPr>
              <w:spacing w:after="0"/>
              <w:rPr>
                <w:sz w:val="18"/>
                <w:szCs w:val="18"/>
                <w:color w:val="auto"/>
              </w:rPr>
            </w:pPr>
          </w:p>
        </w:tc>
        <w:tc>
          <w:tcPr>
            <w:tcW w:w="178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939598"/>
            </w:tcBorders>
            <w:shd w:val="clear" w:color="auto" w:fill="E6E7E8"/>
          </w:tcPr>
          <w:p>
            <w:pPr>
              <w:spacing w:after="0"/>
              <w:rPr>
                <w:sz w:val="18"/>
                <w:szCs w:val="18"/>
                <w:color w:val="auto"/>
              </w:rPr>
            </w:pPr>
          </w:p>
        </w:tc>
        <w:tc>
          <w:tcPr>
            <w:tcW w:w="120" w:type="dxa"/>
            <w:vAlign w:val="bottom"/>
            <w:tcBorders>
              <w:bottom w:val="single" w:sz="8" w:color="939598"/>
              <w:right w:val="single" w:sz="8" w:color="E6E7E8"/>
            </w:tcBorders>
          </w:tcPr>
          <w:p>
            <w:pPr>
              <w:spacing w:after="0"/>
              <w:rPr>
                <w:sz w:val="18"/>
                <w:szCs w:val="18"/>
                <w:color w:val="auto"/>
              </w:rPr>
            </w:pPr>
          </w:p>
        </w:tc>
        <w:tc>
          <w:tcPr>
            <w:tcW w:w="1760" w:type="dxa"/>
            <w:vAlign w:val="bottom"/>
            <w:tcBorders>
              <w:bottom w:val="single" w:sz="8" w:color="939598"/>
            </w:tcBorders>
            <w:shd w:val="clear" w:color="auto" w:fill="E6E7E8"/>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2700" w:type="dxa"/>
            <w:vAlign w:val="bottom"/>
            <w:tcBorders>
              <w:bottom w:val="single" w:sz="8" w:color="939598"/>
            </w:tcBorders>
            <w:shd w:val="clear" w:color="auto" w:fill="E6E7E8"/>
          </w:tcPr>
          <w:p>
            <w:pPr>
              <w:spacing w:after="0"/>
              <w:rPr>
                <w:sz w:val="18"/>
                <w:szCs w:val="18"/>
                <w:color w:val="auto"/>
              </w:rPr>
            </w:pPr>
          </w:p>
        </w:tc>
        <w:tc>
          <w:tcPr>
            <w:tcW w:w="120" w:type="dxa"/>
            <w:vAlign w:val="bottom"/>
            <w:tcBorders>
              <w:right w:val="single" w:sz="8" w:color="E6E7E8"/>
            </w:tcBorders>
          </w:tcPr>
          <w:p>
            <w:pPr>
              <w:spacing w:after="0"/>
              <w:rPr>
                <w:sz w:val="18"/>
                <w:szCs w:val="18"/>
                <w:color w:val="auto"/>
              </w:rPr>
            </w:pPr>
          </w:p>
        </w:tc>
        <w:tc>
          <w:tcPr>
            <w:tcW w:w="14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2/12/2024</w:t>
            </w:r>
          </w:p>
        </w:tc>
        <w:tc>
          <w:tcPr>
            <w:tcW w:w="120" w:type="dxa"/>
            <w:vAlign w:val="bottom"/>
            <w:tcBorders>
              <w:bottom w:val="single" w:sz="8" w:color="939598"/>
              <w:right w:val="single" w:sz="8" w:color="E6E7E8"/>
            </w:tcBorders>
          </w:tcPr>
          <w:p>
            <w:pPr>
              <w:spacing w:after="0"/>
              <w:rPr>
                <w:sz w:val="18"/>
                <w:szCs w:val="18"/>
                <w:color w:val="auto"/>
              </w:rPr>
            </w:pPr>
          </w:p>
        </w:tc>
        <w:tc>
          <w:tcPr>
            <w:tcW w:w="1320" w:type="dxa"/>
            <w:vAlign w:val="bottom"/>
            <w:tcBorders>
              <w:bottom w:val="single" w:sz="8" w:color="939598"/>
            </w:tcBorders>
            <w:shd w:val="clear" w:color="auto" w:fill="E6E7E8"/>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939598"/>
              <w:right w:val="single" w:sz="8" w:color="E6E7E8"/>
            </w:tcBorders>
          </w:tcPr>
          <w:p>
            <w:pPr>
              <w:spacing w:after="0"/>
              <w:rPr>
                <w:sz w:val="18"/>
                <w:szCs w:val="18"/>
                <w:color w:val="auto"/>
              </w:rPr>
            </w:pPr>
          </w:p>
        </w:tc>
        <w:tc>
          <w:tcPr>
            <w:tcW w:w="13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178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8,940</w:t>
            </w:r>
          </w:p>
        </w:tc>
        <w:tc>
          <w:tcPr>
            <w:tcW w:w="340" w:type="dxa"/>
            <w:vAlign w:val="bottom"/>
            <w:tcBorders>
              <w:bottom w:val="single" w:sz="8" w:color="939598"/>
            </w:tcBorders>
            <w:shd w:val="clear" w:color="auto" w:fill="E6E7E8"/>
          </w:tcPr>
          <w:p>
            <w:pPr>
              <w:jc w:val="right"/>
              <w:ind w:right="107"/>
              <w:spacing w:after="0"/>
              <w:rPr>
                <w:sz w:val="20"/>
                <w:szCs w:val="20"/>
                <w:color w:val="auto"/>
              </w:rPr>
            </w:pPr>
            <w:r>
              <w:rPr>
                <w:rFonts w:ascii="Arial" w:cs="Arial" w:eastAsia="Arial" w:hAnsi="Arial"/>
                <w:sz w:val="11"/>
                <w:szCs w:val="11"/>
                <w:color w:val="auto"/>
              </w:rPr>
              <w:t>(5)</w:t>
            </w:r>
          </w:p>
        </w:tc>
        <w:tc>
          <w:tcPr>
            <w:tcW w:w="120" w:type="dxa"/>
            <w:vAlign w:val="bottom"/>
            <w:tcBorders>
              <w:bottom w:val="single" w:sz="8" w:color="939598"/>
              <w:right w:val="single" w:sz="8" w:color="E6E7E8"/>
            </w:tcBorders>
          </w:tcPr>
          <w:p>
            <w:pPr>
              <w:spacing w:after="0"/>
              <w:rPr>
                <w:sz w:val="18"/>
                <w:szCs w:val="18"/>
                <w:color w:val="auto"/>
              </w:rPr>
            </w:pPr>
          </w:p>
        </w:tc>
        <w:tc>
          <w:tcPr>
            <w:tcW w:w="1760" w:type="dxa"/>
            <w:vAlign w:val="bottom"/>
            <w:tcBorders>
              <w:bottom w:val="single" w:sz="8" w:color="939598"/>
            </w:tcBorders>
            <w:shd w:val="clear" w:color="auto" w:fill="E6E7E8"/>
          </w:tcPr>
          <w:p>
            <w:pPr>
              <w:jc w:val="right"/>
              <w:ind w:right="4"/>
              <w:spacing w:after="0"/>
              <w:rPr>
                <w:sz w:val="20"/>
                <w:szCs w:val="20"/>
                <w:color w:val="auto"/>
              </w:rPr>
            </w:pPr>
            <w:r>
              <w:rPr>
                <w:rFonts w:ascii="Arial" w:cs="Arial" w:eastAsia="Arial" w:hAnsi="Arial"/>
                <w:sz w:val="16"/>
                <w:szCs w:val="16"/>
                <w:color w:val="auto"/>
              </w:rPr>
              <w:t>1,850,222</w:t>
            </w:r>
          </w:p>
        </w:tc>
        <w:tc>
          <w:tcPr>
            <w:tcW w:w="0" w:type="dxa"/>
            <w:vAlign w:val="bottom"/>
          </w:tcPr>
          <w:p>
            <w:pPr>
              <w:spacing w:after="0"/>
              <w:rPr>
                <w:sz w:val="1"/>
                <w:szCs w:val="1"/>
                <w:color w:val="auto"/>
              </w:rPr>
            </w:pPr>
          </w:p>
        </w:tc>
      </w:tr>
      <w:tr>
        <w:trPr>
          <w:trHeight w:val="210"/>
        </w:trPr>
        <w:tc>
          <w:tcPr>
            <w:tcW w:w="2700" w:type="dxa"/>
            <w:vAlign w:val="bottom"/>
          </w:tcPr>
          <w:p>
            <w:pPr>
              <w:ind w:left="60"/>
              <w:spacing w:after="0"/>
              <w:rPr>
                <w:sz w:val="20"/>
                <w:szCs w:val="20"/>
                <w:color w:val="auto"/>
              </w:rPr>
            </w:pPr>
            <w:r>
              <w:rPr>
                <w:rFonts w:ascii="Arial" w:cs="Arial" w:eastAsia="Arial" w:hAnsi="Arial"/>
                <w:sz w:val="16"/>
                <w:szCs w:val="16"/>
                <w:b w:val="1"/>
                <w:bCs w:val="1"/>
                <w:color w:val="004A98"/>
              </w:rPr>
              <w:t>Thomas C. Indelicarto</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2/16/2021</w:t>
            </w:r>
          </w:p>
        </w:tc>
        <w:tc>
          <w:tcPr>
            <w:tcW w:w="120" w:type="dxa"/>
            <w:vAlign w:val="bottom"/>
          </w:tcPr>
          <w:p>
            <w:pPr>
              <w:spacing w:after="0"/>
              <w:rPr>
                <w:sz w:val="18"/>
                <w:szCs w:val="18"/>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283</w:t>
            </w:r>
          </w:p>
        </w:tc>
        <w:tc>
          <w:tcPr>
            <w:tcW w:w="1440" w:type="dxa"/>
            <w:vAlign w:val="bottom"/>
            <w:gridSpan w:val="2"/>
          </w:tcPr>
          <w:p>
            <w:pPr>
              <w:jc w:val="right"/>
              <w:spacing w:after="0"/>
              <w:rPr>
                <w:sz w:val="20"/>
                <w:szCs w:val="20"/>
                <w:color w:val="auto"/>
              </w:rPr>
            </w:pPr>
            <w:r>
              <w:rPr>
                <w:rFonts w:ascii="Arial" w:cs="Arial" w:eastAsia="Arial" w:hAnsi="Arial"/>
                <w:sz w:val="16"/>
                <w:szCs w:val="16"/>
                <w:color w:val="auto"/>
              </w:rPr>
              <w:t>58,570</w:t>
            </w:r>
          </w:p>
        </w:tc>
        <w:tc>
          <w:tcPr>
            <w:tcW w:w="12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6"/>
                <w:szCs w:val="16"/>
                <w:color w:val="auto"/>
              </w:rPr>
              <w:t>2/14/2022</w:t>
            </w:r>
          </w:p>
        </w:tc>
        <w:tc>
          <w:tcPr>
            <w:tcW w:w="120" w:type="dxa"/>
            <w:vAlign w:val="bottom"/>
          </w:tcPr>
          <w:p>
            <w:pPr>
              <w:spacing w:after="0"/>
              <w:rPr>
                <w:sz w:val="18"/>
                <w:szCs w:val="18"/>
                <w:color w:val="auto"/>
              </w:rPr>
            </w:pPr>
          </w:p>
        </w:tc>
        <w:tc>
          <w:tcPr>
            <w:tcW w:w="1320" w:type="dxa"/>
            <w:vAlign w:val="bottom"/>
            <w:tcBorders>
              <w:top w:val="single" w:sz="8" w:color="939598"/>
              <w:bottom w:val="single" w:sz="8" w:color="939598"/>
            </w:tcBorders>
          </w:tcPr>
          <w:p>
            <w:pPr>
              <w:jc w:val="right"/>
              <w:ind w:right="3"/>
              <w:spacing w:after="0"/>
              <w:rPr>
                <w:sz w:val="20"/>
                <w:szCs w:val="20"/>
                <w:color w:val="auto"/>
              </w:rPr>
            </w:pPr>
            <w:r>
              <w:rPr>
                <w:rFonts w:ascii="Arial" w:cs="Arial" w:eastAsia="Arial" w:hAnsi="Arial"/>
                <w:sz w:val="16"/>
                <w:szCs w:val="16"/>
                <w:color w:val="auto"/>
              </w:rPr>
              <w:t>1,755</w:t>
            </w:r>
          </w:p>
        </w:tc>
        <w:tc>
          <w:tcPr>
            <w:tcW w:w="120" w:type="dxa"/>
            <w:vAlign w:val="bottom"/>
          </w:tcPr>
          <w:p>
            <w:pPr>
              <w:spacing w:after="0"/>
              <w:rPr>
                <w:sz w:val="18"/>
                <w:szCs w:val="18"/>
                <w:color w:val="auto"/>
              </w:rPr>
            </w:pPr>
          </w:p>
        </w:tc>
        <w:tc>
          <w:tcPr>
            <w:tcW w:w="132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6"/>
                <w:szCs w:val="16"/>
                <w:color w:val="auto"/>
              </w:rPr>
              <w:t>363,215</w:t>
            </w:r>
          </w:p>
        </w:tc>
        <w:tc>
          <w:tcPr>
            <w:tcW w:w="120" w:type="dxa"/>
            <w:vAlign w:val="bottom"/>
          </w:tcPr>
          <w:p>
            <w:pPr>
              <w:spacing w:after="0"/>
              <w:rPr>
                <w:sz w:val="18"/>
                <w:szCs w:val="18"/>
                <w:color w:val="auto"/>
              </w:rPr>
            </w:pPr>
          </w:p>
        </w:tc>
        <w:tc>
          <w:tcPr>
            <w:tcW w:w="178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939598"/>
              <w:bottom w:val="single" w:sz="8" w:color="939598"/>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top w:val="single" w:sz="8" w:color="939598"/>
              <w:bottom w:val="single" w:sz="8" w:color="939598"/>
            </w:tcBorders>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70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2/14/2022</w:t>
            </w:r>
          </w:p>
        </w:tc>
        <w:tc>
          <w:tcPr>
            <w:tcW w:w="120" w:type="dxa"/>
            <w:vAlign w:val="bottom"/>
          </w:tcPr>
          <w:p>
            <w:pPr>
              <w:spacing w:after="0"/>
              <w:rPr>
                <w:sz w:val="20"/>
                <w:szCs w:val="20"/>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4,158</w:t>
            </w:r>
          </w:p>
        </w:tc>
        <w:tc>
          <w:tcPr>
            <w:tcW w:w="340" w:type="dxa"/>
            <w:vAlign w:val="bottom"/>
          </w:tcPr>
          <w:p>
            <w:pPr>
              <w:jc w:val="right"/>
              <w:ind w:right="107"/>
              <w:spacing w:after="0"/>
              <w:rPr>
                <w:sz w:val="20"/>
                <w:szCs w:val="20"/>
                <w:color w:val="auto"/>
              </w:rPr>
            </w:pPr>
            <w:r>
              <w:rPr>
                <w:rFonts w:ascii="Arial" w:cs="Arial" w:eastAsia="Arial" w:hAnsi="Arial"/>
                <w:sz w:val="11"/>
                <w:szCs w:val="11"/>
                <w:color w:val="auto"/>
              </w:rPr>
              <w:t>(3)</w:t>
            </w:r>
          </w:p>
        </w:tc>
        <w:tc>
          <w:tcPr>
            <w:tcW w:w="1880" w:type="dxa"/>
            <w:vAlign w:val="bottom"/>
            <w:gridSpan w:val="2"/>
          </w:tcPr>
          <w:p>
            <w:pPr>
              <w:jc w:val="right"/>
              <w:ind w:right="4"/>
              <w:spacing w:after="0"/>
              <w:rPr>
                <w:sz w:val="20"/>
                <w:szCs w:val="20"/>
                <w:color w:val="auto"/>
              </w:rPr>
            </w:pPr>
            <w:r>
              <w:rPr>
                <w:rFonts w:ascii="Arial" w:cs="Arial" w:eastAsia="Arial" w:hAnsi="Arial"/>
                <w:sz w:val="16"/>
                <w:szCs w:val="16"/>
                <w:color w:val="auto"/>
              </w:rPr>
              <w:t>860,540</w:t>
            </w: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6"/>
                <w:szCs w:val="16"/>
                <w:color w:val="auto"/>
              </w:rPr>
              <w:t>2/13/2023</w:t>
            </w:r>
          </w:p>
        </w:tc>
        <w:tc>
          <w:tcPr>
            <w:tcW w:w="120" w:type="dxa"/>
            <w:vAlign w:val="bottom"/>
          </w:tcPr>
          <w:p>
            <w:pPr>
              <w:spacing w:after="0"/>
              <w:rPr>
                <w:sz w:val="18"/>
                <w:szCs w:val="18"/>
                <w:color w:val="auto"/>
              </w:rPr>
            </w:pPr>
          </w:p>
        </w:tc>
        <w:tc>
          <w:tcPr>
            <w:tcW w:w="1320" w:type="dxa"/>
            <w:vAlign w:val="bottom"/>
            <w:tcBorders>
              <w:top w:val="single" w:sz="8" w:color="939598"/>
              <w:bottom w:val="single" w:sz="8" w:color="939598"/>
            </w:tcBorders>
          </w:tcPr>
          <w:p>
            <w:pPr>
              <w:jc w:val="right"/>
              <w:ind w:right="3"/>
              <w:spacing w:after="0"/>
              <w:rPr>
                <w:sz w:val="20"/>
                <w:szCs w:val="20"/>
                <w:color w:val="auto"/>
              </w:rPr>
            </w:pPr>
            <w:r>
              <w:rPr>
                <w:rFonts w:ascii="Arial" w:cs="Arial" w:eastAsia="Arial" w:hAnsi="Arial"/>
                <w:sz w:val="16"/>
                <w:szCs w:val="16"/>
                <w:color w:val="auto"/>
              </w:rPr>
              <w:t>4,226</w:t>
            </w:r>
          </w:p>
        </w:tc>
        <w:tc>
          <w:tcPr>
            <w:tcW w:w="120" w:type="dxa"/>
            <w:vAlign w:val="bottom"/>
          </w:tcPr>
          <w:p>
            <w:pPr>
              <w:spacing w:after="0"/>
              <w:rPr>
                <w:sz w:val="18"/>
                <w:szCs w:val="18"/>
                <w:color w:val="auto"/>
              </w:rPr>
            </w:pPr>
          </w:p>
        </w:tc>
        <w:tc>
          <w:tcPr>
            <w:tcW w:w="132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6"/>
                <w:szCs w:val="16"/>
                <w:color w:val="auto"/>
              </w:rPr>
              <w:t>874,613</w:t>
            </w:r>
          </w:p>
        </w:tc>
        <w:tc>
          <w:tcPr>
            <w:tcW w:w="120" w:type="dxa"/>
            <w:vAlign w:val="bottom"/>
          </w:tcPr>
          <w:p>
            <w:pPr>
              <w:spacing w:after="0"/>
              <w:rPr>
                <w:sz w:val="18"/>
                <w:szCs w:val="18"/>
                <w:color w:val="auto"/>
              </w:rPr>
            </w:pPr>
          </w:p>
        </w:tc>
        <w:tc>
          <w:tcPr>
            <w:tcW w:w="178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939598"/>
              <w:bottom w:val="single" w:sz="8" w:color="939598"/>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top w:val="single" w:sz="8" w:color="939598"/>
              <w:bottom w:val="single" w:sz="8" w:color="939598"/>
            </w:tcBorders>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70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2/13/2023</w:t>
            </w:r>
          </w:p>
        </w:tc>
        <w:tc>
          <w:tcPr>
            <w:tcW w:w="120" w:type="dxa"/>
            <w:vAlign w:val="bottom"/>
          </w:tcPr>
          <w:p>
            <w:pPr>
              <w:spacing w:after="0"/>
              <w:rPr>
                <w:sz w:val="20"/>
                <w:szCs w:val="20"/>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7,516</w:t>
            </w:r>
          </w:p>
        </w:tc>
        <w:tc>
          <w:tcPr>
            <w:tcW w:w="340" w:type="dxa"/>
            <w:vAlign w:val="bottom"/>
          </w:tcPr>
          <w:p>
            <w:pPr>
              <w:jc w:val="right"/>
              <w:ind w:right="107"/>
              <w:spacing w:after="0"/>
              <w:rPr>
                <w:sz w:val="20"/>
                <w:szCs w:val="20"/>
                <w:color w:val="auto"/>
              </w:rPr>
            </w:pPr>
            <w:r>
              <w:rPr>
                <w:rFonts w:ascii="Arial" w:cs="Arial" w:eastAsia="Arial" w:hAnsi="Arial"/>
                <w:sz w:val="11"/>
                <w:szCs w:val="11"/>
                <w:color w:val="auto"/>
              </w:rPr>
              <w:t>(4)</w:t>
            </w:r>
          </w:p>
        </w:tc>
        <w:tc>
          <w:tcPr>
            <w:tcW w:w="1880" w:type="dxa"/>
            <w:vAlign w:val="bottom"/>
            <w:gridSpan w:val="2"/>
          </w:tcPr>
          <w:p>
            <w:pPr>
              <w:jc w:val="right"/>
              <w:ind w:right="4"/>
              <w:spacing w:after="0"/>
              <w:rPr>
                <w:sz w:val="20"/>
                <w:szCs w:val="20"/>
                <w:color w:val="auto"/>
              </w:rPr>
            </w:pPr>
            <w:r>
              <w:rPr>
                <w:rFonts w:ascii="Arial" w:cs="Arial" w:eastAsia="Arial" w:hAnsi="Arial"/>
                <w:sz w:val="16"/>
                <w:szCs w:val="16"/>
                <w:color w:val="auto"/>
              </w:rPr>
              <w:t>1,555,511</w:t>
            </w: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6"/>
                <w:szCs w:val="16"/>
                <w:color w:val="auto"/>
              </w:rPr>
              <w:t>2/12/2024</w:t>
            </w:r>
          </w:p>
        </w:tc>
        <w:tc>
          <w:tcPr>
            <w:tcW w:w="120" w:type="dxa"/>
            <w:vAlign w:val="bottom"/>
          </w:tcPr>
          <w:p>
            <w:pPr>
              <w:spacing w:after="0"/>
              <w:rPr>
                <w:sz w:val="18"/>
                <w:szCs w:val="18"/>
                <w:color w:val="auto"/>
              </w:rPr>
            </w:pPr>
          </w:p>
        </w:tc>
        <w:tc>
          <w:tcPr>
            <w:tcW w:w="1320" w:type="dxa"/>
            <w:vAlign w:val="bottom"/>
            <w:tcBorders>
              <w:top w:val="single" w:sz="8" w:color="939598"/>
              <w:bottom w:val="single" w:sz="8" w:color="939598"/>
            </w:tcBorders>
          </w:tcPr>
          <w:p>
            <w:pPr>
              <w:jc w:val="right"/>
              <w:ind w:right="3"/>
              <w:spacing w:after="0"/>
              <w:rPr>
                <w:sz w:val="20"/>
                <w:szCs w:val="20"/>
                <w:color w:val="auto"/>
              </w:rPr>
            </w:pPr>
            <w:r>
              <w:rPr>
                <w:rFonts w:ascii="Arial" w:cs="Arial" w:eastAsia="Arial" w:hAnsi="Arial"/>
                <w:sz w:val="16"/>
                <w:szCs w:val="16"/>
                <w:color w:val="auto"/>
              </w:rPr>
              <w:t>8,940</w:t>
            </w:r>
          </w:p>
        </w:tc>
        <w:tc>
          <w:tcPr>
            <w:tcW w:w="120" w:type="dxa"/>
            <w:vAlign w:val="bottom"/>
          </w:tcPr>
          <w:p>
            <w:pPr>
              <w:spacing w:after="0"/>
              <w:rPr>
                <w:sz w:val="18"/>
                <w:szCs w:val="18"/>
                <w:color w:val="auto"/>
              </w:rPr>
            </w:pPr>
          </w:p>
        </w:tc>
        <w:tc>
          <w:tcPr>
            <w:tcW w:w="132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6"/>
                <w:szCs w:val="16"/>
                <w:color w:val="auto"/>
              </w:rPr>
              <w:t>1,850,222</w:t>
            </w:r>
          </w:p>
        </w:tc>
        <w:tc>
          <w:tcPr>
            <w:tcW w:w="120" w:type="dxa"/>
            <w:vAlign w:val="bottom"/>
          </w:tcPr>
          <w:p>
            <w:pPr>
              <w:spacing w:after="0"/>
              <w:rPr>
                <w:sz w:val="18"/>
                <w:szCs w:val="18"/>
                <w:color w:val="auto"/>
              </w:rPr>
            </w:pPr>
          </w:p>
        </w:tc>
        <w:tc>
          <w:tcPr>
            <w:tcW w:w="1780" w:type="dxa"/>
            <w:vAlign w:val="bottom"/>
            <w:tcBorders>
              <w:top w:val="single" w:sz="8" w:color="939598"/>
              <w:bottom w:val="single" w:sz="8" w:color="939598"/>
            </w:tcBorders>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939598"/>
              <w:bottom w:val="single" w:sz="8" w:color="939598"/>
            </w:tcBorders>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tcBorders>
              <w:top w:val="single" w:sz="8" w:color="939598"/>
              <w:bottom w:val="single" w:sz="8" w:color="939598"/>
            </w:tcBorders>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270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Arial" w:cs="Arial" w:eastAsia="Arial" w:hAnsi="Arial"/>
                <w:sz w:val="16"/>
                <w:szCs w:val="16"/>
                <w:color w:val="auto"/>
              </w:rPr>
              <w:t>2/12/2024</w:t>
            </w:r>
          </w:p>
        </w:tc>
        <w:tc>
          <w:tcPr>
            <w:tcW w:w="120" w:type="dxa"/>
            <w:vAlign w:val="bottom"/>
          </w:tcPr>
          <w:p>
            <w:pPr>
              <w:spacing w:after="0"/>
              <w:rPr>
                <w:sz w:val="20"/>
                <w:szCs w:val="20"/>
                <w:color w:val="auto"/>
              </w:rPr>
            </w:pPr>
          </w:p>
        </w:tc>
        <w:tc>
          <w:tcPr>
            <w:tcW w:w="1320" w:type="dxa"/>
            <w:vAlign w:val="bottom"/>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w:t>
            </w:r>
          </w:p>
        </w:tc>
        <w:tc>
          <w:tcPr>
            <w:tcW w:w="1900" w:type="dxa"/>
            <w:vAlign w:val="bottom"/>
            <w:gridSpan w:val="2"/>
          </w:tcPr>
          <w:p>
            <w:pPr>
              <w:jc w:val="right"/>
              <w:spacing w:after="0"/>
              <w:rPr>
                <w:sz w:val="20"/>
                <w:szCs w:val="20"/>
                <w:color w:val="auto"/>
              </w:rPr>
            </w:pPr>
            <w:r>
              <w:rPr>
                <w:rFonts w:ascii="Arial" w:cs="Arial" w:eastAsia="Arial" w:hAnsi="Arial"/>
                <w:sz w:val="16"/>
                <w:szCs w:val="16"/>
                <w:color w:val="auto"/>
              </w:rPr>
              <w:t>8,940</w:t>
            </w:r>
          </w:p>
        </w:tc>
        <w:tc>
          <w:tcPr>
            <w:tcW w:w="340" w:type="dxa"/>
            <w:vAlign w:val="bottom"/>
          </w:tcPr>
          <w:p>
            <w:pPr>
              <w:jc w:val="right"/>
              <w:ind w:right="107"/>
              <w:spacing w:after="0"/>
              <w:rPr>
                <w:sz w:val="20"/>
                <w:szCs w:val="20"/>
                <w:color w:val="auto"/>
              </w:rPr>
            </w:pPr>
            <w:r>
              <w:rPr>
                <w:rFonts w:ascii="Arial" w:cs="Arial" w:eastAsia="Arial" w:hAnsi="Arial"/>
                <w:sz w:val="11"/>
                <w:szCs w:val="11"/>
                <w:color w:val="auto"/>
              </w:rPr>
              <w:t>(5)</w:t>
            </w:r>
          </w:p>
        </w:tc>
        <w:tc>
          <w:tcPr>
            <w:tcW w:w="1880" w:type="dxa"/>
            <w:vAlign w:val="bottom"/>
            <w:gridSpan w:val="2"/>
          </w:tcPr>
          <w:p>
            <w:pPr>
              <w:jc w:val="right"/>
              <w:ind w:right="4"/>
              <w:spacing w:after="0"/>
              <w:rPr>
                <w:sz w:val="20"/>
                <w:szCs w:val="20"/>
                <w:color w:val="auto"/>
              </w:rPr>
            </w:pPr>
            <w:r>
              <w:rPr>
                <w:rFonts w:ascii="Arial" w:cs="Arial" w:eastAsia="Arial" w:hAnsi="Arial"/>
                <w:sz w:val="16"/>
                <w:szCs w:val="16"/>
                <w:color w:val="auto"/>
              </w:rPr>
              <w:t>1,850,222</w:t>
            </w:r>
          </w:p>
        </w:tc>
        <w:tc>
          <w:tcPr>
            <w:tcW w:w="0" w:type="dxa"/>
            <w:vAlign w:val="bottom"/>
          </w:tcPr>
          <w:p>
            <w:pPr>
              <w:spacing w:after="0"/>
              <w:rPr>
                <w:sz w:val="1"/>
                <w:szCs w:val="1"/>
                <w:color w:val="auto"/>
              </w:rPr>
            </w:pPr>
          </w:p>
        </w:tc>
      </w:tr>
      <w:tr>
        <w:trPr>
          <w:trHeight w:val="210"/>
        </w:trPr>
        <w:tc>
          <w:tcPr>
            <w:tcW w:w="2700" w:type="dxa"/>
            <w:vAlign w:val="bottom"/>
            <w:tcBorders>
              <w:top w:val="single" w:sz="8" w:color="939598"/>
              <w:bottom w:val="single" w:sz="8" w:color="939598"/>
            </w:tcBorders>
            <w:shd w:val="clear" w:color="auto" w:fill="E5E5E5"/>
          </w:tcPr>
          <w:p>
            <w:pPr>
              <w:ind w:left="60"/>
              <w:spacing w:after="0"/>
              <w:rPr>
                <w:sz w:val="20"/>
                <w:szCs w:val="20"/>
                <w:color w:val="auto"/>
              </w:rPr>
            </w:pPr>
            <w:r>
              <w:rPr>
                <w:rFonts w:ascii="Arial" w:cs="Arial" w:eastAsia="Arial" w:hAnsi="Arial"/>
                <w:sz w:val="16"/>
                <w:szCs w:val="16"/>
                <w:b w:val="1"/>
                <w:bCs w:val="1"/>
                <w:color w:val="004A98"/>
              </w:rPr>
              <w:t>Todd B. Strubbe</w:t>
            </w:r>
          </w:p>
        </w:tc>
        <w:tc>
          <w:tcPr>
            <w:tcW w:w="120" w:type="dxa"/>
            <w:vAlign w:val="bottom"/>
            <w:tcBorders>
              <w:right w:val="single" w:sz="8" w:color="E6E7E8"/>
            </w:tcBorders>
          </w:tcPr>
          <w:p>
            <w:pPr>
              <w:spacing w:after="0"/>
              <w:rPr>
                <w:sz w:val="18"/>
                <w:szCs w:val="18"/>
                <w:color w:val="auto"/>
              </w:rPr>
            </w:pPr>
          </w:p>
        </w:tc>
        <w:tc>
          <w:tcPr>
            <w:tcW w:w="1420" w:type="dxa"/>
            <w:vAlign w:val="bottom"/>
            <w:tcBorders>
              <w:top w:val="single" w:sz="8" w:color="939598"/>
              <w:bottom w:val="single" w:sz="8" w:color="939598"/>
            </w:tcBorders>
            <w:shd w:val="clear" w:color="auto" w:fill="E6E7E8"/>
          </w:tcPr>
          <w:p>
            <w:pPr>
              <w:spacing w:after="0"/>
              <w:rPr>
                <w:sz w:val="18"/>
                <w:szCs w:val="18"/>
                <w:color w:val="auto"/>
              </w:rPr>
            </w:pPr>
          </w:p>
        </w:tc>
        <w:tc>
          <w:tcPr>
            <w:tcW w:w="120" w:type="dxa"/>
            <w:vAlign w:val="bottom"/>
            <w:tcBorders>
              <w:right w:val="single" w:sz="8" w:color="E6E7E8"/>
            </w:tcBorders>
          </w:tcPr>
          <w:p>
            <w:pPr>
              <w:spacing w:after="0"/>
              <w:rPr>
                <w:sz w:val="18"/>
                <w:szCs w:val="18"/>
                <w:color w:val="auto"/>
              </w:rPr>
            </w:pPr>
          </w:p>
        </w:tc>
        <w:tc>
          <w:tcPr>
            <w:tcW w:w="1320" w:type="dxa"/>
            <w:vAlign w:val="bottom"/>
            <w:tcBorders>
              <w:top w:val="single" w:sz="8" w:color="939598"/>
              <w:bottom w:val="single" w:sz="8" w:color="939598"/>
            </w:tcBorders>
            <w:shd w:val="clear" w:color="auto" w:fill="E6E7E8"/>
          </w:tcPr>
          <w:p>
            <w:pPr>
              <w:jc w:val="right"/>
              <w:ind w:right="3"/>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132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right w:val="single" w:sz="8" w:color="E6E7E8"/>
            </w:tcBorders>
          </w:tcPr>
          <w:p>
            <w:pPr>
              <w:spacing w:after="0"/>
              <w:rPr>
                <w:sz w:val="18"/>
                <w:szCs w:val="18"/>
                <w:color w:val="auto"/>
              </w:rPr>
            </w:pPr>
          </w:p>
        </w:tc>
        <w:tc>
          <w:tcPr>
            <w:tcW w:w="178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939598"/>
              <w:bottom w:val="single" w:sz="8" w:color="939598"/>
            </w:tcBorders>
            <w:shd w:val="clear" w:color="auto" w:fill="E6E7E8"/>
          </w:tcPr>
          <w:p>
            <w:pPr>
              <w:spacing w:after="0"/>
              <w:rPr>
                <w:sz w:val="18"/>
                <w:szCs w:val="18"/>
                <w:color w:val="auto"/>
              </w:rPr>
            </w:pPr>
          </w:p>
        </w:tc>
        <w:tc>
          <w:tcPr>
            <w:tcW w:w="120" w:type="dxa"/>
            <w:vAlign w:val="bottom"/>
            <w:tcBorders>
              <w:right w:val="single" w:sz="8" w:color="E6E7E8"/>
            </w:tcBorders>
          </w:tcPr>
          <w:p>
            <w:pPr>
              <w:spacing w:after="0"/>
              <w:rPr>
                <w:sz w:val="18"/>
                <w:szCs w:val="18"/>
                <w:color w:val="auto"/>
              </w:rPr>
            </w:pPr>
          </w:p>
        </w:tc>
        <w:tc>
          <w:tcPr>
            <w:tcW w:w="1760" w:type="dxa"/>
            <w:vAlign w:val="bottom"/>
            <w:tcBorders>
              <w:top w:val="single" w:sz="8" w:color="939598"/>
              <w:bottom w:val="single" w:sz="8" w:color="939598"/>
            </w:tcBorders>
            <w:shd w:val="clear" w:color="auto" w:fill="E6E7E8"/>
          </w:tcPr>
          <w:p>
            <w:pPr>
              <w:jc w:val="right"/>
              <w:ind w:right="4"/>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40" w:hanging="252"/>
        <w:spacing w:after="0" w:line="222" w:lineRule="auto"/>
        <w:tabs>
          <w:tab w:leader="none" w:pos="264"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The RSU awards vest 25% of the total award on approximately the first anniversary of the date of grant and then vests 6.25% of the total award each quarter thereafter until fully vested.</w:t>
      </w:r>
    </w:p>
    <w:p>
      <w:pPr>
        <w:spacing w:after="0" w:line="53"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34"/>
        </w:numPr>
        <w:rPr>
          <w:rFonts w:ascii="Arial" w:cs="Arial" w:eastAsia="Arial" w:hAnsi="Arial"/>
          <w:sz w:val="9"/>
          <w:szCs w:val="9"/>
          <w:color w:val="auto"/>
        </w:rPr>
      </w:pPr>
      <w:r>
        <w:rPr>
          <w:rFonts w:ascii="Arial" w:cs="Arial" w:eastAsia="Arial" w:hAnsi="Arial"/>
          <w:sz w:val="14"/>
          <w:szCs w:val="14"/>
          <w:color w:val="auto"/>
        </w:rPr>
        <w:t>The market value is calculated by multiplying the number of shares by the closing price of our common stock on December 31, 2024, which was $206.96 per share.</w:t>
      </w:r>
    </w:p>
    <w:p>
      <w:pPr>
        <w:spacing w:after="0" w:line="95" w:lineRule="exact"/>
        <w:rPr>
          <w:rFonts w:ascii="Arial" w:cs="Arial" w:eastAsia="Arial" w:hAnsi="Arial"/>
          <w:sz w:val="9"/>
          <w:szCs w:val="9"/>
          <w:color w:val="auto"/>
        </w:rPr>
      </w:pPr>
    </w:p>
    <w:p>
      <w:pPr>
        <w:ind w:left="260" w:right="320" w:hanging="252"/>
        <w:spacing w:after="0" w:line="234" w:lineRule="auto"/>
        <w:tabs>
          <w:tab w:leader="none" w:pos="264" w:val="left"/>
        </w:tabs>
        <w:numPr>
          <w:ilvl w:val="0"/>
          <w:numId w:val="34"/>
        </w:numPr>
        <w:rPr>
          <w:rFonts w:ascii="Arial" w:cs="Arial" w:eastAsia="Arial" w:hAnsi="Arial"/>
          <w:sz w:val="19"/>
          <w:szCs w:val="19"/>
          <w:color w:val="auto"/>
          <w:vertAlign w:val="superscript"/>
        </w:rPr>
      </w:pPr>
      <w:r>
        <w:rPr>
          <w:rFonts w:ascii="Arial" w:cs="Arial" w:eastAsia="Arial" w:hAnsi="Arial"/>
          <w:sz w:val="14"/>
          <w:szCs w:val="14"/>
          <w:color w:val="auto"/>
        </w:rPr>
        <w:t>The Compensation Committee granted PSUs on February 14, 2022, and on April 25, 2022, to be earned based on Company performance in 2022, 2023, and 2024 as determined after the end of 2024. The number of shares shown reflects actual achievement of 74% of target. These PSUs vested on the date the Company received an unqualified signed opinion on the Company’s financial statements from its independent registered public accounting firm on February 13, 2025.</w:t>
      </w:r>
    </w:p>
    <w:p>
      <w:pPr>
        <w:spacing w:after="0" w:line="283"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Executive Compensation Tables</w:t>
      </w:r>
    </w:p>
    <w:p>
      <w:pPr>
        <w:spacing w:after="0" w:line="280" w:lineRule="exact"/>
        <w:rPr>
          <w:sz w:val="20"/>
          <w:szCs w:val="20"/>
          <w:color w:val="auto"/>
        </w:rPr>
      </w:pPr>
    </w:p>
    <w:p>
      <w:pPr>
        <w:ind w:left="260" w:right="100" w:hanging="252"/>
        <w:spacing w:after="0" w:line="283" w:lineRule="auto"/>
        <w:tabs>
          <w:tab w:leader="none" w:pos="264" w:val="left"/>
        </w:tabs>
        <w:numPr>
          <w:ilvl w:val="0"/>
          <w:numId w:val="35"/>
        </w:numPr>
        <w:rPr>
          <w:rFonts w:ascii="Arial" w:cs="Arial" w:eastAsia="Arial" w:hAnsi="Arial"/>
          <w:sz w:val="9"/>
          <w:szCs w:val="9"/>
          <w:color w:val="auto"/>
        </w:rPr>
      </w:pPr>
      <w:r>
        <w:rPr>
          <w:rFonts w:ascii="Arial" w:cs="Arial" w:eastAsia="Arial" w:hAnsi="Arial"/>
          <w:sz w:val="14"/>
          <w:szCs w:val="14"/>
          <w:color w:val="auto"/>
        </w:rPr>
        <w:t>The Compensation Committee granted PSUs on February 13, 2023, to be earned based on Company performance in 2023, 2024, and 2025 as determined after the end of 2025. The number of shares shown reflects achievement of the target performance level based on Company performance and relative TSR of Verisign compared to the TSR of the S&amp;P 500 for 2023 and 2024.</w:t>
      </w:r>
    </w:p>
    <w:p>
      <w:pPr>
        <w:spacing w:after="0" w:line="24" w:lineRule="exact"/>
        <w:rPr>
          <w:rFonts w:ascii="Arial" w:cs="Arial" w:eastAsia="Arial" w:hAnsi="Arial"/>
          <w:sz w:val="9"/>
          <w:szCs w:val="9"/>
          <w:color w:val="auto"/>
        </w:rPr>
      </w:pPr>
    </w:p>
    <w:p>
      <w:pPr>
        <w:ind w:left="260" w:right="100" w:hanging="252"/>
        <w:spacing w:after="0"/>
        <w:tabs>
          <w:tab w:leader="none" w:pos="264" w:val="left"/>
        </w:tabs>
        <w:numPr>
          <w:ilvl w:val="0"/>
          <w:numId w:val="35"/>
        </w:numPr>
        <w:rPr>
          <w:rFonts w:ascii="Arial" w:cs="Arial" w:eastAsia="Arial" w:hAnsi="Arial"/>
          <w:sz w:val="19"/>
          <w:szCs w:val="19"/>
          <w:color w:val="auto"/>
          <w:vertAlign w:val="superscript"/>
        </w:rPr>
      </w:pPr>
      <w:r>
        <w:rPr>
          <w:rFonts w:ascii="Arial" w:cs="Arial" w:eastAsia="Arial" w:hAnsi="Arial"/>
          <w:sz w:val="14"/>
          <w:szCs w:val="14"/>
          <w:color w:val="auto"/>
        </w:rPr>
        <w:t>The Compensation Committee granted PSUs on February 12, 2024, to be earned based on Company performance in 2024, 2025, and 2026 as determined after the end of 2026. The number of shares shown reflects achievement of the target performance level based on Company performance and relative TSR of Verisign compared to the TSR of the S&amp;P 500 for 2024.</w:t>
      </w:r>
    </w:p>
    <w:p>
      <w:pPr>
        <w:spacing w:after="0" w:line="54" w:lineRule="exact"/>
        <w:rPr>
          <w:sz w:val="20"/>
          <w:szCs w:val="20"/>
          <w:color w:val="auto"/>
        </w:rPr>
      </w:pPr>
    </w:p>
    <w:p>
      <w:pPr>
        <w:ind w:left="340"/>
        <w:spacing w:after="0"/>
        <w:rPr>
          <w:sz w:val="20"/>
          <w:szCs w:val="20"/>
          <w:color w:val="auto"/>
        </w:rPr>
      </w:pPr>
      <w:r>
        <w:rPr>
          <w:rFonts w:ascii="Arial" w:cs="Arial" w:eastAsia="Arial" w:hAnsi="Arial"/>
          <w:sz w:val="14"/>
          <w:szCs w:val="14"/>
          <w:color w:val="auto"/>
        </w:rPr>
        <w:t>Note: All of Mr. Strubbe’s outstanding awards were forfeited upon his retirement in April 2024.</w:t>
      </w:r>
    </w:p>
    <w:p>
      <w:pPr>
        <w:spacing w:after="0" w:line="318"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Stock Vested in 2024</w:t>
      </w:r>
    </w:p>
    <w:p>
      <w:pPr>
        <w:spacing w:after="0" w:line="134" w:lineRule="exact"/>
        <w:rPr>
          <w:sz w:val="20"/>
          <w:szCs w:val="20"/>
          <w:color w:val="auto"/>
        </w:rPr>
      </w:pPr>
    </w:p>
    <w:p>
      <w:pPr>
        <w:ind w:right="60"/>
        <w:spacing w:after="0" w:line="304" w:lineRule="auto"/>
        <w:rPr>
          <w:sz w:val="20"/>
          <w:szCs w:val="20"/>
          <w:color w:val="auto"/>
        </w:rPr>
      </w:pPr>
      <w:r>
        <w:rPr>
          <w:rFonts w:ascii="Arial" w:cs="Arial" w:eastAsia="Arial" w:hAnsi="Arial"/>
          <w:sz w:val="16"/>
          <w:szCs w:val="16"/>
          <w:color w:val="auto"/>
        </w:rPr>
        <w:t>The following table shows all stock awards vested and the value realized upon vesting by our NEOs during 2024. No stock options were exercised by any of our NEOs during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47625</wp:posOffset>
            </wp:positionV>
            <wp:extent cx="713232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600" w:type="dxa"/>
            <w:vAlign w:val="bottom"/>
          </w:tcPr>
          <w:p>
            <w:pPr>
              <w:spacing w:after="0"/>
              <w:rPr>
                <w:sz w:val="15"/>
                <w:szCs w:val="15"/>
                <w:color w:val="auto"/>
              </w:rPr>
            </w:pPr>
          </w:p>
        </w:tc>
        <w:tc>
          <w:tcPr>
            <w:tcW w:w="140" w:type="dxa"/>
            <w:vAlign w:val="bottom"/>
            <w:tcBorders>
              <w:right w:val="single" w:sz="8" w:color="auto"/>
            </w:tcBorders>
          </w:tcPr>
          <w:p>
            <w:pPr>
              <w:spacing w:after="0"/>
              <w:rPr>
                <w:sz w:val="15"/>
                <w:szCs w:val="15"/>
                <w:color w:val="auto"/>
              </w:rPr>
            </w:pPr>
          </w:p>
        </w:tc>
        <w:tc>
          <w:tcPr>
            <w:tcW w:w="2500" w:type="dxa"/>
            <w:vAlign w:val="bottom"/>
            <w:tcBorders>
              <w:bottom w:val="single" w:sz="8" w:color="auto"/>
            </w:tcBorders>
            <w:gridSpan w:val="3"/>
          </w:tcPr>
          <w:p>
            <w:pPr>
              <w:jc w:val="right"/>
              <w:ind w:right="666"/>
              <w:spacing w:after="0"/>
              <w:rPr>
                <w:sz w:val="20"/>
                <w:szCs w:val="20"/>
                <w:color w:val="auto"/>
              </w:rPr>
            </w:pPr>
            <w:r>
              <w:rPr>
                <w:rFonts w:ascii="Arial" w:cs="Arial" w:eastAsia="Arial" w:hAnsi="Arial"/>
                <w:sz w:val="13"/>
                <w:szCs w:val="13"/>
                <w:b w:val="1"/>
                <w:bCs w:val="1"/>
                <w:color w:val="auto"/>
              </w:rPr>
              <w:t>STOCK AWARDS</w:t>
            </w:r>
          </w:p>
        </w:tc>
        <w:tc>
          <w:tcPr>
            <w:tcW w:w="0" w:type="dxa"/>
            <w:vAlign w:val="bottom"/>
          </w:tcPr>
          <w:p>
            <w:pPr>
              <w:spacing w:after="0"/>
              <w:rPr>
                <w:sz w:val="1"/>
                <w:szCs w:val="1"/>
                <w:color w:val="auto"/>
              </w:rPr>
            </w:pPr>
          </w:p>
        </w:tc>
      </w:tr>
      <w:tr>
        <w:trPr>
          <w:trHeight w:val="115"/>
        </w:trPr>
        <w:tc>
          <w:tcPr>
            <w:tcW w:w="8600" w:type="dxa"/>
            <w:vAlign w:val="bottom"/>
          </w:tcPr>
          <w:p>
            <w:pPr>
              <w:spacing w:after="0"/>
              <w:rPr>
                <w:sz w:val="10"/>
                <w:szCs w:val="10"/>
                <w:color w:val="auto"/>
              </w:rPr>
            </w:pPr>
          </w:p>
        </w:tc>
        <w:tc>
          <w:tcPr>
            <w:tcW w:w="140" w:type="dxa"/>
            <w:vAlign w:val="bottom"/>
            <w:tcBorders>
              <w:right w:val="single" w:sz="8" w:color="auto"/>
            </w:tcBorders>
          </w:tcPr>
          <w:p>
            <w:pPr>
              <w:spacing w:after="0"/>
              <w:rPr>
                <w:sz w:val="10"/>
                <w:szCs w:val="10"/>
                <w:color w:val="auto"/>
              </w:rPr>
            </w:pPr>
          </w:p>
        </w:tc>
        <w:tc>
          <w:tcPr>
            <w:tcW w:w="1240" w:type="dxa"/>
            <w:vAlign w:val="bottom"/>
          </w:tcPr>
          <w:p>
            <w:pPr>
              <w:jc w:val="right"/>
              <w:spacing w:after="0" w:line="115" w:lineRule="exact"/>
              <w:rPr>
                <w:sz w:val="20"/>
                <w:szCs w:val="20"/>
                <w:color w:val="auto"/>
              </w:rPr>
            </w:pPr>
            <w:r>
              <w:rPr>
                <w:rFonts w:ascii="Arial" w:cs="Arial" w:eastAsia="Arial" w:hAnsi="Arial"/>
                <w:sz w:val="13"/>
                <w:szCs w:val="13"/>
                <w:b w:val="1"/>
                <w:bCs w:val="1"/>
                <w:color w:val="auto"/>
              </w:rPr>
              <w:t>NUMBER OF</w:t>
            </w:r>
          </w:p>
        </w:tc>
        <w:tc>
          <w:tcPr>
            <w:tcW w:w="120" w:type="dxa"/>
            <w:vAlign w:val="bottom"/>
            <w:tcBorders>
              <w:right w:val="single" w:sz="8" w:color="auto"/>
            </w:tcBorders>
          </w:tcPr>
          <w:p>
            <w:pPr>
              <w:spacing w:after="0"/>
              <w:rPr>
                <w:sz w:val="10"/>
                <w:szCs w:val="10"/>
                <w:color w:val="auto"/>
              </w:rPr>
            </w:pPr>
          </w:p>
        </w:tc>
        <w:tc>
          <w:tcPr>
            <w:tcW w:w="1140" w:type="dxa"/>
            <w:vAlign w:val="bottom"/>
            <w:vMerge w:val="restart"/>
          </w:tcPr>
          <w:p>
            <w:pPr>
              <w:jc w:val="right"/>
              <w:ind w:right="6"/>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77"/>
        </w:trPr>
        <w:tc>
          <w:tcPr>
            <w:tcW w:w="8600" w:type="dxa"/>
            <w:vAlign w:val="bottom"/>
          </w:tcPr>
          <w:p>
            <w:pPr>
              <w:spacing w:after="0"/>
              <w:rPr>
                <w:sz w:val="6"/>
                <w:szCs w:val="6"/>
                <w:color w:val="auto"/>
              </w:rPr>
            </w:pPr>
          </w:p>
        </w:tc>
        <w:tc>
          <w:tcPr>
            <w:tcW w:w="140" w:type="dxa"/>
            <w:vAlign w:val="bottom"/>
            <w:tcBorders>
              <w:right w:val="single" w:sz="8" w:color="auto"/>
            </w:tcBorders>
          </w:tcPr>
          <w:p>
            <w:pPr>
              <w:spacing w:after="0"/>
              <w:rPr>
                <w:sz w:val="6"/>
                <w:szCs w:val="6"/>
                <w:color w:val="auto"/>
              </w:rPr>
            </w:pPr>
          </w:p>
        </w:tc>
        <w:tc>
          <w:tcPr>
            <w:tcW w:w="1240" w:type="dxa"/>
            <w:vAlign w:val="bottom"/>
            <w:vMerge w:val="restart"/>
          </w:tcPr>
          <w:p>
            <w:pPr>
              <w:jc w:val="right"/>
              <w:spacing w:after="0" w:line="122" w:lineRule="exact"/>
              <w:rPr>
                <w:sz w:val="20"/>
                <w:szCs w:val="20"/>
                <w:color w:val="auto"/>
              </w:rPr>
            </w:pPr>
            <w:r>
              <w:rPr>
                <w:rFonts w:ascii="Arial" w:cs="Arial" w:eastAsia="Arial" w:hAnsi="Arial"/>
                <w:sz w:val="13"/>
                <w:szCs w:val="13"/>
                <w:b w:val="1"/>
                <w:bCs w:val="1"/>
                <w:color w:val="auto"/>
              </w:rPr>
              <w:t>SHARES</w:t>
            </w:r>
          </w:p>
        </w:tc>
        <w:tc>
          <w:tcPr>
            <w:tcW w:w="120" w:type="dxa"/>
            <w:vAlign w:val="bottom"/>
            <w:tcBorders>
              <w:right w:val="single" w:sz="8" w:color="auto"/>
            </w:tcBorders>
          </w:tcPr>
          <w:p>
            <w:pPr>
              <w:spacing w:after="0"/>
              <w:rPr>
                <w:sz w:val="6"/>
                <w:szCs w:val="6"/>
                <w:color w:val="auto"/>
              </w:rPr>
            </w:pPr>
          </w:p>
        </w:tc>
        <w:tc>
          <w:tcPr>
            <w:tcW w:w="11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8600" w:type="dxa"/>
            <w:vAlign w:val="bottom"/>
          </w:tcPr>
          <w:p>
            <w:pPr>
              <w:spacing w:after="0"/>
              <w:rPr>
                <w:sz w:val="3"/>
                <w:szCs w:val="3"/>
                <w:color w:val="auto"/>
              </w:rPr>
            </w:pPr>
          </w:p>
        </w:tc>
        <w:tc>
          <w:tcPr>
            <w:tcW w:w="140" w:type="dxa"/>
            <w:vAlign w:val="bottom"/>
            <w:tcBorders>
              <w:right w:val="single" w:sz="8" w:color="auto"/>
            </w:tcBorders>
          </w:tcPr>
          <w:p>
            <w:pPr>
              <w:spacing w:after="0"/>
              <w:rPr>
                <w:sz w:val="3"/>
                <w:szCs w:val="3"/>
                <w:color w:val="auto"/>
              </w:rPr>
            </w:pPr>
          </w:p>
        </w:tc>
        <w:tc>
          <w:tcPr>
            <w:tcW w:w="1240" w:type="dxa"/>
            <w:vAlign w:val="bottom"/>
            <w:vMerge w:val="continue"/>
          </w:tcPr>
          <w:p>
            <w:pPr>
              <w:spacing w:after="0"/>
              <w:rPr>
                <w:sz w:val="3"/>
                <w:szCs w:val="3"/>
                <w:color w:val="auto"/>
              </w:rPr>
            </w:pPr>
          </w:p>
        </w:tc>
        <w:tc>
          <w:tcPr>
            <w:tcW w:w="120" w:type="dxa"/>
            <w:vAlign w:val="bottom"/>
            <w:tcBorders>
              <w:right w:val="single" w:sz="8" w:color="auto"/>
            </w:tcBorders>
          </w:tcPr>
          <w:p>
            <w:pPr>
              <w:spacing w:after="0"/>
              <w:rPr>
                <w:sz w:val="3"/>
                <w:szCs w:val="3"/>
                <w:color w:val="auto"/>
              </w:rPr>
            </w:pPr>
          </w:p>
        </w:tc>
        <w:tc>
          <w:tcPr>
            <w:tcW w:w="114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REALIZED ON</w:t>
            </w:r>
          </w:p>
        </w:tc>
        <w:tc>
          <w:tcPr>
            <w:tcW w:w="0" w:type="dxa"/>
            <w:vAlign w:val="bottom"/>
          </w:tcPr>
          <w:p>
            <w:pPr>
              <w:spacing w:after="0"/>
              <w:rPr>
                <w:sz w:val="1"/>
                <w:szCs w:val="1"/>
                <w:color w:val="auto"/>
              </w:rPr>
            </w:pPr>
          </w:p>
        </w:tc>
      </w:tr>
      <w:tr>
        <w:trPr>
          <w:trHeight w:val="122"/>
        </w:trPr>
        <w:tc>
          <w:tcPr>
            <w:tcW w:w="860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NAME</w:t>
            </w:r>
          </w:p>
        </w:tc>
        <w:tc>
          <w:tcPr>
            <w:tcW w:w="140" w:type="dxa"/>
            <w:vAlign w:val="bottom"/>
            <w:tcBorders>
              <w:right w:val="single" w:sz="8" w:color="auto"/>
            </w:tcBorders>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3"/>
                <w:szCs w:val="13"/>
                <w:b w:val="1"/>
                <w:bCs w:val="1"/>
                <w:color w:val="auto"/>
              </w:rPr>
              <w:t>ACQUIRED ON</w:t>
            </w:r>
          </w:p>
        </w:tc>
        <w:tc>
          <w:tcPr>
            <w:tcW w:w="120" w:type="dxa"/>
            <w:vAlign w:val="bottom"/>
            <w:tcBorders>
              <w:right w:val="single" w:sz="8" w:color="auto"/>
            </w:tcBorders>
          </w:tcPr>
          <w:p>
            <w:pPr>
              <w:spacing w:after="0"/>
              <w:rPr>
                <w:sz w:val="10"/>
                <w:szCs w:val="10"/>
                <w:color w:val="auto"/>
              </w:rPr>
            </w:pP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8600" w:type="dxa"/>
            <w:vAlign w:val="bottom"/>
            <w:tcBorders>
              <w:bottom w:val="single" w:sz="8" w:color="auto"/>
            </w:tcBorders>
            <w:vMerge w:val="continue"/>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VESTING (#)</w:t>
            </w:r>
          </w:p>
        </w:tc>
        <w:tc>
          <w:tcPr>
            <w:tcW w:w="120" w:type="dxa"/>
            <w:vAlign w:val="bottom"/>
            <w:tcBorders>
              <w:right w:val="single" w:sz="8" w:color="auto"/>
            </w:tcBorders>
          </w:tcPr>
          <w:p>
            <w:pPr>
              <w:spacing w:after="0"/>
              <w:rPr>
                <w:sz w:val="16"/>
                <w:szCs w:val="16"/>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VESTING ($)</w:t>
            </w:r>
            <w:r>
              <w:rPr>
                <w:rFonts w:ascii="Arial" w:cs="Arial" w:eastAsia="Arial" w:hAnsi="Arial"/>
                <w:sz w:val="16"/>
                <w:szCs w:val="16"/>
                <w:b w:val="1"/>
                <w:bCs w:val="1"/>
                <w:color w:val="auto"/>
                <w:vertAlign w:val="superscript"/>
              </w:rPr>
              <w:t>(1)</w:t>
            </w:r>
          </w:p>
        </w:tc>
        <w:tc>
          <w:tcPr>
            <w:tcW w:w="0" w:type="dxa"/>
            <w:vAlign w:val="bottom"/>
          </w:tcPr>
          <w:p>
            <w:pPr>
              <w:spacing w:after="0"/>
              <w:rPr>
                <w:sz w:val="1"/>
                <w:szCs w:val="1"/>
                <w:color w:val="auto"/>
              </w:rPr>
            </w:pPr>
          </w:p>
        </w:tc>
      </w:tr>
      <w:tr>
        <w:trPr>
          <w:trHeight w:val="209"/>
        </w:trPr>
        <w:tc>
          <w:tcPr>
            <w:tcW w:w="8600" w:type="dxa"/>
            <w:vAlign w:val="bottom"/>
            <w:tcBorders>
              <w:bottom w:val="single" w:sz="8" w:color="939598"/>
            </w:tcBorders>
            <w:shd w:val="clear" w:color="auto" w:fill="E5E5E5"/>
          </w:tcPr>
          <w:p>
            <w:pPr>
              <w:ind w:left="60"/>
              <w:spacing w:after="0"/>
              <w:rPr>
                <w:sz w:val="20"/>
                <w:szCs w:val="20"/>
                <w:color w:val="auto"/>
              </w:rPr>
            </w:pPr>
            <w:r>
              <w:rPr>
                <w:rFonts w:ascii="Arial" w:cs="Arial" w:eastAsia="Arial" w:hAnsi="Arial"/>
                <w:sz w:val="16"/>
                <w:szCs w:val="16"/>
                <w:b w:val="1"/>
                <w:bCs w:val="1"/>
                <w:color w:val="004A98"/>
              </w:rPr>
              <w:t>D. James Bidzos</w:t>
            </w:r>
          </w:p>
        </w:tc>
        <w:tc>
          <w:tcPr>
            <w:tcW w:w="140" w:type="dxa"/>
            <w:vAlign w:val="bottom"/>
            <w:tcBorders>
              <w:right w:val="single" w:sz="8" w:color="E5E5E5"/>
            </w:tcBorders>
          </w:tcPr>
          <w:p>
            <w:pPr>
              <w:spacing w:after="0"/>
              <w:rPr>
                <w:sz w:val="18"/>
                <w:szCs w:val="18"/>
                <w:color w:val="auto"/>
              </w:rPr>
            </w:pPr>
          </w:p>
        </w:tc>
        <w:tc>
          <w:tcPr>
            <w:tcW w:w="12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33,949</w:t>
            </w:r>
          </w:p>
        </w:tc>
        <w:tc>
          <w:tcPr>
            <w:tcW w:w="120" w:type="dxa"/>
            <w:vAlign w:val="bottom"/>
            <w:tcBorders>
              <w:right w:val="single" w:sz="8" w:color="E6E7E8"/>
            </w:tcBorders>
          </w:tcPr>
          <w:p>
            <w:pPr>
              <w:spacing w:after="0"/>
              <w:rPr>
                <w:sz w:val="18"/>
                <w:szCs w:val="18"/>
                <w:color w:val="auto"/>
              </w:rPr>
            </w:pPr>
          </w:p>
        </w:tc>
        <w:tc>
          <w:tcPr>
            <w:tcW w:w="114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6,505,623</w:t>
            </w:r>
          </w:p>
        </w:tc>
        <w:tc>
          <w:tcPr>
            <w:tcW w:w="0" w:type="dxa"/>
            <w:vAlign w:val="bottom"/>
          </w:tcPr>
          <w:p>
            <w:pPr>
              <w:spacing w:after="0"/>
              <w:rPr>
                <w:sz w:val="1"/>
                <w:szCs w:val="1"/>
                <w:color w:val="auto"/>
              </w:rPr>
            </w:pPr>
          </w:p>
        </w:tc>
      </w:tr>
      <w:tr>
        <w:trPr>
          <w:trHeight w:val="209"/>
        </w:trPr>
        <w:tc>
          <w:tcPr>
            <w:tcW w:w="8600" w:type="dxa"/>
            <w:vAlign w:val="bottom"/>
            <w:tcBorders>
              <w:bottom w:val="single" w:sz="8" w:color="939598"/>
            </w:tcBorders>
          </w:tcPr>
          <w:p>
            <w:pPr>
              <w:ind w:left="60"/>
              <w:spacing w:after="0"/>
              <w:rPr>
                <w:sz w:val="20"/>
                <w:szCs w:val="20"/>
                <w:color w:val="auto"/>
              </w:rPr>
            </w:pPr>
            <w:r>
              <w:rPr>
                <w:rFonts w:ascii="Arial" w:cs="Arial" w:eastAsia="Arial" w:hAnsi="Arial"/>
                <w:sz w:val="16"/>
                <w:szCs w:val="16"/>
                <w:b w:val="1"/>
                <w:bCs w:val="1"/>
                <w:color w:val="004A98"/>
              </w:rPr>
              <w:t>Todd B. Strubbe</w:t>
            </w:r>
          </w:p>
        </w:tc>
        <w:tc>
          <w:tcPr>
            <w:tcW w:w="140" w:type="dxa"/>
            <w:vAlign w:val="bottom"/>
          </w:tcPr>
          <w:p>
            <w:pPr>
              <w:spacing w:after="0"/>
              <w:rPr>
                <w:sz w:val="18"/>
                <w:szCs w:val="18"/>
                <w:color w:val="auto"/>
              </w:rPr>
            </w:pPr>
          </w:p>
        </w:tc>
        <w:tc>
          <w:tcPr>
            <w:tcW w:w="12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8,870</w:t>
            </w:r>
          </w:p>
        </w:tc>
        <w:tc>
          <w:tcPr>
            <w:tcW w:w="120" w:type="dxa"/>
            <w:vAlign w:val="bottom"/>
          </w:tcPr>
          <w:p>
            <w:pPr>
              <w:spacing w:after="0"/>
              <w:rPr>
                <w:sz w:val="18"/>
                <w:szCs w:val="18"/>
                <w:color w:val="auto"/>
              </w:rPr>
            </w:pPr>
          </w:p>
        </w:tc>
        <w:tc>
          <w:tcPr>
            <w:tcW w:w="11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1,754,663</w:t>
            </w:r>
          </w:p>
        </w:tc>
        <w:tc>
          <w:tcPr>
            <w:tcW w:w="0" w:type="dxa"/>
            <w:vAlign w:val="bottom"/>
          </w:tcPr>
          <w:p>
            <w:pPr>
              <w:spacing w:after="0"/>
              <w:rPr>
                <w:sz w:val="1"/>
                <w:szCs w:val="1"/>
                <w:color w:val="auto"/>
              </w:rPr>
            </w:pPr>
          </w:p>
        </w:tc>
      </w:tr>
      <w:tr>
        <w:trPr>
          <w:trHeight w:val="210"/>
        </w:trPr>
        <w:tc>
          <w:tcPr>
            <w:tcW w:w="8600" w:type="dxa"/>
            <w:vAlign w:val="bottom"/>
            <w:tcBorders>
              <w:bottom w:val="single" w:sz="8" w:color="939598"/>
            </w:tcBorders>
            <w:shd w:val="clear" w:color="auto" w:fill="E5E5E5"/>
          </w:tcPr>
          <w:p>
            <w:pPr>
              <w:ind w:left="60"/>
              <w:spacing w:after="0"/>
              <w:rPr>
                <w:sz w:val="20"/>
                <w:szCs w:val="20"/>
                <w:color w:val="auto"/>
              </w:rPr>
            </w:pPr>
            <w:r>
              <w:rPr>
                <w:rFonts w:ascii="Arial" w:cs="Arial" w:eastAsia="Arial" w:hAnsi="Arial"/>
                <w:sz w:val="16"/>
                <w:szCs w:val="16"/>
                <w:b w:val="1"/>
                <w:bCs w:val="1"/>
                <w:color w:val="004A98"/>
              </w:rPr>
              <w:t>George E. Kilguss, III</w:t>
            </w:r>
          </w:p>
        </w:tc>
        <w:tc>
          <w:tcPr>
            <w:tcW w:w="140" w:type="dxa"/>
            <w:vAlign w:val="bottom"/>
            <w:tcBorders>
              <w:right w:val="single" w:sz="8" w:color="E5E5E5"/>
            </w:tcBorders>
          </w:tcPr>
          <w:p>
            <w:pPr>
              <w:spacing w:after="0"/>
              <w:rPr>
                <w:sz w:val="18"/>
                <w:szCs w:val="18"/>
                <w:color w:val="auto"/>
              </w:rPr>
            </w:pPr>
          </w:p>
        </w:tc>
        <w:tc>
          <w:tcPr>
            <w:tcW w:w="12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11,099</w:t>
            </w:r>
          </w:p>
        </w:tc>
        <w:tc>
          <w:tcPr>
            <w:tcW w:w="120" w:type="dxa"/>
            <w:vAlign w:val="bottom"/>
            <w:tcBorders>
              <w:right w:val="single" w:sz="8" w:color="E5E5E5"/>
            </w:tcBorders>
          </w:tcPr>
          <w:p>
            <w:pPr>
              <w:spacing w:after="0"/>
              <w:rPr>
                <w:sz w:val="18"/>
                <w:szCs w:val="18"/>
                <w:color w:val="auto"/>
              </w:rPr>
            </w:pPr>
          </w:p>
        </w:tc>
        <w:tc>
          <w:tcPr>
            <w:tcW w:w="11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2,113,130</w:t>
            </w:r>
          </w:p>
        </w:tc>
        <w:tc>
          <w:tcPr>
            <w:tcW w:w="0" w:type="dxa"/>
            <w:vAlign w:val="bottom"/>
          </w:tcPr>
          <w:p>
            <w:pPr>
              <w:spacing w:after="0"/>
              <w:rPr>
                <w:sz w:val="1"/>
                <w:szCs w:val="1"/>
                <w:color w:val="auto"/>
              </w:rPr>
            </w:pPr>
          </w:p>
        </w:tc>
      </w:tr>
      <w:tr>
        <w:trPr>
          <w:trHeight w:val="209"/>
        </w:trPr>
        <w:tc>
          <w:tcPr>
            <w:tcW w:w="8600" w:type="dxa"/>
            <w:vAlign w:val="bottom"/>
            <w:tcBorders>
              <w:bottom w:val="single" w:sz="8" w:color="939598"/>
            </w:tcBorders>
          </w:tcPr>
          <w:p>
            <w:pPr>
              <w:ind w:left="60"/>
              <w:spacing w:after="0"/>
              <w:rPr>
                <w:sz w:val="20"/>
                <w:szCs w:val="20"/>
                <w:color w:val="auto"/>
              </w:rPr>
            </w:pPr>
            <w:r>
              <w:rPr>
                <w:rFonts w:ascii="Arial" w:cs="Arial" w:eastAsia="Arial" w:hAnsi="Arial"/>
                <w:sz w:val="16"/>
                <w:szCs w:val="16"/>
                <w:b w:val="1"/>
                <w:bCs w:val="1"/>
                <w:color w:val="004A98"/>
              </w:rPr>
              <w:t>Danny McPherson</w:t>
            </w:r>
          </w:p>
        </w:tc>
        <w:tc>
          <w:tcPr>
            <w:tcW w:w="140" w:type="dxa"/>
            <w:vAlign w:val="bottom"/>
          </w:tcPr>
          <w:p>
            <w:pPr>
              <w:spacing w:after="0"/>
              <w:rPr>
                <w:sz w:val="18"/>
                <w:szCs w:val="18"/>
                <w:color w:val="auto"/>
              </w:rPr>
            </w:pPr>
          </w:p>
        </w:tc>
        <w:tc>
          <w:tcPr>
            <w:tcW w:w="12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9,183</w:t>
            </w:r>
          </w:p>
        </w:tc>
        <w:tc>
          <w:tcPr>
            <w:tcW w:w="120" w:type="dxa"/>
            <w:vAlign w:val="bottom"/>
          </w:tcPr>
          <w:p>
            <w:pPr>
              <w:spacing w:after="0"/>
              <w:rPr>
                <w:sz w:val="18"/>
                <w:szCs w:val="18"/>
                <w:color w:val="auto"/>
              </w:rPr>
            </w:pPr>
          </w:p>
        </w:tc>
        <w:tc>
          <w:tcPr>
            <w:tcW w:w="114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1,743,152</w:t>
            </w:r>
          </w:p>
        </w:tc>
        <w:tc>
          <w:tcPr>
            <w:tcW w:w="0" w:type="dxa"/>
            <w:vAlign w:val="bottom"/>
          </w:tcPr>
          <w:p>
            <w:pPr>
              <w:spacing w:after="0"/>
              <w:rPr>
                <w:sz w:val="1"/>
                <w:szCs w:val="1"/>
                <w:color w:val="auto"/>
              </w:rPr>
            </w:pPr>
          </w:p>
        </w:tc>
      </w:tr>
      <w:tr>
        <w:trPr>
          <w:trHeight w:val="210"/>
        </w:trPr>
        <w:tc>
          <w:tcPr>
            <w:tcW w:w="8600" w:type="dxa"/>
            <w:vAlign w:val="bottom"/>
            <w:tcBorders>
              <w:bottom w:val="single" w:sz="8" w:color="939598"/>
            </w:tcBorders>
            <w:shd w:val="clear" w:color="auto" w:fill="E6E7E8"/>
          </w:tcPr>
          <w:p>
            <w:pPr>
              <w:ind w:left="60"/>
              <w:spacing w:after="0"/>
              <w:rPr>
                <w:sz w:val="20"/>
                <w:szCs w:val="20"/>
                <w:color w:val="auto"/>
              </w:rPr>
            </w:pPr>
            <w:r>
              <w:rPr>
                <w:rFonts w:ascii="Arial" w:cs="Arial" w:eastAsia="Arial" w:hAnsi="Arial"/>
                <w:sz w:val="16"/>
                <w:szCs w:val="16"/>
                <w:b w:val="1"/>
                <w:bCs w:val="1"/>
                <w:color w:val="004A98"/>
              </w:rPr>
              <w:t>Thomas C. Indelicarto</w:t>
            </w:r>
          </w:p>
        </w:tc>
        <w:tc>
          <w:tcPr>
            <w:tcW w:w="140" w:type="dxa"/>
            <w:vAlign w:val="bottom"/>
            <w:tcBorders>
              <w:right w:val="single" w:sz="8" w:color="E6E7E8"/>
            </w:tcBorders>
          </w:tcPr>
          <w:p>
            <w:pPr>
              <w:spacing w:after="0"/>
              <w:rPr>
                <w:sz w:val="18"/>
                <w:szCs w:val="18"/>
                <w:color w:val="auto"/>
              </w:rPr>
            </w:pPr>
          </w:p>
        </w:tc>
        <w:tc>
          <w:tcPr>
            <w:tcW w:w="124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9,280</w:t>
            </w:r>
          </w:p>
        </w:tc>
        <w:tc>
          <w:tcPr>
            <w:tcW w:w="120" w:type="dxa"/>
            <w:vAlign w:val="bottom"/>
            <w:tcBorders>
              <w:right w:val="single" w:sz="8" w:color="E5E5E5"/>
            </w:tcBorders>
          </w:tcPr>
          <w:p>
            <w:pPr>
              <w:spacing w:after="0"/>
              <w:rPr>
                <w:sz w:val="18"/>
                <w:szCs w:val="18"/>
                <w:color w:val="auto"/>
              </w:rPr>
            </w:pPr>
          </w:p>
        </w:tc>
        <w:tc>
          <w:tcPr>
            <w:tcW w:w="114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6"/>
                <w:szCs w:val="16"/>
                <w:color w:val="auto"/>
              </w:rPr>
              <w:t>1,763,343</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80" w:hanging="272"/>
        <w:spacing w:after="0"/>
        <w:tabs>
          <w:tab w:leader="none" w:pos="280" w:val="left"/>
        </w:tabs>
        <w:numPr>
          <w:ilvl w:val="0"/>
          <w:numId w:val="36"/>
        </w:numPr>
        <w:rPr>
          <w:rFonts w:ascii="Arial" w:cs="Arial" w:eastAsia="Arial" w:hAnsi="Arial"/>
          <w:sz w:val="9"/>
          <w:szCs w:val="9"/>
          <w:color w:val="auto"/>
        </w:rPr>
      </w:pPr>
      <w:r>
        <w:rPr>
          <w:rFonts w:ascii="Arial" w:cs="Arial" w:eastAsia="Arial" w:hAnsi="Arial"/>
          <w:sz w:val="14"/>
          <w:szCs w:val="14"/>
          <w:color w:val="auto"/>
        </w:rPr>
        <w:t>The value realized upon vesting is calculated by multiplying the number of shares that vested by the closing price of our common stock on the vesting date.</w:t>
      </w:r>
    </w:p>
    <w:p>
      <w:pPr>
        <w:spacing w:after="0" w:line="318"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Potential Payments Upon Termination or Change in Control</w:t>
      </w:r>
    </w:p>
    <w:p>
      <w:pPr>
        <w:spacing w:after="0" w:line="148"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Except as described below, we have no formal severance program for our NEOs, each of whom is employed at will and therefore can be terminated at any time.</w:t>
      </w:r>
    </w:p>
    <w:p>
      <w:pPr>
        <w:spacing w:after="0" w:line="51"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Treatment of Equity Upon Death or Disability or Termination for any Other Reason</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color w:val="auto"/>
        </w:rPr>
        <w:t>In the event of termination due to death or disability, outstanding equity awards will be treated as follows:</w:t>
      </w:r>
    </w:p>
    <w:p>
      <w:pPr>
        <w:spacing w:after="0" w:line="127" w:lineRule="exact"/>
        <w:rPr>
          <w:sz w:val="20"/>
          <w:szCs w:val="20"/>
          <w:color w:val="auto"/>
        </w:rPr>
      </w:pPr>
    </w:p>
    <w:p>
      <w:pPr>
        <w:ind w:left="180" w:hanging="172"/>
        <w:spacing w:after="0"/>
        <w:tabs>
          <w:tab w:leader="none" w:pos="180" w:val="left"/>
        </w:tabs>
        <w:numPr>
          <w:ilvl w:val="0"/>
          <w:numId w:val="37"/>
        </w:numPr>
        <w:rPr>
          <w:rFonts w:ascii="Arial" w:cs="Arial" w:eastAsia="Arial" w:hAnsi="Arial"/>
          <w:sz w:val="16"/>
          <w:szCs w:val="16"/>
          <w:color w:val="004A98"/>
        </w:rPr>
      </w:pPr>
      <w:r>
        <w:rPr>
          <w:rFonts w:ascii="Arial" w:cs="Arial" w:eastAsia="Arial" w:hAnsi="Arial"/>
          <w:sz w:val="16"/>
          <w:szCs w:val="16"/>
          <w:color w:val="auto"/>
        </w:rPr>
        <w:t>RSUs – unvested RSUs shall accelerate in full according to the terms in the applicable award agreements.</w:t>
      </w:r>
    </w:p>
    <w:p>
      <w:pPr>
        <w:spacing w:after="0" w:line="72" w:lineRule="exact"/>
        <w:rPr>
          <w:rFonts w:ascii="Arial" w:cs="Arial" w:eastAsia="Arial" w:hAnsi="Arial"/>
          <w:sz w:val="16"/>
          <w:szCs w:val="16"/>
          <w:color w:val="004A98"/>
        </w:rPr>
      </w:pPr>
    </w:p>
    <w:p>
      <w:pPr>
        <w:ind w:left="200" w:right="200" w:hanging="192"/>
        <w:spacing w:after="0" w:line="275" w:lineRule="auto"/>
        <w:tabs>
          <w:tab w:leader="none" w:pos="170" w:val="left"/>
        </w:tabs>
        <w:numPr>
          <w:ilvl w:val="0"/>
          <w:numId w:val="37"/>
        </w:numPr>
        <w:rPr>
          <w:rFonts w:ascii="Arial" w:cs="Arial" w:eastAsia="Arial" w:hAnsi="Arial"/>
          <w:sz w:val="16"/>
          <w:szCs w:val="16"/>
          <w:color w:val="004A98"/>
        </w:rPr>
      </w:pPr>
      <w:r>
        <w:rPr>
          <w:rFonts w:ascii="Arial" w:cs="Arial" w:eastAsia="Arial" w:hAnsi="Arial"/>
          <w:sz w:val="16"/>
          <w:szCs w:val="16"/>
          <w:color w:val="auto"/>
        </w:rPr>
        <w:t>PSUs – if such termination occurs during the applicable performance period and before the conclusion of such performance period, then such PSUs will accelerate and vest at target; if such termination occurs after the conclusion of the applicable performance period and before the award for such performance period has been paid, then the PSUs will fully accelerate based upon the actual achievement level.</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In the event of a termination for any other reason, all unvested equity awards are forfeited for no consideration.</w:t>
      </w:r>
    </w:p>
    <w:p>
      <w:pPr>
        <w:spacing w:after="0" w:line="10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Change in Control Agreements</w:t>
      </w:r>
    </w:p>
    <w:p>
      <w:pPr>
        <w:spacing w:after="0" w:line="128"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Each of our NEOs is party to a change in control and retention agreement (the “CIC Agreements”). Under the CIC Agreements, each of the NEOs is entitled to receive severance benefits if, within the twenty-four months following a “change in control” (or under certain circumstances, during the six-month period preceding a change in control), the NEO’s employment is terminated by the Company or its successor without “cause” or by the NEO for “good reason” (referred to as a “qualified termination”). The terms and conditions of the CIC Agreements are described below.</w:t>
      </w:r>
    </w:p>
    <w:p>
      <w:pPr>
        <w:spacing w:after="0" w:line="78" w:lineRule="exact"/>
        <w:rPr>
          <w:sz w:val="20"/>
          <w:szCs w:val="20"/>
          <w:color w:val="auto"/>
        </w:rPr>
      </w:pPr>
    </w:p>
    <w:p>
      <w:pPr>
        <w:spacing w:after="0"/>
        <w:rPr>
          <w:sz w:val="20"/>
          <w:szCs w:val="20"/>
          <w:color w:val="auto"/>
        </w:rPr>
      </w:pPr>
      <w:r>
        <w:rPr>
          <w:rFonts w:ascii="Arial" w:cs="Arial" w:eastAsia="Arial" w:hAnsi="Arial"/>
          <w:sz w:val="16"/>
          <w:szCs w:val="16"/>
          <w:color w:val="auto"/>
        </w:rPr>
        <w:t>Under the CIC Agreements, “</w:t>
      </w:r>
      <w:r>
        <w:rPr>
          <w:rFonts w:ascii="Arial" w:cs="Arial" w:eastAsia="Arial" w:hAnsi="Arial"/>
          <w:sz w:val="16"/>
          <w:szCs w:val="16"/>
          <w:i w:val="1"/>
          <w:iCs w:val="1"/>
          <w:color w:val="auto"/>
        </w:rPr>
        <w:t>change in control</w:t>
      </w:r>
      <w:r>
        <w:rPr>
          <w:rFonts w:ascii="Arial" w:cs="Arial" w:eastAsia="Arial" w:hAnsi="Arial"/>
          <w:sz w:val="16"/>
          <w:szCs w:val="16"/>
          <w:color w:val="auto"/>
        </w:rPr>
        <w:t>” means:</w:t>
      </w:r>
    </w:p>
    <w:p>
      <w:pPr>
        <w:spacing w:after="0" w:line="113" w:lineRule="exact"/>
        <w:rPr>
          <w:sz w:val="20"/>
          <w:szCs w:val="20"/>
          <w:color w:val="auto"/>
        </w:rPr>
      </w:pPr>
    </w:p>
    <w:p>
      <w:pPr>
        <w:ind w:left="200" w:right="100" w:hanging="192"/>
        <w:spacing w:after="0" w:line="265" w:lineRule="auto"/>
        <w:tabs>
          <w:tab w:leader="none" w:pos="170" w:val="left"/>
        </w:tabs>
        <w:numPr>
          <w:ilvl w:val="0"/>
          <w:numId w:val="38"/>
        </w:numPr>
        <w:rPr>
          <w:rFonts w:ascii="Arial" w:cs="Arial" w:eastAsia="Arial" w:hAnsi="Arial"/>
          <w:sz w:val="16"/>
          <w:szCs w:val="16"/>
          <w:color w:val="00497F"/>
        </w:rPr>
      </w:pPr>
      <w:r>
        <w:rPr>
          <w:rFonts w:ascii="Arial" w:cs="Arial" w:eastAsia="Arial" w:hAnsi="Arial"/>
          <w:sz w:val="16"/>
          <w:szCs w:val="16"/>
          <w:color w:val="auto"/>
        </w:rPr>
        <w:t>any “person” (as such term is used in Sections 13(d) and 14(d) of the Exchange Act), other than a trustee or other fiduciary holding securities of the Company under an employee benefit plan of the Company or its subsidiaries, becomes the “beneficial owner” (as defined in Rule 13d-3 promulgated under the Exchange Act), directly or indirectly (excluding, for purposes of this Section, securities acquired directly from the Company), of securities of the Company representing at least 35% of (A) the then-outstanding shares of common stock of the Company or (B) the combined voting power of the Company’s then-outstanding securities;</w:t>
      </w:r>
    </w:p>
    <w:p>
      <w:pPr>
        <w:spacing w:after="0" w:line="200" w:lineRule="exact"/>
        <w:rPr>
          <w:sz w:val="20"/>
          <w:szCs w:val="20"/>
          <w:color w:val="auto"/>
        </w:rPr>
      </w:pPr>
    </w:p>
    <w:p>
      <w:pPr>
        <w:spacing w:after="0" w:line="207"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38</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Executive Compensation Tables</w:t>
      </w:r>
    </w:p>
    <w:p>
      <w:pPr>
        <w:spacing w:after="0" w:line="275" w:lineRule="exact"/>
        <w:rPr>
          <w:sz w:val="20"/>
          <w:szCs w:val="20"/>
          <w:color w:val="auto"/>
        </w:rPr>
      </w:pPr>
    </w:p>
    <w:p>
      <w:pPr>
        <w:ind w:left="200" w:right="440" w:hanging="192"/>
        <w:spacing w:after="0" w:line="271" w:lineRule="auto"/>
        <w:tabs>
          <w:tab w:leader="none" w:pos="170" w:val="left"/>
        </w:tabs>
        <w:numPr>
          <w:ilvl w:val="0"/>
          <w:numId w:val="39"/>
        </w:numPr>
        <w:rPr>
          <w:rFonts w:ascii="Arial" w:cs="Arial" w:eastAsia="Arial" w:hAnsi="Arial"/>
          <w:sz w:val="16"/>
          <w:szCs w:val="16"/>
          <w:color w:val="00497F"/>
        </w:rPr>
      </w:pPr>
      <w:r>
        <w:rPr>
          <w:rFonts w:ascii="Arial" w:cs="Arial" w:eastAsia="Arial" w:hAnsi="Arial"/>
          <w:sz w:val="16"/>
          <w:szCs w:val="16"/>
          <w:color w:val="auto"/>
        </w:rPr>
        <w:t>the consummation of a merger or consolidation, or series of related transactions, which results in the voting securities of the Company outstanding immediately prior thereto failing to continue to represent (either by remaining outstanding or by being converted into voting securities of the surviving entity), directly or indirectly, at least 50% of the combined voting power of the voting securities of the Company or such surviving entity outstanding immediately after such merger or consolidation;</w:t>
      </w:r>
    </w:p>
    <w:p>
      <w:pPr>
        <w:spacing w:after="0" w:line="19" w:lineRule="exact"/>
        <w:rPr>
          <w:rFonts w:ascii="Arial" w:cs="Arial" w:eastAsia="Arial" w:hAnsi="Arial"/>
          <w:sz w:val="16"/>
          <w:szCs w:val="16"/>
          <w:color w:val="00497F"/>
        </w:rPr>
      </w:pPr>
    </w:p>
    <w:p>
      <w:pPr>
        <w:ind w:left="200" w:right="380" w:hanging="192"/>
        <w:spacing w:after="0" w:line="299" w:lineRule="auto"/>
        <w:tabs>
          <w:tab w:leader="none" w:pos="170" w:val="left"/>
        </w:tabs>
        <w:numPr>
          <w:ilvl w:val="0"/>
          <w:numId w:val="39"/>
        </w:numPr>
        <w:rPr>
          <w:rFonts w:ascii="Arial" w:cs="Arial" w:eastAsia="Arial" w:hAnsi="Arial"/>
          <w:sz w:val="16"/>
          <w:szCs w:val="16"/>
          <w:color w:val="00497F"/>
        </w:rPr>
      </w:pPr>
      <w:r>
        <w:rPr>
          <w:rFonts w:ascii="Arial" w:cs="Arial" w:eastAsia="Arial" w:hAnsi="Arial"/>
          <w:sz w:val="16"/>
          <w:szCs w:val="16"/>
          <w:color w:val="auto"/>
        </w:rPr>
        <w:t>a change in the composition of the Board occurring within a 24-month period, as a result of which fewer than a majority of the directors are incumbent directors;</w:t>
      </w:r>
    </w:p>
    <w:p>
      <w:pPr>
        <w:ind w:left="200" w:right="380" w:hanging="192"/>
        <w:spacing w:after="0" w:line="299" w:lineRule="auto"/>
        <w:tabs>
          <w:tab w:leader="none" w:pos="170" w:val="left"/>
        </w:tabs>
        <w:numPr>
          <w:ilvl w:val="0"/>
          <w:numId w:val="39"/>
        </w:numPr>
        <w:rPr>
          <w:rFonts w:ascii="Arial" w:cs="Arial" w:eastAsia="Arial" w:hAnsi="Arial"/>
          <w:sz w:val="16"/>
          <w:szCs w:val="16"/>
          <w:color w:val="00497F"/>
        </w:rPr>
      </w:pPr>
      <w:r>
        <w:rPr>
          <w:rFonts w:ascii="Arial" w:cs="Arial" w:eastAsia="Arial" w:hAnsi="Arial"/>
          <w:sz w:val="16"/>
          <w:szCs w:val="16"/>
          <w:color w:val="auto"/>
        </w:rPr>
        <w:t>the sale or disposition of all or substantially all of the Company’s assets (or consummation of any transaction, or series of related transactions, having similar effect); or</w:t>
      </w:r>
    </w:p>
    <w:p>
      <w:pPr>
        <w:ind w:left="180" w:hanging="172"/>
        <w:spacing w:after="0"/>
        <w:tabs>
          <w:tab w:leader="none" w:pos="180" w:val="left"/>
        </w:tabs>
        <w:numPr>
          <w:ilvl w:val="0"/>
          <w:numId w:val="39"/>
        </w:numPr>
        <w:rPr>
          <w:rFonts w:ascii="Arial" w:cs="Arial" w:eastAsia="Arial" w:hAnsi="Arial"/>
          <w:sz w:val="16"/>
          <w:szCs w:val="16"/>
          <w:color w:val="00497F"/>
        </w:rPr>
      </w:pPr>
      <w:r>
        <w:rPr>
          <w:rFonts w:ascii="Arial" w:cs="Arial" w:eastAsia="Arial" w:hAnsi="Arial"/>
          <w:sz w:val="16"/>
          <w:szCs w:val="16"/>
          <w:color w:val="auto"/>
        </w:rPr>
        <w:t>stockholder approval of the dissolution or liquidation of the Company.</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color w:val="auto"/>
        </w:rPr>
        <w:t>Under the CIC Agreements, “</w:t>
      </w:r>
      <w:r>
        <w:rPr>
          <w:rFonts w:ascii="Arial" w:cs="Arial" w:eastAsia="Arial" w:hAnsi="Arial"/>
          <w:sz w:val="16"/>
          <w:szCs w:val="16"/>
          <w:i w:val="1"/>
          <w:iCs w:val="1"/>
          <w:color w:val="auto"/>
        </w:rPr>
        <w:t>cause</w:t>
      </w:r>
      <w:r>
        <w:rPr>
          <w:rFonts w:ascii="Arial" w:cs="Arial" w:eastAsia="Arial" w:hAnsi="Arial"/>
          <w:sz w:val="16"/>
          <w:szCs w:val="16"/>
          <w:color w:val="auto"/>
        </w:rPr>
        <w:t>” means:</w:t>
      </w:r>
    </w:p>
    <w:p>
      <w:pPr>
        <w:spacing w:after="0" w:line="113" w:lineRule="exact"/>
        <w:rPr>
          <w:sz w:val="20"/>
          <w:szCs w:val="20"/>
          <w:color w:val="auto"/>
        </w:rPr>
      </w:pPr>
    </w:p>
    <w:p>
      <w:pPr>
        <w:ind w:left="200" w:right="320" w:hanging="192"/>
        <w:spacing w:after="0" w:line="299" w:lineRule="auto"/>
        <w:tabs>
          <w:tab w:leader="none" w:pos="170" w:val="left"/>
        </w:tabs>
        <w:numPr>
          <w:ilvl w:val="0"/>
          <w:numId w:val="40"/>
        </w:numPr>
        <w:rPr>
          <w:rFonts w:ascii="Arial" w:cs="Arial" w:eastAsia="Arial" w:hAnsi="Arial"/>
          <w:sz w:val="16"/>
          <w:szCs w:val="16"/>
          <w:color w:val="00497F"/>
        </w:rPr>
      </w:pPr>
      <w:r>
        <w:rPr>
          <w:rFonts w:ascii="Arial" w:cs="Arial" w:eastAsia="Arial" w:hAnsi="Arial"/>
          <w:sz w:val="16"/>
          <w:szCs w:val="16"/>
          <w:color w:val="auto"/>
        </w:rPr>
        <w:t>an NEO’s willful and continued failure to substantially perform the NEOs duties after written notice providing the NEO with 90 days from the date of the NEO’s receipt of such notice in which to cure;</w:t>
      </w:r>
    </w:p>
    <w:p>
      <w:pPr>
        <w:ind w:left="180" w:hanging="172"/>
        <w:spacing w:after="0"/>
        <w:tabs>
          <w:tab w:leader="none" w:pos="180" w:val="left"/>
        </w:tabs>
        <w:numPr>
          <w:ilvl w:val="0"/>
          <w:numId w:val="40"/>
        </w:numPr>
        <w:rPr>
          <w:rFonts w:ascii="Arial" w:cs="Arial" w:eastAsia="Arial" w:hAnsi="Arial"/>
          <w:sz w:val="16"/>
          <w:szCs w:val="16"/>
          <w:color w:val="00497F"/>
        </w:rPr>
      </w:pPr>
      <w:r>
        <w:rPr>
          <w:rFonts w:ascii="Arial" w:cs="Arial" w:eastAsia="Arial" w:hAnsi="Arial"/>
          <w:sz w:val="16"/>
          <w:szCs w:val="16"/>
          <w:color w:val="auto"/>
        </w:rPr>
        <w:t>an NEO’s conviction for a felony involving moral turpitude or a plea of guilty or no contest to the same;</w:t>
      </w:r>
    </w:p>
    <w:p>
      <w:pPr>
        <w:spacing w:after="0" w:line="86" w:lineRule="exact"/>
        <w:rPr>
          <w:rFonts w:ascii="Arial" w:cs="Arial" w:eastAsia="Arial" w:hAnsi="Arial"/>
          <w:sz w:val="16"/>
          <w:szCs w:val="16"/>
          <w:color w:val="00497F"/>
        </w:rPr>
      </w:pPr>
    </w:p>
    <w:p>
      <w:pPr>
        <w:ind w:left="180" w:hanging="172"/>
        <w:spacing w:after="0"/>
        <w:tabs>
          <w:tab w:leader="none" w:pos="180" w:val="left"/>
        </w:tabs>
        <w:numPr>
          <w:ilvl w:val="0"/>
          <w:numId w:val="40"/>
        </w:numPr>
        <w:rPr>
          <w:rFonts w:ascii="Arial" w:cs="Arial" w:eastAsia="Arial" w:hAnsi="Arial"/>
          <w:sz w:val="16"/>
          <w:szCs w:val="16"/>
          <w:color w:val="00497F"/>
        </w:rPr>
      </w:pPr>
      <w:r>
        <w:rPr>
          <w:rFonts w:ascii="Arial" w:cs="Arial" w:eastAsia="Arial" w:hAnsi="Arial"/>
          <w:sz w:val="16"/>
          <w:szCs w:val="16"/>
          <w:color w:val="auto"/>
        </w:rPr>
        <w:t>an NEO’s willful misconduct or gross negligence resulting in material harm to the Company; or</w:t>
      </w:r>
    </w:p>
    <w:p>
      <w:pPr>
        <w:spacing w:after="0" w:line="86" w:lineRule="exact"/>
        <w:rPr>
          <w:rFonts w:ascii="Arial" w:cs="Arial" w:eastAsia="Arial" w:hAnsi="Arial"/>
          <w:sz w:val="16"/>
          <w:szCs w:val="16"/>
          <w:color w:val="00497F"/>
        </w:rPr>
      </w:pPr>
    </w:p>
    <w:p>
      <w:pPr>
        <w:ind w:left="180" w:hanging="172"/>
        <w:spacing w:after="0"/>
        <w:tabs>
          <w:tab w:leader="none" w:pos="180" w:val="left"/>
        </w:tabs>
        <w:numPr>
          <w:ilvl w:val="0"/>
          <w:numId w:val="40"/>
        </w:numPr>
        <w:rPr>
          <w:rFonts w:ascii="Arial" w:cs="Arial" w:eastAsia="Arial" w:hAnsi="Arial"/>
          <w:sz w:val="16"/>
          <w:szCs w:val="16"/>
          <w:color w:val="00497F"/>
        </w:rPr>
      </w:pPr>
      <w:r>
        <w:rPr>
          <w:rFonts w:ascii="Arial" w:cs="Arial" w:eastAsia="Arial" w:hAnsi="Arial"/>
          <w:sz w:val="16"/>
          <w:szCs w:val="16"/>
          <w:color w:val="auto"/>
        </w:rPr>
        <w:t>an NEO’s willful violation of the Company’s policies resulting in material harm to the Company.</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color w:val="auto"/>
        </w:rPr>
        <w:t>Under the CIC Agreements, “</w:t>
      </w:r>
      <w:r>
        <w:rPr>
          <w:rFonts w:ascii="Arial" w:cs="Arial" w:eastAsia="Arial" w:hAnsi="Arial"/>
          <w:sz w:val="16"/>
          <w:szCs w:val="16"/>
          <w:i w:val="1"/>
          <w:iCs w:val="1"/>
          <w:color w:val="auto"/>
        </w:rPr>
        <w:t>good reason</w:t>
      </w:r>
      <w:r>
        <w:rPr>
          <w:rFonts w:ascii="Arial" w:cs="Arial" w:eastAsia="Arial" w:hAnsi="Arial"/>
          <w:sz w:val="16"/>
          <w:szCs w:val="16"/>
          <w:color w:val="auto"/>
        </w:rPr>
        <w:t>” means:</w:t>
      </w:r>
    </w:p>
    <w:p>
      <w:pPr>
        <w:spacing w:after="0" w:line="127" w:lineRule="exact"/>
        <w:rPr>
          <w:sz w:val="20"/>
          <w:szCs w:val="20"/>
          <w:color w:val="auto"/>
        </w:rPr>
      </w:pPr>
    </w:p>
    <w:p>
      <w:pPr>
        <w:ind w:left="200" w:right="260" w:hanging="192"/>
        <w:spacing w:after="0" w:line="286" w:lineRule="auto"/>
        <w:tabs>
          <w:tab w:leader="none" w:pos="170" w:val="left"/>
        </w:tabs>
        <w:numPr>
          <w:ilvl w:val="0"/>
          <w:numId w:val="41"/>
        </w:numPr>
        <w:rPr>
          <w:rFonts w:ascii="Arial" w:cs="Arial" w:eastAsia="Arial" w:hAnsi="Arial"/>
          <w:sz w:val="16"/>
          <w:szCs w:val="16"/>
          <w:color w:val="00497F"/>
        </w:rPr>
      </w:pPr>
      <w:r>
        <w:rPr>
          <w:rFonts w:ascii="Arial" w:cs="Arial" w:eastAsia="Arial" w:hAnsi="Arial"/>
          <w:sz w:val="16"/>
          <w:szCs w:val="16"/>
          <w:color w:val="auto"/>
        </w:rPr>
        <w:t>a change in the NEO’s authority, duties, or responsibilities that is inconsistent in any material and adverse respect from the NEO’s authority, duties, and responsibilities immediately preceding the change in control;</w:t>
      </w:r>
    </w:p>
    <w:p>
      <w:pPr>
        <w:spacing w:after="0" w:line="20" w:lineRule="exact"/>
        <w:rPr>
          <w:rFonts w:ascii="Arial" w:cs="Arial" w:eastAsia="Arial" w:hAnsi="Arial"/>
          <w:sz w:val="16"/>
          <w:szCs w:val="16"/>
          <w:color w:val="00497F"/>
        </w:rPr>
      </w:pPr>
    </w:p>
    <w:p>
      <w:pPr>
        <w:ind w:left="200" w:right="340" w:hanging="192"/>
        <w:spacing w:after="0" w:line="286" w:lineRule="auto"/>
        <w:tabs>
          <w:tab w:leader="none" w:pos="170" w:val="left"/>
        </w:tabs>
        <w:numPr>
          <w:ilvl w:val="0"/>
          <w:numId w:val="41"/>
        </w:numPr>
        <w:rPr>
          <w:rFonts w:ascii="Arial" w:cs="Arial" w:eastAsia="Arial" w:hAnsi="Arial"/>
          <w:sz w:val="16"/>
          <w:szCs w:val="16"/>
          <w:color w:val="00497F"/>
        </w:rPr>
      </w:pPr>
      <w:r>
        <w:rPr>
          <w:rFonts w:ascii="Arial" w:cs="Arial" w:eastAsia="Arial" w:hAnsi="Arial"/>
          <w:sz w:val="16"/>
          <w:szCs w:val="16"/>
          <w:color w:val="auto"/>
        </w:rPr>
        <w:t>a reduction in the NEO’s base salary compared to the NEO’s base salary immediately preceding the change in control, except for an across-the-board reduction of not more than 10% of base salary applicable to all senior executives of the Company;</w:t>
      </w:r>
    </w:p>
    <w:p>
      <w:pPr>
        <w:spacing w:after="0" w:line="20" w:lineRule="exact"/>
        <w:rPr>
          <w:rFonts w:ascii="Arial" w:cs="Arial" w:eastAsia="Arial" w:hAnsi="Arial"/>
          <w:sz w:val="16"/>
          <w:szCs w:val="16"/>
          <w:color w:val="00497F"/>
        </w:rPr>
      </w:pPr>
    </w:p>
    <w:p>
      <w:pPr>
        <w:ind w:left="200" w:right="200" w:hanging="192"/>
        <w:spacing w:after="0" w:line="286" w:lineRule="auto"/>
        <w:tabs>
          <w:tab w:leader="none" w:pos="170" w:val="left"/>
        </w:tabs>
        <w:numPr>
          <w:ilvl w:val="0"/>
          <w:numId w:val="41"/>
        </w:numPr>
        <w:rPr>
          <w:rFonts w:ascii="Arial" w:cs="Arial" w:eastAsia="Arial" w:hAnsi="Arial"/>
          <w:sz w:val="16"/>
          <w:szCs w:val="16"/>
          <w:color w:val="00497F"/>
        </w:rPr>
      </w:pPr>
      <w:r>
        <w:rPr>
          <w:rFonts w:ascii="Arial" w:cs="Arial" w:eastAsia="Arial" w:hAnsi="Arial"/>
          <w:sz w:val="16"/>
          <w:szCs w:val="16"/>
          <w:color w:val="auto"/>
        </w:rPr>
        <w:t>a reduction in the NEO’s bonus opportunity of 5% or more from the NEO’s bonus opportunity immediately preceding the change in control, except for an across-the-board reduction applicable to all senior executives of the Company;</w:t>
      </w:r>
    </w:p>
    <w:p>
      <w:pPr>
        <w:spacing w:after="0" w:line="20" w:lineRule="exact"/>
        <w:rPr>
          <w:rFonts w:ascii="Arial" w:cs="Arial" w:eastAsia="Arial" w:hAnsi="Arial"/>
          <w:sz w:val="16"/>
          <w:szCs w:val="16"/>
          <w:color w:val="00497F"/>
        </w:rPr>
      </w:pPr>
    </w:p>
    <w:p>
      <w:pPr>
        <w:ind w:left="200" w:right="280" w:hanging="192"/>
        <w:spacing w:after="0" w:line="286" w:lineRule="auto"/>
        <w:tabs>
          <w:tab w:leader="none" w:pos="170" w:val="left"/>
        </w:tabs>
        <w:numPr>
          <w:ilvl w:val="0"/>
          <w:numId w:val="41"/>
        </w:numPr>
        <w:rPr>
          <w:rFonts w:ascii="Arial" w:cs="Arial" w:eastAsia="Arial" w:hAnsi="Arial"/>
          <w:sz w:val="16"/>
          <w:szCs w:val="16"/>
          <w:color w:val="00497F"/>
        </w:rPr>
      </w:pPr>
      <w:r>
        <w:rPr>
          <w:rFonts w:ascii="Arial" w:cs="Arial" w:eastAsia="Arial" w:hAnsi="Arial"/>
          <w:sz w:val="16"/>
          <w:szCs w:val="16"/>
          <w:color w:val="auto"/>
        </w:rPr>
        <w:t>a failure to provide the NEO with long-term incentive opportunities that in the aggregate are at least comparable to the long-term incentives provided to other senior executives at the Company;</w:t>
      </w:r>
    </w:p>
    <w:p>
      <w:pPr>
        <w:spacing w:after="0" w:line="20" w:lineRule="exact"/>
        <w:rPr>
          <w:rFonts w:ascii="Arial" w:cs="Arial" w:eastAsia="Arial" w:hAnsi="Arial"/>
          <w:sz w:val="16"/>
          <w:szCs w:val="16"/>
          <w:color w:val="00497F"/>
        </w:rPr>
      </w:pPr>
    </w:p>
    <w:p>
      <w:pPr>
        <w:ind w:left="200" w:right="100" w:hanging="192"/>
        <w:spacing w:after="0" w:line="275" w:lineRule="auto"/>
        <w:tabs>
          <w:tab w:leader="none" w:pos="170" w:val="left"/>
        </w:tabs>
        <w:numPr>
          <w:ilvl w:val="0"/>
          <w:numId w:val="41"/>
        </w:numPr>
        <w:rPr>
          <w:rFonts w:ascii="Arial" w:cs="Arial" w:eastAsia="Arial" w:hAnsi="Arial"/>
          <w:sz w:val="16"/>
          <w:szCs w:val="16"/>
          <w:color w:val="00497F"/>
        </w:rPr>
      </w:pPr>
      <w:r>
        <w:rPr>
          <w:rFonts w:ascii="Arial" w:cs="Arial" w:eastAsia="Arial" w:hAnsi="Arial"/>
          <w:sz w:val="16"/>
          <w:szCs w:val="16"/>
          <w:color w:val="auto"/>
        </w:rPr>
        <w:t>a reduction of at least 5% in aggregate benefits that the NEO is entitled to receive under all employee benefit plans of the Company following a change in control compared to the aggregate benefits the NEO was eligible to receive under all employee benefit plans maintained by the Company immediately preceding the change in control;</w:t>
      </w:r>
    </w:p>
    <w:p>
      <w:pPr>
        <w:spacing w:after="0" w:line="15" w:lineRule="exact"/>
        <w:rPr>
          <w:rFonts w:ascii="Arial" w:cs="Arial" w:eastAsia="Arial" w:hAnsi="Arial"/>
          <w:sz w:val="16"/>
          <w:szCs w:val="16"/>
          <w:color w:val="00497F"/>
        </w:rPr>
      </w:pPr>
    </w:p>
    <w:p>
      <w:pPr>
        <w:ind w:left="200" w:right="160" w:hanging="192"/>
        <w:spacing w:after="0" w:line="275" w:lineRule="auto"/>
        <w:tabs>
          <w:tab w:leader="none" w:pos="170" w:val="left"/>
        </w:tabs>
        <w:numPr>
          <w:ilvl w:val="0"/>
          <w:numId w:val="41"/>
        </w:numPr>
        <w:rPr>
          <w:rFonts w:ascii="Arial" w:cs="Arial" w:eastAsia="Arial" w:hAnsi="Arial"/>
          <w:sz w:val="16"/>
          <w:szCs w:val="16"/>
          <w:color w:val="00497F"/>
        </w:rPr>
      </w:pPr>
      <w:r>
        <w:rPr>
          <w:rFonts w:ascii="Arial" w:cs="Arial" w:eastAsia="Arial" w:hAnsi="Arial"/>
          <w:sz w:val="16"/>
          <w:szCs w:val="16"/>
          <w:color w:val="auto"/>
        </w:rPr>
        <w:t>a requirement that the NEO be based at any office location more than 40 miles from the NEO’s primary office location immediately preceding the change in control, if such relocation increases the NEO’s commute by more than 10 miles from the executive’s principal residence immediately preceding the change in control; or</w:t>
      </w:r>
    </w:p>
    <w:p>
      <w:pPr>
        <w:spacing w:after="0" w:line="29" w:lineRule="exact"/>
        <w:rPr>
          <w:rFonts w:ascii="Arial" w:cs="Arial" w:eastAsia="Arial" w:hAnsi="Arial"/>
          <w:sz w:val="16"/>
          <w:szCs w:val="16"/>
          <w:color w:val="00497F"/>
        </w:rPr>
      </w:pPr>
    </w:p>
    <w:p>
      <w:pPr>
        <w:ind w:left="180" w:hanging="172"/>
        <w:spacing w:after="0"/>
        <w:tabs>
          <w:tab w:leader="none" w:pos="180" w:val="left"/>
        </w:tabs>
        <w:numPr>
          <w:ilvl w:val="0"/>
          <w:numId w:val="41"/>
        </w:numPr>
        <w:rPr>
          <w:rFonts w:ascii="Arial" w:cs="Arial" w:eastAsia="Arial" w:hAnsi="Arial"/>
          <w:sz w:val="16"/>
          <w:szCs w:val="16"/>
          <w:color w:val="00497F"/>
        </w:rPr>
      </w:pPr>
      <w:r>
        <w:rPr>
          <w:rFonts w:ascii="Arial" w:cs="Arial" w:eastAsia="Arial" w:hAnsi="Arial"/>
          <w:sz w:val="16"/>
          <w:szCs w:val="16"/>
          <w:color w:val="auto"/>
        </w:rPr>
        <w:t>the failure of the Company to obtain the assumption of the agreement from any successor as provided in the agreement.</w:t>
      </w:r>
    </w:p>
    <w:p>
      <w:pPr>
        <w:spacing w:after="0" w:line="113" w:lineRule="exact"/>
        <w:rPr>
          <w:sz w:val="20"/>
          <w:szCs w:val="20"/>
          <w:color w:val="auto"/>
        </w:rPr>
      </w:pPr>
    </w:p>
    <w:p>
      <w:pPr>
        <w:ind w:right="120"/>
        <w:spacing w:after="0" w:line="271" w:lineRule="auto"/>
        <w:rPr>
          <w:sz w:val="20"/>
          <w:szCs w:val="20"/>
          <w:color w:val="auto"/>
        </w:rPr>
      </w:pPr>
      <w:r>
        <w:rPr>
          <w:rFonts w:ascii="Arial" w:cs="Arial" w:eastAsia="Arial" w:hAnsi="Arial"/>
          <w:sz w:val="16"/>
          <w:szCs w:val="16"/>
          <w:color w:val="auto"/>
        </w:rPr>
        <w:t>Under the CIC Agreements, “</w:t>
      </w:r>
      <w:r>
        <w:rPr>
          <w:rFonts w:ascii="Arial" w:cs="Arial" w:eastAsia="Arial" w:hAnsi="Arial"/>
          <w:sz w:val="16"/>
          <w:szCs w:val="16"/>
          <w:i w:val="1"/>
          <w:iCs w:val="1"/>
          <w:color w:val="auto"/>
        </w:rPr>
        <w:t>incumbent director</w:t>
      </w:r>
      <w:r>
        <w:rPr>
          <w:rFonts w:ascii="Arial" w:cs="Arial" w:eastAsia="Arial" w:hAnsi="Arial"/>
          <w:sz w:val="16"/>
          <w:szCs w:val="16"/>
          <w:color w:val="auto"/>
        </w:rPr>
        <w:t>” means: directors who either (i) are directors as of the date of the CIC Agreement, or (ii) are elected, or nominated for election, to the Board with the affirmative votes of at least a majority of the incumbent directors at the time of such election or nomination (but shall not include an individual whose election or nomination is in connection with an actual or threatened proxy contest relating to the election of directors to the Company).</w:t>
      </w:r>
    </w:p>
    <w:p>
      <w:pPr>
        <w:spacing w:after="0" w:line="60" w:lineRule="exact"/>
        <w:rPr>
          <w:sz w:val="20"/>
          <w:szCs w:val="20"/>
          <w:color w:val="auto"/>
        </w:rPr>
      </w:pPr>
    </w:p>
    <w:p>
      <w:pPr>
        <w:jc w:val="both"/>
        <w:ind w:right="540"/>
        <w:spacing w:after="0" w:line="275" w:lineRule="auto"/>
        <w:rPr>
          <w:sz w:val="20"/>
          <w:szCs w:val="20"/>
          <w:color w:val="auto"/>
        </w:rPr>
      </w:pPr>
      <w:r>
        <w:rPr>
          <w:rFonts w:ascii="Arial" w:cs="Arial" w:eastAsia="Arial" w:hAnsi="Arial"/>
          <w:sz w:val="16"/>
          <w:szCs w:val="16"/>
          <w:color w:val="auto"/>
        </w:rPr>
        <w:t>If a change in control occurs and the NEO experiences a qualifying termination and timely delivers a general release agreement, the CIC Agreements provide that Verisign will make the following payments and provide the following benefits to the NEO (subject to a six-month delay if and to the extent required by the deferred compensation rules set forth in and promulgated under Section 409A of the Internal Revenue Code):</w:t>
      </w:r>
    </w:p>
    <w:p>
      <w:pPr>
        <w:spacing w:after="0" w:line="56" w:lineRule="exact"/>
        <w:rPr>
          <w:sz w:val="20"/>
          <w:szCs w:val="20"/>
          <w:color w:val="auto"/>
        </w:rPr>
      </w:pPr>
    </w:p>
    <w:p>
      <w:pPr>
        <w:ind w:left="180" w:hanging="172"/>
        <w:spacing w:after="0"/>
        <w:tabs>
          <w:tab w:leader="none" w:pos="180" w:val="left"/>
        </w:tabs>
        <w:numPr>
          <w:ilvl w:val="0"/>
          <w:numId w:val="42"/>
        </w:numPr>
        <w:rPr>
          <w:rFonts w:ascii="Arial" w:cs="Arial" w:eastAsia="Arial" w:hAnsi="Arial"/>
          <w:sz w:val="16"/>
          <w:szCs w:val="16"/>
          <w:color w:val="00497F"/>
        </w:rPr>
      </w:pPr>
      <w:r>
        <w:rPr>
          <w:rFonts w:ascii="Arial" w:cs="Arial" w:eastAsia="Arial" w:hAnsi="Arial"/>
          <w:sz w:val="16"/>
          <w:szCs w:val="16"/>
          <w:color w:val="auto"/>
        </w:rPr>
        <w:t>a lump sum equal to the pro rata target bonus for the year in which the NEO was terminated;</w:t>
      </w:r>
    </w:p>
    <w:p>
      <w:pPr>
        <w:spacing w:after="0" w:line="86" w:lineRule="exact"/>
        <w:rPr>
          <w:rFonts w:ascii="Arial" w:cs="Arial" w:eastAsia="Arial" w:hAnsi="Arial"/>
          <w:sz w:val="16"/>
          <w:szCs w:val="16"/>
          <w:color w:val="00497F"/>
        </w:rPr>
      </w:pPr>
    </w:p>
    <w:p>
      <w:pPr>
        <w:ind w:left="200" w:right="80" w:hanging="192"/>
        <w:spacing w:after="0" w:line="261" w:lineRule="auto"/>
        <w:tabs>
          <w:tab w:leader="none" w:pos="170" w:val="left"/>
        </w:tabs>
        <w:numPr>
          <w:ilvl w:val="0"/>
          <w:numId w:val="42"/>
        </w:numPr>
        <w:rPr>
          <w:rFonts w:ascii="Arial" w:cs="Arial" w:eastAsia="Arial" w:hAnsi="Arial"/>
          <w:sz w:val="16"/>
          <w:szCs w:val="16"/>
          <w:color w:val="00497F"/>
        </w:rPr>
      </w:pPr>
      <w:r>
        <w:rPr>
          <w:rFonts w:ascii="Arial" w:cs="Arial" w:eastAsia="Arial" w:hAnsi="Arial"/>
          <w:sz w:val="16"/>
          <w:szCs w:val="16"/>
          <w:color w:val="auto"/>
        </w:rPr>
        <w:t>a lump sum equal to a specified multiple of the sum of (i) the NEO’s annual base salary plus (ii) the average of the NEO’s target annual bonus amount for the last three full fiscal years prior to a change in control, or, if the NEO was employed by the Company for fewer than three full fiscal years preceding the fiscal year in which the change in control occurs, the average target bonus for the number of full fiscal years the NEO was employed by the Company before the change in control or the target bonus for the fiscal year in which the change in control occurs if the NEO was not eligible to receive a bonus from the Company during any of the prior three fiscal years; the applicable multiples are 200% of the annual base salary and bonus for the CEO and 100% of the annual base salary and bonus for other NEO participants;</w:t>
      </w:r>
    </w:p>
    <w:p>
      <w:pPr>
        <w:spacing w:after="0" w:line="41" w:lineRule="exact"/>
        <w:rPr>
          <w:rFonts w:ascii="Arial" w:cs="Arial" w:eastAsia="Arial" w:hAnsi="Arial"/>
          <w:sz w:val="16"/>
          <w:szCs w:val="16"/>
          <w:color w:val="00497F"/>
        </w:rPr>
      </w:pPr>
    </w:p>
    <w:p>
      <w:pPr>
        <w:ind w:left="200" w:right="180" w:hanging="192"/>
        <w:spacing w:after="0" w:line="286" w:lineRule="auto"/>
        <w:tabs>
          <w:tab w:leader="none" w:pos="170" w:val="left"/>
        </w:tabs>
        <w:numPr>
          <w:ilvl w:val="0"/>
          <w:numId w:val="42"/>
        </w:numPr>
        <w:rPr>
          <w:rFonts w:ascii="Arial" w:cs="Arial" w:eastAsia="Arial" w:hAnsi="Arial"/>
          <w:sz w:val="16"/>
          <w:szCs w:val="16"/>
          <w:color w:val="00497F"/>
        </w:rPr>
      </w:pPr>
      <w:r>
        <w:rPr>
          <w:rFonts w:ascii="Arial" w:cs="Arial" w:eastAsia="Arial" w:hAnsi="Arial"/>
          <w:sz w:val="16"/>
          <w:szCs w:val="16"/>
          <w:color w:val="auto"/>
        </w:rPr>
        <w:t>if the NEO elects to continue medical coverage under COBRA, reimbursement of the total cost of the NEO’s premiums that would be required to provide health insurance coverage, for 24 months for the CEO and for 12 months for all other NEOs;</w:t>
      </w:r>
    </w:p>
    <w:p>
      <w:pPr>
        <w:spacing w:after="0" w:line="20" w:lineRule="exact"/>
        <w:rPr>
          <w:rFonts w:ascii="Arial" w:cs="Arial" w:eastAsia="Arial" w:hAnsi="Arial"/>
          <w:sz w:val="16"/>
          <w:szCs w:val="16"/>
          <w:color w:val="00497F"/>
        </w:rPr>
      </w:pPr>
    </w:p>
    <w:p>
      <w:pPr>
        <w:ind w:left="200" w:right="20" w:hanging="192"/>
        <w:spacing w:after="0" w:line="265" w:lineRule="auto"/>
        <w:tabs>
          <w:tab w:leader="none" w:pos="170" w:val="left"/>
        </w:tabs>
        <w:numPr>
          <w:ilvl w:val="0"/>
          <w:numId w:val="42"/>
        </w:numPr>
        <w:rPr>
          <w:rFonts w:ascii="Arial" w:cs="Arial" w:eastAsia="Arial" w:hAnsi="Arial"/>
          <w:sz w:val="16"/>
          <w:szCs w:val="16"/>
          <w:color w:val="00497F"/>
        </w:rPr>
      </w:pPr>
      <w:r>
        <w:rPr>
          <w:rFonts w:ascii="Arial" w:cs="Arial" w:eastAsia="Arial" w:hAnsi="Arial"/>
          <w:sz w:val="16"/>
          <w:szCs w:val="16"/>
          <w:color w:val="auto"/>
        </w:rPr>
        <w:t>immediate acceleration of vesting of all of the NEO’s unvested stock options and RSUs; however, if the consideration to be received by stockholders of the Company in connection with the change in control consists of substantially all cash or if the stock options and RSUs held by the NEO are not assumed in the change in control, then all of the NEO’s then-unvested and outstanding stock options and RSUs shall vest immediately prior to the change in control regardless of whether or not there is a termination of employment in connection therewith; and</w:t>
      </w:r>
    </w:p>
    <w:p>
      <w:pPr>
        <w:spacing w:after="0" w:line="259"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Executive Compensation Tables</w:t>
      </w:r>
    </w:p>
    <w:p>
      <w:pPr>
        <w:spacing w:after="0" w:line="275" w:lineRule="exact"/>
        <w:rPr>
          <w:sz w:val="20"/>
          <w:szCs w:val="20"/>
          <w:color w:val="auto"/>
        </w:rPr>
      </w:pPr>
    </w:p>
    <w:p>
      <w:pPr>
        <w:ind w:left="200" w:right="120" w:hanging="192"/>
        <w:spacing w:after="0" w:line="304" w:lineRule="auto"/>
        <w:tabs>
          <w:tab w:leader="none" w:pos="170" w:val="left"/>
        </w:tabs>
        <w:numPr>
          <w:ilvl w:val="0"/>
          <w:numId w:val="43"/>
        </w:numPr>
        <w:rPr>
          <w:rFonts w:ascii="Arial" w:cs="Arial" w:eastAsia="Arial" w:hAnsi="Arial"/>
          <w:sz w:val="16"/>
          <w:szCs w:val="16"/>
          <w:color w:val="00497F"/>
        </w:rPr>
      </w:pPr>
      <w:r>
        <w:rPr>
          <w:rFonts w:ascii="Arial" w:cs="Arial" w:eastAsia="Arial" w:hAnsi="Arial"/>
          <w:sz w:val="16"/>
          <w:szCs w:val="16"/>
          <w:color w:val="auto"/>
        </w:rPr>
        <w:t>immediate acceleration of vesting of the NEO’s unvested PSUs, and if the performance period has not been completed, the amount payable is computed as if the performance has been satisfied at the target level.</w:t>
      </w:r>
    </w:p>
    <w:p>
      <w:pPr>
        <w:spacing w:after="0" w:line="33"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CIC Agreements include the following terms and conditions:</w:t>
      </w:r>
    </w:p>
    <w:p>
      <w:pPr>
        <w:spacing w:after="0" w:line="127" w:lineRule="exact"/>
        <w:rPr>
          <w:sz w:val="20"/>
          <w:szCs w:val="20"/>
          <w:color w:val="auto"/>
        </w:rPr>
      </w:pPr>
    </w:p>
    <w:p>
      <w:pPr>
        <w:ind w:left="200" w:hanging="192"/>
        <w:spacing w:after="0" w:line="260" w:lineRule="auto"/>
        <w:tabs>
          <w:tab w:leader="none" w:pos="170" w:val="left"/>
        </w:tabs>
        <w:numPr>
          <w:ilvl w:val="0"/>
          <w:numId w:val="44"/>
        </w:numPr>
        <w:rPr>
          <w:rFonts w:ascii="Arial" w:cs="Arial" w:eastAsia="Arial" w:hAnsi="Arial"/>
          <w:sz w:val="16"/>
          <w:szCs w:val="16"/>
          <w:color w:val="00497F"/>
        </w:rPr>
      </w:pPr>
      <w:r>
        <w:rPr>
          <w:rFonts w:ascii="Arial" w:cs="Arial" w:eastAsia="Arial" w:hAnsi="Arial"/>
          <w:sz w:val="16"/>
          <w:szCs w:val="16"/>
          <w:color w:val="auto"/>
        </w:rPr>
        <w:t>to the extent any change in control payments or benefits are characterized as excess parachute payments within the meaning of Section 4999 of the Internal Revenue Code, and such characterization would subject the NEO to a federal excise tax due to that characterization, the NEO’s termination benefits will be reduced to an amount so that none of the amounts payable constitute excess parachute payments if this would result in the NEO’s receipt, on an after-tax basis, of a greater amount of termination and other benefits, after taking into account applicable federal, state and local taxes, including the excise tax under Section 4999 of the Internal Revenue Code;</w:t>
      </w:r>
    </w:p>
    <w:p>
      <w:pPr>
        <w:spacing w:after="0" w:line="42" w:lineRule="exact"/>
        <w:rPr>
          <w:rFonts w:ascii="Arial" w:cs="Arial" w:eastAsia="Arial" w:hAnsi="Arial"/>
          <w:sz w:val="16"/>
          <w:szCs w:val="16"/>
          <w:color w:val="00497F"/>
        </w:rPr>
      </w:pPr>
    </w:p>
    <w:p>
      <w:pPr>
        <w:ind w:left="200" w:right="300" w:hanging="192"/>
        <w:spacing w:after="0" w:line="286" w:lineRule="auto"/>
        <w:tabs>
          <w:tab w:leader="none" w:pos="170" w:val="left"/>
        </w:tabs>
        <w:numPr>
          <w:ilvl w:val="0"/>
          <w:numId w:val="44"/>
        </w:numPr>
        <w:rPr>
          <w:rFonts w:ascii="Arial" w:cs="Arial" w:eastAsia="Arial" w:hAnsi="Arial"/>
          <w:sz w:val="16"/>
          <w:szCs w:val="16"/>
          <w:color w:val="004A98"/>
        </w:rPr>
      </w:pPr>
      <w:r>
        <w:rPr>
          <w:rFonts w:ascii="Arial" w:cs="Arial" w:eastAsia="Arial" w:hAnsi="Arial"/>
          <w:sz w:val="16"/>
          <w:szCs w:val="16"/>
          <w:color w:val="auto"/>
        </w:rPr>
        <w:t>a one-year term with an automatic renewal for one-year periods unless the Board terminates the CIC Agreement at least 90 days before the end of the then-current term, provided that such termination shall not be effective until the last day of the then-current term; and</w:t>
      </w:r>
    </w:p>
    <w:p>
      <w:pPr>
        <w:spacing w:after="0" w:line="20" w:lineRule="exact"/>
        <w:rPr>
          <w:rFonts w:ascii="Arial" w:cs="Arial" w:eastAsia="Arial" w:hAnsi="Arial"/>
          <w:sz w:val="16"/>
          <w:szCs w:val="16"/>
          <w:color w:val="004A98"/>
        </w:rPr>
      </w:pPr>
    </w:p>
    <w:p>
      <w:pPr>
        <w:ind w:left="180" w:hanging="172"/>
        <w:spacing w:after="0"/>
        <w:tabs>
          <w:tab w:leader="none" w:pos="180" w:val="left"/>
        </w:tabs>
        <w:numPr>
          <w:ilvl w:val="0"/>
          <w:numId w:val="44"/>
        </w:numPr>
        <w:rPr>
          <w:rFonts w:ascii="Arial" w:cs="Arial" w:eastAsia="Arial" w:hAnsi="Arial"/>
          <w:sz w:val="16"/>
          <w:szCs w:val="16"/>
          <w:color w:val="00497F"/>
        </w:rPr>
      </w:pPr>
      <w:r>
        <w:rPr>
          <w:rFonts w:ascii="Arial" w:cs="Arial" w:eastAsia="Arial" w:hAnsi="Arial"/>
          <w:sz w:val="16"/>
          <w:szCs w:val="16"/>
          <w:color w:val="auto"/>
        </w:rPr>
        <w:t>the NEO is prohibited from soliciting employees of Verisign or competing against Verisign for a period of 12 months following termination.</w:t>
      </w:r>
    </w:p>
    <w:p>
      <w:pPr>
        <w:spacing w:after="0" w:line="113" w:lineRule="exact"/>
        <w:rPr>
          <w:sz w:val="20"/>
          <w:szCs w:val="20"/>
          <w:color w:val="auto"/>
        </w:rPr>
      </w:pPr>
    </w:p>
    <w:p>
      <w:pPr>
        <w:jc w:val="both"/>
        <w:ind w:right="200"/>
        <w:spacing w:after="0" w:line="275" w:lineRule="auto"/>
        <w:rPr>
          <w:sz w:val="20"/>
          <w:szCs w:val="20"/>
          <w:color w:val="auto"/>
        </w:rPr>
      </w:pPr>
      <w:r>
        <w:rPr>
          <w:rFonts w:ascii="Arial" w:cs="Arial" w:eastAsia="Arial" w:hAnsi="Arial"/>
          <w:sz w:val="16"/>
          <w:szCs w:val="16"/>
          <w:color w:val="auto"/>
        </w:rPr>
        <w:t>The following table shows the equity awards that would have vested for our NEOs as of December 31, 2024, as well as the additional cash compensation payable to our NEOs, if any, under the change in control and termination scenarios described above if a change in control had occurred on such date. The value of the accelerated equity is based on the closing price of our common stock on December 31, 2024, which was $206.96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13232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820" w:type="dxa"/>
            <w:vAlign w:val="bottom"/>
          </w:tcPr>
          <w:p>
            <w:pPr>
              <w:ind w:left="20"/>
              <w:spacing w:after="0"/>
              <w:rPr>
                <w:sz w:val="20"/>
                <w:szCs w:val="20"/>
                <w:color w:val="auto"/>
              </w:rPr>
            </w:pPr>
            <w:r>
              <w:rPr>
                <w:rFonts w:ascii="Arial" w:cs="Arial" w:eastAsia="Arial" w:hAnsi="Arial"/>
                <w:sz w:val="13"/>
                <w:szCs w:val="13"/>
                <w:b w:val="1"/>
                <w:bCs w:val="1"/>
                <w:color w:val="004A98"/>
                <w:w w:val="99"/>
              </w:rPr>
              <w:t>TERMINATION AND CHANGE IN CONTROL BENEFIT ESTIMATES AS OF DECEMBER 31, 2024</w:t>
            </w:r>
          </w:p>
        </w:tc>
        <w:tc>
          <w:tcPr>
            <w:tcW w:w="1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8"/>
        </w:trPr>
        <w:tc>
          <w:tcPr>
            <w:tcW w:w="5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80" w:type="dxa"/>
            <w:vAlign w:val="bottom"/>
            <w:vMerge w:val="restart"/>
          </w:tcPr>
          <w:p>
            <w:pPr>
              <w:jc w:val="right"/>
              <w:ind w:right="314"/>
              <w:spacing w:after="0"/>
              <w:rPr>
                <w:sz w:val="20"/>
                <w:szCs w:val="20"/>
                <w:color w:val="auto"/>
              </w:rPr>
            </w:pPr>
            <w:r>
              <w:rPr>
                <w:rFonts w:ascii="Arial" w:cs="Arial" w:eastAsia="Arial" w:hAnsi="Arial"/>
                <w:sz w:val="13"/>
                <w:szCs w:val="13"/>
                <w:b w:val="1"/>
                <w:bCs w:val="1"/>
                <w:color w:val="auto"/>
              </w:rPr>
              <w:t>VALUE OF CASH AND CONTINUED</w:t>
            </w:r>
          </w:p>
        </w:tc>
        <w:tc>
          <w:tcPr>
            <w:tcW w:w="120" w:type="dxa"/>
            <w:vAlign w:val="bottom"/>
          </w:tcPr>
          <w:p>
            <w:pPr>
              <w:spacing w:after="0"/>
              <w:rPr>
                <w:sz w:val="20"/>
                <w:szCs w:val="20"/>
                <w:color w:val="auto"/>
              </w:rPr>
            </w:pPr>
          </w:p>
        </w:tc>
        <w:tc>
          <w:tcPr>
            <w:tcW w:w="2320" w:type="dxa"/>
            <w:vAlign w:val="bottom"/>
            <w:vMerge w:val="restart"/>
          </w:tcPr>
          <w:p>
            <w:pPr>
              <w:jc w:val="right"/>
              <w:ind w:right="294"/>
              <w:spacing w:after="0"/>
              <w:rPr>
                <w:sz w:val="20"/>
                <w:szCs w:val="20"/>
                <w:color w:val="auto"/>
              </w:rPr>
            </w:pPr>
            <w:r>
              <w:rPr>
                <w:rFonts w:ascii="Arial" w:cs="Arial" w:eastAsia="Arial" w:hAnsi="Arial"/>
                <w:sz w:val="13"/>
                <w:szCs w:val="13"/>
                <w:b w:val="1"/>
                <w:bCs w:val="1"/>
                <w:color w:val="auto"/>
              </w:rPr>
              <w:t>VALUE OF ACCELERATED</w:t>
            </w:r>
          </w:p>
        </w:tc>
        <w:tc>
          <w:tcPr>
            <w:tcW w:w="0" w:type="dxa"/>
            <w:vAlign w:val="bottom"/>
          </w:tcPr>
          <w:p>
            <w:pPr>
              <w:spacing w:after="0"/>
              <w:rPr>
                <w:sz w:val="1"/>
                <w:szCs w:val="1"/>
                <w:color w:val="auto"/>
              </w:rPr>
            </w:pPr>
          </w:p>
        </w:tc>
      </w:tr>
      <w:tr>
        <w:trPr>
          <w:trHeight w:val="158"/>
        </w:trPr>
        <w:tc>
          <w:tcPr>
            <w:tcW w:w="58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880" w:type="dxa"/>
            <w:vAlign w:val="bottom"/>
            <w:vMerge w:val="continue"/>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3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5820" w:type="dxa"/>
            <w:vAlign w:val="bottom"/>
          </w:tcPr>
          <w:p>
            <w:pPr>
              <w:spacing w:after="0"/>
              <w:rPr>
                <w:sz w:val="14"/>
                <w:szCs w:val="14"/>
                <w:color w:val="auto"/>
              </w:rPr>
            </w:pPr>
          </w:p>
        </w:tc>
        <w:tc>
          <w:tcPr>
            <w:tcW w:w="100" w:type="dxa"/>
            <w:vAlign w:val="bottom"/>
            <w:tcBorders>
              <w:right w:val="single" w:sz="8" w:color="auto"/>
            </w:tcBorders>
          </w:tcPr>
          <w:p>
            <w:pPr>
              <w:spacing w:after="0"/>
              <w:rPr>
                <w:sz w:val="14"/>
                <w:szCs w:val="14"/>
                <w:color w:val="auto"/>
              </w:rPr>
            </w:pPr>
          </w:p>
        </w:tc>
        <w:tc>
          <w:tcPr>
            <w:tcW w:w="2880" w:type="dxa"/>
            <w:vAlign w:val="bottom"/>
          </w:tcPr>
          <w:p>
            <w:pPr>
              <w:jc w:val="right"/>
              <w:ind w:right="694"/>
              <w:spacing w:after="0"/>
              <w:rPr>
                <w:sz w:val="20"/>
                <w:szCs w:val="20"/>
                <w:color w:val="auto"/>
              </w:rPr>
            </w:pPr>
            <w:r>
              <w:rPr>
                <w:rFonts w:ascii="Arial" w:cs="Arial" w:eastAsia="Arial" w:hAnsi="Arial"/>
                <w:sz w:val="13"/>
                <w:szCs w:val="13"/>
                <w:b w:val="1"/>
                <w:bCs w:val="1"/>
                <w:color w:val="auto"/>
              </w:rPr>
              <w:t>HEALTH BENEFITS ($)</w:t>
            </w:r>
          </w:p>
        </w:tc>
        <w:tc>
          <w:tcPr>
            <w:tcW w:w="120" w:type="dxa"/>
            <w:vAlign w:val="bottom"/>
            <w:tcBorders>
              <w:right w:val="single" w:sz="8" w:color="auto"/>
            </w:tcBorders>
          </w:tcPr>
          <w:p>
            <w:pPr>
              <w:spacing w:after="0"/>
              <w:rPr>
                <w:sz w:val="14"/>
                <w:szCs w:val="14"/>
                <w:color w:val="auto"/>
              </w:rPr>
            </w:pPr>
          </w:p>
        </w:tc>
        <w:tc>
          <w:tcPr>
            <w:tcW w:w="2320" w:type="dxa"/>
            <w:vAlign w:val="bottom"/>
          </w:tcPr>
          <w:p>
            <w:pPr>
              <w:jc w:val="right"/>
              <w:ind w:right="494"/>
              <w:spacing w:after="0"/>
              <w:rPr>
                <w:sz w:val="20"/>
                <w:szCs w:val="20"/>
                <w:color w:val="auto"/>
              </w:rPr>
            </w:pPr>
            <w:r>
              <w:rPr>
                <w:rFonts w:ascii="Arial" w:cs="Arial" w:eastAsia="Arial" w:hAnsi="Arial"/>
                <w:sz w:val="13"/>
                <w:szCs w:val="13"/>
                <w:b w:val="1"/>
                <w:bCs w:val="1"/>
                <w:color w:val="auto"/>
              </w:rPr>
              <w:t>STOCK AWARDS ($)</w:t>
            </w:r>
          </w:p>
        </w:tc>
        <w:tc>
          <w:tcPr>
            <w:tcW w:w="0" w:type="dxa"/>
            <w:vAlign w:val="bottom"/>
          </w:tcPr>
          <w:p>
            <w:pPr>
              <w:spacing w:after="0"/>
              <w:rPr>
                <w:sz w:val="1"/>
                <w:szCs w:val="1"/>
                <w:color w:val="auto"/>
              </w:rPr>
            </w:pPr>
          </w:p>
        </w:tc>
      </w:tr>
      <w:tr>
        <w:trPr>
          <w:trHeight w:val="22"/>
        </w:trPr>
        <w:tc>
          <w:tcPr>
            <w:tcW w:w="58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2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58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288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320" w:type="dxa"/>
            <w:vAlign w:val="bottom"/>
          </w:tcPr>
          <w:p>
            <w:pPr>
              <w:jc w:val="right"/>
              <w:ind w:right="14"/>
              <w:spacing w:after="0"/>
              <w:rPr>
                <w:sz w:val="20"/>
                <w:szCs w:val="20"/>
                <w:color w:val="auto"/>
              </w:rPr>
            </w:pPr>
            <w:r>
              <w:rPr>
                <w:rFonts w:ascii="Arial" w:cs="Arial" w:eastAsia="Arial" w:hAnsi="Arial"/>
                <w:sz w:val="13"/>
                <w:szCs w:val="13"/>
                <w:b w:val="1"/>
                <w:bCs w:val="1"/>
                <w:color w:val="auto"/>
              </w:rPr>
              <w:t>DEATH, DISABILITY OR</w:t>
            </w:r>
          </w:p>
        </w:tc>
        <w:tc>
          <w:tcPr>
            <w:tcW w:w="0" w:type="dxa"/>
            <w:vAlign w:val="bottom"/>
          </w:tcPr>
          <w:p>
            <w:pPr>
              <w:spacing w:after="0"/>
              <w:rPr>
                <w:sz w:val="1"/>
                <w:szCs w:val="1"/>
                <w:color w:val="auto"/>
              </w:rPr>
            </w:pPr>
          </w:p>
        </w:tc>
      </w:tr>
      <w:tr>
        <w:trPr>
          <w:trHeight w:val="148"/>
        </w:trPr>
        <w:tc>
          <w:tcPr>
            <w:tcW w:w="58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880" w:type="dxa"/>
            <w:vAlign w:val="bottom"/>
          </w:tcPr>
          <w:p>
            <w:pPr>
              <w:jc w:val="right"/>
              <w:spacing w:after="0"/>
              <w:rPr>
                <w:sz w:val="20"/>
                <w:szCs w:val="20"/>
                <w:color w:val="auto"/>
              </w:rPr>
            </w:pPr>
            <w:r>
              <w:rPr>
                <w:rFonts w:ascii="Arial" w:cs="Arial" w:eastAsia="Arial" w:hAnsi="Arial"/>
                <w:sz w:val="13"/>
                <w:szCs w:val="13"/>
                <w:b w:val="1"/>
                <w:bCs w:val="1"/>
                <w:color w:val="auto"/>
              </w:rPr>
              <w:t>CHANGE IN CONTROL</w:t>
            </w:r>
          </w:p>
        </w:tc>
        <w:tc>
          <w:tcPr>
            <w:tcW w:w="120" w:type="dxa"/>
            <w:vAlign w:val="bottom"/>
            <w:tcBorders>
              <w:right w:val="single" w:sz="8" w:color="auto"/>
            </w:tcBorders>
          </w:tcPr>
          <w:p>
            <w:pPr>
              <w:spacing w:after="0"/>
              <w:rPr>
                <w:sz w:val="12"/>
                <w:szCs w:val="12"/>
                <w:color w:val="auto"/>
              </w:rPr>
            </w:pPr>
          </w:p>
        </w:tc>
        <w:tc>
          <w:tcPr>
            <w:tcW w:w="2320" w:type="dxa"/>
            <w:vAlign w:val="bottom"/>
          </w:tcPr>
          <w:p>
            <w:pPr>
              <w:jc w:val="right"/>
              <w:ind w:right="14"/>
              <w:spacing w:after="0"/>
              <w:rPr>
                <w:sz w:val="20"/>
                <w:szCs w:val="20"/>
                <w:color w:val="auto"/>
              </w:rPr>
            </w:pPr>
            <w:r>
              <w:rPr>
                <w:rFonts w:ascii="Arial" w:cs="Arial" w:eastAsia="Arial" w:hAnsi="Arial"/>
                <w:sz w:val="13"/>
                <w:szCs w:val="13"/>
                <w:b w:val="1"/>
                <w:bCs w:val="1"/>
                <w:color w:val="auto"/>
              </w:rPr>
              <w:t>CHANGE IN CONTROL</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2880" w:type="dxa"/>
            <w:vAlign w:val="bottom"/>
          </w:tcPr>
          <w:p>
            <w:pPr>
              <w:jc w:val="right"/>
              <w:spacing w:after="0"/>
              <w:rPr>
                <w:sz w:val="20"/>
                <w:szCs w:val="20"/>
                <w:color w:val="auto"/>
              </w:rPr>
            </w:pPr>
            <w:r>
              <w:rPr>
                <w:rFonts w:ascii="Arial" w:cs="Arial" w:eastAsia="Arial" w:hAnsi="Arial"/>
                <w:sz w:val="13"/>
                <w:szCs w:val="13"/>
                <w:b w:val="1"/>
                <w:bCs w:val="1"/>
                <w:color w:val="auto"/>
              </w:rPr>
              <w:t>PLUS QUALIFYING</w:t>
            </w:r>
          </w:p>
        </w:tc>
        <w:tc>
          <w:tcPr>
            <w:tcW w:w="120" w:type="dxa"/>
            <w:vAlign w:val="bottom"/>
            <w:tcBorders>
              <w:right w:val="single" w:sz="8" w:color="auto"/>
            </w:tcBorders>
          </w:tcPr>
          <w:p>
            <w:pPr>
              <w:spacing w:after="0"/>
              <w:rPr>
                <w:sz w:val="12"/>
                <w:szCs w:val="12"/>
                <w:color w:val="auto"/>
              </w:rPr>
            </w:pPr>
          </w:p>
        </w:tc>
        <w:tc>
          <w:tcPr>
            <w:tcW w:w="2320" w:type="dxa"/>
            <w:vAlign w:val="bottom"/>
          </w:tcPr>
          <w:p>
            <w:pPr>
              <w:jc w:val="right"/>
              <w:ind w:right="14"/>
              <w:spacing w:after="0"/>
              <w:rPr>
                <w:sz w:val="20"/>
                <w:szCs w:val="20"/>
                <w:color w:val="auto"/>
              </w:rPr>
            </w:pPr>
            <w:r>
              <w:rPr>
                <w:rFonts w:ascii="Arial" w:cs="Arial" w:eastAsia="Arial" w:hAnsi="Arial"/>
                <w:sz w:val="13"/>
                <w:szCs w:val="13"/>
                <w:b w:val="1"/>
                <w:bCs w:val="1"/>
                <w:color w:val="auto"/>
              </w:rPr>
              <w:t>PLUS QUALIFYING</w:t>
            </w:r>
          </w:p>
        </w:tc>
        <w:tc>
          <w:tcPr>
            <w:tcW w:w="0" w:type="dxa"/>
            <w:vAlign w:val="bottom"/>
          </w:tcPr>
          <w:p>
            <w:pPr>
              <w:spacing w:after="0"/>
              <w:rPr>
                <w:sz w:val="1"/>
                <w:szCs w:val="1"/>
                <w:color w:val="auto"/>
              </w:rPr>
            </w:pPr>
          </w:p>
        </w:tc>
      </w:tr>
      <w:tr>
        <w:trPr>
          <w:trHeight w:val="207"/>
        </w:trPr>
        <w:tc>
          <w:tcPr>
            <w:tcW w:w="5820" w:type="dxa"/>
            <w:vAlign w:val="bottom"/>
            <w:tcBorders>
              <w:bottom w:val="single" w:sz="8" w:color="auto"/>
            </w:tcBorders>
          </w:tcPr>
          <w:p>
            <w:pPr>
              <w:ind w:left="60"/>
              <w:spacing w:after="0"/>
              <w:rPr>
                <w:sz w:val="20"/>
                <w:szCs w:val="20"/>
                <w:color w:val="auto"/>
              </w:rPr>
            </w:pPr>
            <w:r>
              <w:rPr>
                <w:rFonts w:ascii="Arial" w:cs="Arial" w:eastAsia="Arial" w:hAnsi="Arial"/>
                <w:sz w:val="13"/>
                <w:szCs w:val="13"/>
                <w:b w:val="1"/>
                <w:bCs w:val="1"/>
                <w:color w:val="auto"/>
              </w:rPr>
              <w:t>NAMED EXECUTIVE OFFICER</w:t>
            </w:r>
          </w:p>
        </w:tc>
        <w:tc>
          <w:tcPr>
            <w:tcW w:w="100" w:type="dxa"/>
            <w:vAlign w:val="bottom"/>
            <w:tcBorders>
              <w:right w:val="single" w:sz="8" w:color="auto"/>
            </w:tcBorders>
          </w:tcPr>
          <w:p>
            <w:pPr>
              <w:spacing w:after="0"/>
              <w:rPr>
                <w:sz w:val="18"/>
                <w:szCs w:val="18"/>
                <w:color w:val="auto"/>
              </w:rPr>
            </w:pPr>
          </w:p>
        </w:tc>
        <w:tc>
          <w:tcPr>
            <w:tcW w:w="2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TERMINATION</w:t>
            </w:r>
            <w:r>
              <w:rPr>
                <w:rFonts w:ascii="Arial" w:cs="Arial" w:eastAsia="Arial" w:hAnsi="Arial"/>
                <w:sz w:val="16"/>
                <w:szCs w:val="16"/>
                <w:b w:val="1"/>
                <w:bCs w:val="1"/>
                <w:color w:val="auto"/>
                <w:vertAlign w:val="superscript"/>
              </w:rPr>
              <w:t>(1)</w:t>
            </w:r>
          </w:p>
        </w:tc>
        <w:tc>
          <w:tcPr>
            <w:tcW w:w="120" w:type="dxa"/>
            <w:vAlign w:val="bottom"/>
            <w:tcBorders>
              <w:right w:val="single" w:sz="8" w:color="auto"/>
            </w:tcBorders>
          </w:tcPr>
          <w:p>
            <w:pPr>
              <w:spacing w:after="0"/>
              <w:rPr>
                <w:sz w:val="18"/>
                <w:szCs w:val="18"/>
                <w:color w:val="auto"/>
              </w:rPr>
            </w:pPr>
          </w:p>
        </w:tc>
        <w:tc>
          <w:tcPr>
            <w:tcW w:w="2320" w:type="dxa"/>
            <w:vAlign w:val="bottom"/>
            <w:tcBorders>
              <w:bottom w:val="single" w:sz="8" w:color="auto"/>
            </w:tcBorders>
          </w:tcPr>
          <w:p>
            <w:pPr>
              <w:jc w:val="right"/>
              <w:ind w:right="14"/>
              <w:spacing w:after="0"/>
              <w:rPr>
                <w:sz w:val="20"/>
                <w:szCs w:val="20"/>
                <w:color w:val="auto"/>
              </w:rPr>
            </w:pPr>
            <w:r>
              <w:rPr>
                <w:rFonts w:ascii="Arial" w:cs="Arial" w:eastAsia="Arial" w:hAnsi="Arial"/>
                <w:sz w:val="13"/>
                <w:szCs w:val="13"/>
                <w:b w:val="1"/>
                <w:bCs w:val="1"/>
                <w:color w:val="auto"/>
              </w:rPr>
              <w:t>TERMINATION</w:t>
            </w:r>
            <w:r>
              <w:rPr>
                <w:rFonts w:ascii="Arial" w:cs="Arial" w:eastAsia="Arial" w:hAnsi="Arial"/>
                <w:sz w:val="16"/>
                <w:szCs w:val="16"/>
                <w:b w:val="1"/>
                <w:bCs w:val="1"/>
                <w:color w:val="auto"/>
                <w:vertAlign w:val="superscript"/>
              </w:rPr>
              <w:t>(2)(3)</w:t>
            </w:r>
          </w:p>
        </w:tc>
        <w:tc>
          <w:tcPr>
            <w:tcW w:w="0" w:type="dxa"/>
            <w:vAlign w:val="bottom"/>
          </w:tcPr>
          <w:p>
            <w:pPr>
              <w:spacing w:after="0"/>
              <w:rPr>
                <w:sz w:val="1"/>
                <w:szCs w:val="1"/>
                <w:color w:val="auto"/>
              </w:rPr>
            </w:pPr>
          </w:p>
        </w:tc>
      </w:tr>
      <w:tr>
        <w:trPr>
          <w:trHeight w:val="196"/>
        </w:trPr>
        <w:tc>
          <w:tcPr>
            <w:tcW w:w="5820" w:type="dxa"/>
            <w:vAlign w:val="bottom"/>
            <w:shd w:val="clear" w:color="auto" w:fill="E6E7E8"/>
          </w:tcPr>
          <w:p>
            <w:pPr>
              <w:ind w:left="60"/>
              <w:spacing w:after="0"/>
              <w:rPr>
                <w:sz w:val="20"/>
                <w:szCs w:val="20"/>
                <w:color w:val="auto"/>
              </w:rPr>
            </w:pPr>
            <w:r>
              <w:rPr>
                <w:rFonts w:ascii="Arial" w:cs="Arial" w:eastAsia="Arial" w:hAnsi="Arial"/>
                <w:sz w:val="14"/>
                <w:szCs w:val="14"/>
                <w:b w:val="1"/>
                <w:bCs w:val="1"/>
                <w:color w:val="004A98"/>
              </w:rPr>
              <w:t>D. James Bidzos</w:t>
            </w:r>
          </w:p>
        </w:tc>
        <w:tc>
          <w:tcPr>
            <w:tcW w:w="100" w:type="dxa"/>
            <w:vAlign w:val="bottom"/>
            <w:tcBorders>
              <w:right w:val="single" w:sz="8" w:color="E6E7E8"/>
            </w:tcBorders>
          </w:tcPr>
          <w:p>
            <w:pPr>
              <w:spacing w:after="0"/>
              <w:rPr>
                <w:sz w:val="17"/>
                <w:szCs w:val="17"/>
                <w:color w:val="auto"/>
              </w:rPr>
            </w:pPr>
          </w:p>
        </w:tc>
        <w:tc>
          <w:tcPr>
            <w:tcW w:w="2880" w:type="dxa"/>
            <w:vAlign w:val="bottom"/>
            <w:shd w:val="clear" w:color="auto" w:fill="E6E7E8"/>
          </w:tcPr>
          <w:p>
            <w:pPr>
              <w:jc w:val="right"/>
              <w:spacing w:after="0"/>
              <w:rPr>
                <w:sz w:val="20"/>
                <w:szCs w:val="20"/>
                <w:color w:val="auto"/>
              </w:rPr>
            </w:pPr>
            <w:r>
              <w:rPr>
                <w:rFonts w:ascii="Arial" w:cs="Arial" w:eastAsia="Arial" w:hAnsi="Arial"/>
                <w:sz w:val="14"/>
                <w:szCs w:val="14"/>
                <w:color w:val="auto"/>
              </w:rPr>
              <w:t>6,189,330</w:t>
            </w:r>
          </w:p>
        </w:tc>
        <w:tc>
          <w:tcPr>
            <w:tcW w:w="120" w:type="dxa"/>
            <w:vAlign w:val="bottom"/>
            <w:tcBorders>
              <w:right w:val="single" w:sz="8" w:color="E6E7E8"/>
            </w:tcBorders>
          </w:tcPr>
          <w:p>
            <w:pPr>
              <w:spacing w:after="0"/>
              <w:rPr>
                <w:sz w:val="17"/>
                <w:szCs w:val="17"/>
                <w:color w:val="auto"/>
              </w:rPr>
            </w:pPr>
          </w:p>
        </w:tc>
        <w:tc>
          <w:tcPr>
            <w:tcW w:w="2320" w:type="dxa"/>
            <w:vAlign w:val="bottom"/>
            <w:shd w:val="clear" w:color="auto" w:fill="E6E7E8"/>
          </w:tcPr>
          <w:p>
            <w:pPr>
              <w:jc w:val="right"/>
              <w:ind w:right="14"/>
              <w:spacing w:after="0"/>
              <w:rPr>
                <w:sz w:val="20"/>
                <w:szCs w:val="20"/>
                <w:color w:val="auto"/>
              </w:rPr>
            </w:pPr>
            <w:r>
              <w:rPr>
                <w:rFonts w:ascii="Arial" w:cs="Arial" w:eastAsia="Arial" w:hAnsi="Arial"/>
                <w:sz w:val="14"/>
                <w:szCs w:val="14"/>
                <w:color w:val="auto"/>
              </w:rPr>
              <w:t>26,943,708</w:t>
            </w:r>
          </w:p>
        </w:tc>
        <w:tc>
          <w:tcPr>
            <w:tcW w:w="0" w:type="dxa"/>
            <w:vAlign w:val="bottom"/>
          </w:tcPr>
          <w:p>
            <w:pPr>
              <w:spacing w:after="0"/>
              <w:rPr>
                <w:sz w:val="1"/>
                <w:szCs w:val="1"/>
                <w:color w:val="auto"/>
              </w:rPr>
            </w:pPr>
          </w:p>
        </w:tc>
      </w:tr>
      <w:tr>
        <w:trPr>
          <w:trHeight w:val="201"/>
        </w:trPr>
        <w:tc>
          <w:tcPr>
            <w:tcW w:w="5820" w:type="dxa"/>
            <w:vAlign w:val="bottom"/>
          </w:tcPr>
          <w:p>
            <w:pPr>
              <w:ind w:left="60"/>
              <w:spacing w:after="0"/>
              <w:rPr>
                <w:sz w:val="20"/>
                <w:szCs w:val="20"/>
                <w:color w:val="auto"/>
              </w:rPr>
            </w:pPr>
            <w:r>
              <w:rPr>
                <w:rFonts w:ascii="Arial" w:cs="Arial" w:eastAsia="Arial" w:hAnsi="Arial"/>
                <w:sz w:val="14"/>
                <w:szCs w:val="14"/>
                <w:b w:val="1"/>
                <w:bCs w:val="1"/>
                <w:color w:val="004A98"/>
              </w:rPr>
              <w:t>George E. Kilguss, III</w:t>
            </w:r>
          </w:p>
        </w:tc>
        <w:tc>
          <w:tcPr>
            <w:tcW w:w="2980" w:type="dxa"/>
            <w:vAlign w:val="bottom"/>
            <w:gridSpan w:val="2"/>
          </w:tcPr>
          <w:p>
            <w:pPr>
              <w:jc w:val="right"/>
              <w:spacing w:after="0"/>
              <w:rPr>
                <w:sz w:val="20"/>
                <w:szCs w:val="20"/>
                <w:color w:val="auto"/>
              </w:rPr>
            </w:pPr>
            <w:r>
              <w:rPr>
                <w:rFonts w:ascii="Arial" w:cs="Arial" w:eastAsia="Arial" w:hAnsi="Arial"/>
                <w:sz w:val="14"/>
                <w:szCs w:val="14"/>
                <w:color w:val="auto"/>
              </w:rPr>
              <w:t>1,674,316</w:t>
            </w:r>
          </w:p>
        </w:tc>
        <w:tc>
          <w:tcPr>
            <w:tcW w:w="2440" w:type="dxa"/>
            <w:vAlign w:val="bottom"/>
            <w:gridSpan w:val="2"/>
          </w:tcPr>
          <w:p>
            <w:pPr>
              <w:jc w:val="right"/>
              <w:ind w:right="14"/>
              <w:spacing w:after="0"/>
              <w:rPr>
                <w:sz w:val="20"/>
                <w:szCs w:val="20"/>
                <w:color w:val="auto"/>
              </w:rPr>
            </w:pPr>
            <w:r>
              <w:rPr>
                <w:rFonts w:ascii="Arial" w:cs="Arial" w:eastAsia="Arial" w:hAnsi="Arial"/>
                <w:sz w:val="14"/>
                <w:szCs w:val="14"/>
                <w:color w:val="auto"/>
              </w:rPr>
              <w:t>7,988,863</w:t>
            </w:r>
          </w:p>
        </w:tc>
        <w:tc>
          <w:tcPr>
            <w:tcW w:w="0" w:type="dxa"/>
            <w:vAlign w:val="bottom"/>
          </w:tcPr>
          <w:p>
            <w:pPr>
              <w:spacing w:after="0"/>
              <w:rPr>
                <w:sz w:val="1"/>
                <w:szCs w:val="1"/>
                <w:color w:val="auto"/>
              </w:rPr>
            </w:pPr>
          </w:p>
        </w:tc>
      </w:tr>
      <w:tr>
        <w:trPr>
          <w:trHeight w:val="204"/>
        </w:trPr>
        <w:tc>
          <w:tcPr>
            <w:tcW w:w="5820" w:type="dxa"/>
            <w:vAlign w:val="bottom"/>
            <w:shd w:val="clear" w:color="auto" w:fill="E6E7E8"/>
          </w:tcPr>
          <w:p>
            <w:pPr>
              <w:ind w:left="60"/>
              <w:spacing w:after="0"/>
              <w:rPr>
                <w:sz w:val="20"/>
                <w:szCs w:val="20"/>
                <w:color w:val="auto"/>
              </w:rPr>
            </w:pPr>
            <w:r>
              <w:rPr>
                <w:rFonts w:ascii="Arial" w:cs="Arial" w:eastAsia="Arial" w:hAnsi="Arial"/>
                <w:sz w:val="14"/>
                <w:szCs w:val="14"/>
                <w:b w:val="1"/>
                <w:bCs w:val="1"/>
                <w:color w:val="004A98"/>
              </w:rPr>
              <w:t>Danny R. McPherson</w:t>
            </w:r>
          </w:p>
        </w:tc>
        <w:tc>
          <w:tcPr>
            <w:tcW w:w="100" w:type="dxa"/>
            <w:vAlign w:val="bottom"/>
            <w:tcBorders>
              <w:right w:val="single" w:sz="8" w:color="E6E7E8"/>
            </w:tcBorders>
          </w:tcPr>
          <w:p>
            <w:pPr>
              <w:spacing w:after="0"/>
              <w:rPr>
                <w:sz w:val="17"/>
                <w:szCs w:val="17"/>
                <w:color w:val="auto"/>
              </w:rPr>
            </w:pPr>
          </w:p>
        </w:tc>
        <w:tc>
          <w:tcPr>
            <w:tcW w:w="2880" w:type="dxa"/>
            <w:vAlign w:val="bottom"/>
            <w:shd w:val="clear" w:color="auto" w:fill="E6E7E8"/>
          </w:tcPr>
          <w:p>
            <w:pPr>
              <w:jc w:val="right"/>
              <w:spacing w:after="0"/>
              <w:rPr>
                <w:sz w:val="20"/>
                <w:szCs w:val="20"/>
                <w:color w:val="auto"/>
              </w:rPr>
            </w:pPr>
            <w:r>
              <w:rPr>
                <w:rFonts w:ascii="Arial" w:cs="Arial" w:eastAsia="Arial" w:hAnsi="Arial"/>
                <w:sz w:val="14"/>
                <w:szCs w:val="14"/>
                <w:color w:val="auto"/>
              </w:rPr>
              <w:t>1,676,520</w:t>
            </w:r>
          </w:p>
        </w:tc>
        <w:tc>
          <w:tcPr>
            <w:tcW w:w="120" w:type="dxa"/>
            <w:vAlign w:val="bottom"/>
            <w:tcBorders>
              <w:right w:val="single" w:sz="8" w:color="E6E7E8"/>
            </w:tcBorders>
          </w:tcPr>
          <w:p>
            <w:pPr>
              <w:spacing w:after="0"/>
              <w:rPr>
                <w:sz w:val="17"/>
                <w:szCs w:val="17"/>
                <w:color w:val="auto"/>
              </w:rPr>
            </w:pPr>
          </w:p>
        </w:tc>
        <w:tc>
          <w:tcPr>
            <w:tcW w:w="2320" w:type="dxa"/>
            <w:vAlign w:val="bottom"/>
            <w:shd w:val="clear" w:color="auto" w:fill="E6E7E8"/>
          </w:tcPr>
          <w:p>
            <w:pPr>
              <w:jc w:val="right"/>
              <w:ind w:right="14"/>
              <w:spacing w:after="0"/>
              <w:rPr>
                <w:sz w:val="20"/>
                <w:szCs w:val="20"/>
                <w:color w:val="auto"/>
              </w:rPr>
            </w:pPr>
            <w:r>
              <w:rPr>
                <w:rFonts w:ascii="Arial" w:cs="Arial" w:eastAsia="Arial" w:hAnsi="Arial"/>
                <w:sz w:val="14"/>
                <w:szCs w:val="14"/>
                <w:color w:val="auto"/>
              </w:rPr>
              <w:t>7,980,585</w:t>
            </w:r>
          </w:p>
        </w:tc>
        <w:tc>
          <w:tcPr>
            <w:tcW w:w="0" w:type="dxa"/>
            <w:vAlign w:val="bottom"/>
          </w:tcPr>
          <w:p>
            <w:pPr>
              <w:spacing w:after="0"/>
              <w:rPr>
                <w:sz w:val="1"/>
                <w:szCs w:val="1"/>
                <w:color w:val="auto"/>
              </w:rPr>
            </w:pPr>
          </w:p>
        </w:tc>
      </w:tr>
      <w:tr>
        <w:trPr>
          <w:trHeight w:val="201"/>
        </w:trPr>
        <w:tc>
          <w:tcPr>
            <w:tcW w:w="5820" w:type="dxa"/>
            <w:vAlign w:val="bottom"/>
            <w:tcBorders>
              <w:bottom w:val="single" w:sz="8" w:color="939598"/>
            </w:tcBorders>
          </w:tcPr>
          <w:p>
            <w:pPr>
              <w:ind w:left="60"/>
              <w:spacing w:after="0"/>
              <w:rPr>
                <w:sz w:val="20"/>
                <w:szCs w:val="20"/>
                <w:color w:val="auto"/>
              </w:rPr>
            </w:pPr>
            <w:r>
              <w:rPr>
                <w:rFonts w:ascii="Arial" w:cs="Arial" w:eastAsia="Arial" w:hAnsi="Arial"/>
                <w:sz w:val="14"/>
                <w:szCs w:val="14"/>
                <w:b w:val="1"/>
                <w:bCs w:val="1"/>
                <w:color w:val="004A98"/>
              </w:rPr>
              <w:t>Thomas C. Indelicarto</w:t>
            </w:r>
          </w:p>
        </w:tc>
        <w:tc>
          <w:tcPr>
            <w:tcW w:w="100" w:type="dxa"/>
            <w:vAlign w:val="bottom"/>
          </w:tcPr>
          <w:p>
            <w:pPr>
              <w:spacing w:after="0"/>
              <w:rPr>
                <w:sz w:val="17"/>
                <w:szCs w:val="17"/>
                <w:color w:val="auto"/>
              </w:rPr>
            </w:pPr>
          </w:p>
        </w:tc>
        <w:tc>
          <w:tcPr>
            <w:tcW w:w="2880" w:type="dxa"/>
            <w:vAlign w:val="bottom"/>
            <w:tcBorders>
              <w:bottom w:val="single" w:sz="8" w:color="939598"/>
            </w:tcBorders>
          </w:tcPr>
          <w:p>
            <w:pPr>
              <w:jc w:val="right"/>
              <w:spacing w:after="0"/>
              <w:rPr>
                <w:sz w:val="20"/>
                <w:szCs w:val="20"/>
                <w:color w:val="auto"/>
              </w:rPr>
            </w:pPr>
            <w:r>
              <w:rPr>
                <w:rFonts w:ascii="Arial" w:cs="Arial" w:eastAsia="Arial" w:hAnsi="Arial"/>
                <w:sz w:val="14"/>
                <w:szCs w:val="14"/>
                <w:color w:val="auto"/>
              </w:rPr>
              <w:t>1,663,232</w:t>
            </w:r>
          </w:p>
        </w:tc>
        <w:tc>
          <w:tcPr>
            <w:tcW w:w="120" w:type="dxa"/>
            <w:vAlign w:val="bottom"/>
          </w:tcPr>
          <w:p>
            <w:pPr>
              <w:spacing w:after="0"/>
              <w:rPr>
                <w:sz w:val="17"/>
                <w:szCs w:val="17"/>
                <w:color w:val="auto"/>
              </w:rPr>
            </w:pPr>
          </w:p>
        </w:tc>
        <w:tc>
          <w:tcPr>
            <w:tcW w:w="2320" w:type="dxa"/>
            <w:vAlign w:val="bottom"/>
            <w:tcBorders>
              <w:bottom w:val="single" w:sz="8" w:color="939598"/>
            </w:tcBorders>
          </w:tcPr>
          <w:p>
            <w:pPr>
              <w:jc w:val="right"/>
              <w:ind w:right="14"/>
              <w:spacing w:after="0"/>
              <w:rPr>
                <w:sz w:val="20"/>
                <w:szCs w:val="20"/>
                <w:color w:val="auto"/>
              </w:rPr>
            </w:pPr>
            <w:r>
              <w:rPr>
                <w:rFonts w:ascii="Arial" w:cs="Arial" w:eastAsia="Arial" w:hAnsi="Arial"/>
                <w:sz w:val="14"/>
                <w:szCs w:val="14"/>
                <w:color w:val="auto"/>
              </w:rPr>
              <w:t>7,715,262</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140" w:hanging="252"/>
        <w:spacing w:after="0" w:line="234" w:lineRule="auto"/>
        <w:tabs>
          <w:tab w:leader="none" w:pos="250"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To the extent any payments made or benefits provided upon termination of an NEO’s employment constitute deferred compensation subject to Section 409A of the Internal Revenue Code, payment of such amounts or provision of such benefits will be delayed for six months after the NEOs separation from service if and to the extent required under Section 409A of the Internal Revenue Code.</w:t>
      </w:r>
    </w:p>
    <w:p>
      <w:pPr>
        <w:spacing w:after="0" w:line="53" w:lineRule="exact"/>
        <w:rPr>
          <w:rFonts w:ascii="Arial" w:cs="Arial" w:eastAsia="Arial" w:hAnsi="Arial"/>
          <w:sz w:val="19"/>
          <w:szCs w:val="19"/>
          <w:color w:val="auto"/>
          <w:vertAlign w:val="superscript"/>
        </w:rPr>
      </w:pPr>
    </w:p>
    <w:p>
      <w:pPr>
        <w:ind w:left="260" w:right="180" w:hanging="252"/>
        <w:spacing w:after="0" w:line="283" w:lineRule="auto"/>
        <w:tabs>
          <w:tab w:leader="none" w:pos="250" w:val="left"/>
        </w:tabs>
        <w:numPr>
          <w:ilvl w:val="0"/>
          <w:numId w:val="45"/>
        </w:numPr>
        <w:rPr>
          <w:rFonts w:ascii="Arial" w:cs="Arial" w:eastAsia="Arial" w:hAnsi="Arial"/>
          <w:sz w:val="9"/>
          <w:szCs w:val="9"/>
          <w:color w:val="auto"/>
        </w:rPr>
      </w:pPr>
      <w:r>
        <w:rPr>
          <w:rFonts w:ascii="Arial" w:cs="Arial" w:eastAsia="Arial" w:hAnsi="Arial"/>
          <w:sz w:val="14"/>
          <w:szCs w:val="14"/>
          <w:color w:val="auto"/>
        </w:rPr>
        <w:t>If the equity awards held by the NEO are not assumed upon a change in control or the consideration to be received by stockholders consists of substantially all cash, then all such equity awards shall have their vesting and exercisability accelerated in full immediately prior to the change in control regardless of whether there is a qualifying termination.</w:t>
      </w:r>
    </w:p>
    <w:p>
      <w:pPr>
        <w:spacing w:after="0" w:line="24" w:lineRule="exact"/>
        <w:rPr>
          <w:rFonts w:ascii="Arial" w:cs="Arial" w:eastAsia="Arial" w:hAnsi="Arial"/>
          <w:sz w:val="9"/>
          <w:szCs w:val="9"/>
          <w:color w:val="auto"/>
        </w:rPr>
      </w:pPr>
    </w:p>
    <w:p>
      <w:pPr>
        <w:ind w:left="260" w:right="60" w:hanging="252"/>
        <w:spacing w:after="0" w:line="231" w:lineRule="auto"/>
        <w:tabs>
          <w:tab w:leader="none" w:pos="250" w:val="left"/>
        </w:tabs>
        <w:numPr>
          <w:ilvl w:val="0"/>
          <w:numId w:val="45"/>
        </w:numPr>
        <w:rPr>
          <w:rFonts w:ascii="Arial" w:cs="Arial" w:eastAsia="Arial" w:hAnsi="Arial"/>
          <w:sz w:val="19"/>
          <w:szCs w:val="19"/>
          <w:color w:val="auto"/>
          <w:vertAlign w:val="superscript"/>
        </w:rPr>
      </w:pPr>
      <w:r>
        <w:rPr>
          <w:rFonts w:ascii="Arial" w:cs="Arial" w:eastAsia="Arial" w:hAnsi="Arial"/>
          <w:sz w:val="14"/>
          <w:szCs w:val="14"/>
          <w:color w:val="auto"/>
        </w:rPr>
        <w:t>All unvested PSUs included in the amounts accelerated are shown at the target achievement levels as achievement of the performance criteria had not been certified by the Compensation Committee as of December 31, 2024.</w:t>
      </w:r>
    </w:p>
    <w:p>
      <w:pPr>
        <w:spacing w:after="0" w:line="53" w:lineRule="exact"/>
        <w:rPr>
          <w:sz w:val="20"/>
          <w:szCs w:val="20"/>
          <w:color w:val="auto"/>
        </w:rPr>
      </w:pPr>
    </w:p>
    <w:p>
      <w:pPr>
        <w:ind w:left="660"/>
        <w:spacing w:after="0"/>
        <w:rPr>
          <w:sz w:val="20"/>
          <w:szCs w:val="20"/>
          <w:color w:val="auto"/>
        </w:rPr>
      </w:pPr>
      <w:r>
        <w:rPr>
          <w:rFonts w:ascii="Arial" w:cs="Arial" w:eastAsia="Arial" w:hAnsi="Arial"/>
          <w:sz w:val="14"/>
          <w:szCs w:val="14"/>
          <w:color w:val="auto"/>
        </w:rPr>
        <w:t>Note: Mr. Strubbe retired effective April 5, 2024 and did not receive any severance or other termination benefits in connection with his departure.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40</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Executive Compensation Tables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Equity Compensation Plan Information</w:t>
      </w:r>
    </w:p>
    <w:p>
      <w:pPr>
        <w:spacing w:after="0" w:line="148"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The following table sets forth information about our common stock that may be issued upon the exercise of options, warrants, and rights under our existing equity compensation plans as of December 31, 2024.</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717165" cy="14541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717165" cy="145415"/>
                    </a:xfrm>
                    <a:prstGeom prst="rect">
                      <a:avLst/>
                    </a:prstGeom>
                    <a:noFill/>
                  </pic:spPr>
                </pic:pic>
              </a:graphicData>
            </a:graphic>
          </wp:anchor>
        </w:drawing>
      </w:r>
    </w:p>
    <w:p>
      <w:pPr>
        <w:spacing w:after="0" w:line="31" w:lineRule="exact"/>
        <w:rPr>
          <w:sz w:val="20"/>
          <w:szCs w:val="20"/>
          <w:color w:val="auto"/>
        </w:rPr>
      </w:pPr>
    </w:p>
    <w:p>
      <w:pPr>
        <w:ind w:left="60"/>
        <w:spacing w:after="0"/>
        <w:rPr>
          <w:sz w:val="20"/>
          <w:szCs w:val="20"/>
          <w:color w:val="auto"/>
        </w:rPr>
      </w:pPr>
      <w:r>
        <w:rPr>
          <w:rFonts w:ascii="Arial" w:cs="Arial" w:eastAsia="Arial" w:hAnsi="Arial"/>
          <w:sz w:val="13"/>
          <w:szCs w:val="13"/>
          <w:color w:val="auto"/>
        </w:rPr>
        <w:t>Equity compensation plans approved by stockholders</w:t>
      </w:r>
      <w:r>
        <w:rPr>
          <w:rFonts w:ascii="Arial" w:cs="Arial" w:eastAsia="Arial" w:hAnsi="Arial"/>
          <w:sz w:val="17"/>
          <w:szCs w:val="17"/>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71716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19" w:lineRule="exact"/>
        <w:rPr>
          <w:sz w:val="20"/>
          <w:szCs w:val="20"/>
          <w:color w:val="auto"/>
        </w:rPr>
      </w:pPr>
    </w:p>
    <w:p>
      <w:pPr>
        <w:ind w:left="60"/>
        <w:spacing w:after="0"/>
        <w:rPr>
          <w:sz w:val="20"/>
          <w:szCs w:val="20"/>
          <w:color w:val="auto"/>
        </w:rPr>
      </w:pPr>
      <w:r>
        <w:rPr>
          <w:rFonts w:ascii="Arial" w:cs="Arial" w:eastAsia="Arial" w:hAnsi="Arial"/>
          <w:sz w:val="13"/>
          <w:szCs w:val="13"/>
          <w:color w:val="auto"/>
        </w:rPr>
        <w:t>Equity compensation plans not approved by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2717165" cy="12890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717165" cy="128905"/>
                    </a:xfrm>
                    <a:prstGeom prst="rect">
                      <a:avLst/>
                    </a:prstGeom>
                    <a:noFill/>
                  </pic:spPr>
                </pic:pic>
              </a:graphicData>
            </a:graphic>
          </wp:anchor>
        </w:drawing>
      </w:r>
    </w:p>
    <w:p>
      <w:pPr>
        <w:spacing w:after="0" w:line="22" w:lineRule="exact"/>
        <w:rPr>
          <w:sz w:val="20"/>
          <w:szCs w:val="20"/>
          <w:color w:val="auto"/>
        </w:rPr>
      </w:pPr>
    </w:p>
    <w:p>
      <w:pPr>
        <w:ind w:left="60"/>
        <w:spacing w:after="0"/>
        <w:rPr>
          <w:sz w:val="20"/>
          <w:szCs w:val="20"/>
          <w:color w:val="auto"/>
        </w:rPr>
      </w:pPr>
      <w:r>
        <w:rPr>
          <w:rFonts w:ascii="Arial" w:cs="Arial" w:eastAsia="Arial" w:hAnsi="Arial"/>
          <w:sz w:val="13"/>
          <w:szCs w:val="13"/>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271716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78" w:lineRule="exact"/>
        <w:rPr>
          <w:sz w:val="20"/>
          <w:szCs w:val="20"/>
          <w:color w:val="auto"/>
        </w:rPr>
      </w:pPr>
    </w:p>
    <w:p>
      <w:pPr>
        <w:ind w:left="2040"/>
        <w:spacing w:after="0"/>
        <w:rPr>
          <w:sz w:val="20"/>
          <w:szCs w:val="20"/>
          <w:color w:val="auto"/>
        </w:rPr>
      </w:pPr>
      <w:r>
        <w:rPr>
          <w:rFonts w:ascii="Arial" w:cs="Arial" w:eastAsia="Arial" w:hAnsi="Arial"/>
          <w:sz w:val="13"/>
          <w:szCs w:val="13"/>
          <w:b w:val="1"/>
          <w:bCs w:val="1"/>
          <w:color w:val="auto"/>
        </w:rPr>
        <w:t>EQUITY COMPENSATION PLAN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-91440</wp:posOffset>
            </wp:positionV>
            <wp:extent cx="8255" cy="95123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255" cy="951230"/>
                    </a:xfrm>
                    <a:prstGeom prst="rect">
                      <a:avLst/>
                    </a:prstGeom>
                    <a:noFill/>
                  </pic:spPr>
                </pic:pic>
              </a:graphicData>
            </a:graphic>
          </wp:anchor>
        </w:drawing>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460" w:type="dxa"/>
            <w:vAlign w:val="bottom"/>
            <w:tcBorders>
              <w:top w:val="single" w:sz="8" w:color="auto"/>
              <w:bottom w:val="single" w:sz="8" w:color="auto"/>
            </w:tcBorders>
          </w:tcPr>
          <w:p>
            <w:pPr>
              <w:jc w:val="right"/>
              <w:ind w:right="1075"/>
              <w:spacing w:after="0"/>
              <w:rPr>
                <w:sz w:val="20"/>
                <w:szCs w:val="20"/>
                <w:color w:val="auto"/>
              </w:rPr>
            </w:pPr>
            <w:r>
              <w:rPr>
                <w:rFonts w:ascii="Arial" w:cs="Arial" w:eastAsia="Arial" w:hAnsi="Arial"/>
                <w:sz w:val="13"/>
                <w:szCs w:val="13"/>
                <w:b w:val="1"/>
                <w:bCs w:val="1"/>
                <w:color w:val="auto"/>
              </w:rPr>
              <w:t>(A)</w:t>
            </w:r>
          </w:p>
        </w:tc>
        <w:tc>
          <w:tcPr>
            <w:tcW w:w="120" w:type="dxa"/>
            <w:vAlign w:val="bottom"/>
            <w:tcBorders>
              <w:top w:val="single" w:sz="8" w:color="auto"/>
              <w:right w:val="single" w:sz="8" w:color="050505"/>
            </w:tcBorders>
          </w:tcPr>
          <w:p>
            <w:pPr>
              <w:spacing w:after="0"/>
              <w:rPr>
                <w:sz w:val="15"/>
                <w:szCs w:val="15"/>
                <w:color w:val="auto"/>
              </w:rPr>
            </w:pPr>
          </w:p>
        </w:tc>
        <w:tc>
          <w:tcPr>
            <w:tcW w:w="1940" w:type="dxa"/>
            <w:vAlign w:val="bottom"/>
            <w:tcBorders>
              <w:top w:val="single" w:sz="8" w:color="auto"/>
              <w:bottom w:val="single" w:sz="8" w:color="auto"/>
            </w:tcBorders>
          </w:tcPr>
          <w:p>
            <w:pPr>
              <w:jc w:val="right"/>
              <w:ind w:right="815"/>
              <w:spacing w:after="0"/>
              <w:rPr>
                <w:sz w:val="20"/>
                <w:szCs w:val="20"/>
                <w:color w:val="auto"/>
              </w:rPr>
            </w:pPr>
            <w:r>
              <w:rPr>
                <w:rFonts w:ascii="Arial" w:cs="Arial" w:eastAsia="Arial" w:hAnsi="Arial"/>
                <w:sz w:val="13"/>
                <w:szCs w:val="13"/>
                <w:b w:val="1"/>
                <w:bCs w:val="1"/>
                <w:color w:val="auto"/>
              </w:rPr>
              <w:t>(B)</w:t>
            </w:r>
          </w:p>
        </w:tc>
        <w:tc>
          <w:tcPr>
            <w:tcW w:w="120" w:type="dxa"/>
            <w:vAlign w:val="bottom"/>
            <w:tcBorders>
              <w:top w:val="single" w:sz="8" w:color="auto"/>
              <w:right w:val="single" w:sz="8" w:color="050505"/>
            </w:tcBorders>
          </w:tcPr>
          <w:p>
            <w:pPr>
              <w:spacing w:after="0"/>
              <w:rPr>
                <w:sz w:val="15"/>
                <w:szCs w:val="15"/>
                <w:color w:val="auto"/>
              </w:rPr>
            </w:pPr>
          </w:p>
        </w:tc>
        <w:tc>
          <w:tcPr>
            <w:tcW w:w="2220" w:type="dxa"/>
            <w:vAlign w:val="bottom"/>
            <w:tcBorders>
              <w:top w:val="single" w:sz="8" w:color="auto"/>
              <w:bottom w:val="single" w:sz="8" w:color="auto"/>
            </w:tcBorders>
          </w:tcPr>
          <w:p>
            <w:pPr>
              <w:jc w:val="right"/>
              <w:ind w:right="956"/>
              <w:spacing w:after="0"/>
              <w:rPr>
                <w:sz w:val="20"/>
                <w:szCs w:val="20"/>
                <w:color w:val="auto"/>
              </w:rPr>
            </w:pPr>
            <w:r>
              <w:rPr>
                <w:rFonts w:ascii="Arial" w:cs="Arial" w:eastAsia="Arial" w:hAnsi="Arial"/>
                <w:sz w:val="13"/>
                <w:szCs w:val="13"/>
                <w:b w:val="1"/>
                <w:bCs w:val="1"/>
                <w:color w:val="auto"/>
              </w:rPr>
              <w:t>(C)</w:t>
            </w:r>
          </w:p>
        </w:tc>
      </w:tr>
      <w:tr>
        <w:trPr>
          <w:trHeight w:val="153"/>
        </w:trPr>
        <w:tc>
          <w:tcPr>
            <w:tcW w:w="246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94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2220" w:type="dxa"/>
            <w:vAlign w:val="bottom"/>
          </w:tcPr>
          <w:p>
            <w:pPr>
              <w:jc w:val="right"/>
              <w:spacing w:after="0"/>
              <w:rPr>
                <w:sz w:val="20"/>
                <w:szCs w:val="20"/>
                <w:color w:val="auto"/>
              </w:rPr>
            </w:pPr>
            <w:r>
              <w:rPr>
                <w:rFonts w:ascii="Arial" w:cs="Arial" w:eastAsia="Arial" w:hAnsi="Arial"/>
                <w:sz w:val="13"/>
                <w:szCs w:val="13"/>
                <w:b w:val="1"/>
                <w:bCs w:val="1"/>
                <w:color w:val="auto"/>
              </w:rPr>
              <w:t>NUMBER OF SECURITIES</w:t>
            </w:r>
          </w:p>
        </w:tc>
      </w:tr>
      <w:tr>
        <w:trPr>
          <w:trHeight w:val="148"/>
        </w:trPr>
        <w:tc>
          <w:tcPr>
            <w:tcW w:w="2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220" w:type="dxa"/>
            <w:vAlign w:val="bottom"/>
          </w:tcPr>
          <w:p>
            <w:pPr>
              <w:jc w:val="right"/>
              <w:spacing w:after="0"/>
              <w:rPr>
                <w:sz w:val="20"/>
                <w:szCs w:val="20"/>
                <w:color w:val="auto"/>
              </w:rPr>
            </w:pPr>
            <w:r>
              <w:rPr>
                <w:rFonts w:ascii="Arial" w:cs="Arial" w:eastAsia="Arial" w:hAnsi="Arial"/>
                <w:sz w:val="13"/>
                <w:szCs w:val="13"/>
                <w:b w:val="1"/>
                <w:bCs w:val="1"/>
                <w:color w:val="auto"/>
              </w:rPr>
              <w:t>REMAINING AVAILABLE</w:t>
            </w:r>
          </w:p>
        </w:tc>
      </w:tr>
      <w:tr>
        <w:trPr>
          <w:trHeight w:val="148"/>
        </w:trPr>
        <w:tc>
          <w:tcPr>
            <w:tcW w:w="24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9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2220" w:type="dxa"/>
            <w:vAlign w:val="bottom"/>
          </w:tcPr>
          <w:p>
            <w:pPr>
              <w:jc w:val="right"/>
              <w:spacing w:after="0"/>
              <w:rPr>
                <w:sz w:val="20"/>
                <w:szCs w:val="20"/>
                <w:color w:val="auto"/>
              </w:rPr>
            </w:pPr>
            <w:r>
              <w:rPr>
                <w:rFonts w:ascii="Arial" w:cs="Arial" w:eastAsia="Arial" w:hAnsi="Arial"/>
                <w:sz w:val="13"/>
                <w:szCs w:val="13"/>
                <w:b w:val="1"/>
                <w:bCs w:val="1"/>
                <w:color w:val="auto"/>
              </w:rPr>
              <w:t>FOR FUTURE ISSUANCE</w:t>
            </w:r>
          </w:p>
        </w:tc>
      </w:tr>
      <w:tr>
        <w:trPr>
          <w:trHeight w:val="148"/>
        </w:trPr>
        <w:tc>
          <w:tcPr>
            <w:tcW w:w="2460" w:type="dxa"/>
            <w:vAlign w:val="bottom"/>
          </w:tcPr>
          <w:p>
            <w:pPr>
              <w:jc w:val="right"/>
              <w:spacing w:after="0"/>
              <w:rPr>
                <w:sz w:val="20"/>
                <w:szCs w:val="20"/>
                <w:color w:val="auto"/>
              </w:rPr>
            </w:pPr>
            <w:r>
              <w:rPr>
                <w:rFonts w:ascii="Arial" w:cs="Arial" w:eastAsia="Arial" w:hAnsi="Arial"/>
                <w:sz w:val="13"/>
                <w:szCs w:val="13"/>
                <w:b w:val="1"/>
                <w:bCs w:val="1"/>
                <w:color w:val="auto"/>
              </w:rPr>
              <w:t>NUMBER OF SECURITIES</w:t>
            </w:r>
          </w:p>
        </w:tc>
        <w:tc>
          <w:tcPr>
            <w:tcW w:w="120" w:type="dxa"/>
            <w:vAlign w:val="bottom"/>
            <w:tcBorders>
              <w:right w:val="single" w:sz="8" w:color="auto"/>
            </w:tcBorders>
          </w:tcPr>
          <w:p>
            <w:pPr>
              <w:spacing w:after="0"/>
              <w:rPr>
                <w:sz w:val="12"/>
                <w:szCs w:val="12"/>
                <w:color w:val="auto"/>
              </w:rPr>
            </w:pPr>
          </w:p>
        </w:tc>
        <w:tc>
          <w:tcPr>
            <w:tcW w:w="1940" w:type="dxa"/>
            <w:vAlign w:val="bottom"/>
          </w:tcPr>
          <w:p>
            <w:pPr>
              <w:jc w:val="right"/>
              <w:spacing w:after="0"/>
              <w:rPr>
                <w:sz w:val="20"/>
                <w:szCs w:val="20"/>
                <w:color w:val="auto"/>
              </w:rPr>
            </w:pPr>
            <w:r>
              <w:rPr>
                <w:rFonts w:ascii="Arial" w:cs="Arial" w:eastAsia="Arial" w:hAnsi="Arial"/>
                <w:sz w:val="13"/>
                <w:szCs w:val="13"/>
                <w:b w:val="1"/>
                <w:bCs w:val="1"/>
                <w:color w:val="auto"/>
              </w:rPr>
              <w:t>WEIGHTED-AVERAGE</w:t>
            </w:r>
          </w:p>
        </w:tc>
        <w:tc>
          <w:tcPr>
            <w:tcW w:w="120" w:type="dxa"/>
            <w:vAlign w:val="bottom"/>
            <w:tcBorders>
              <w:right w:val="single" w:sz="8" w:color="auto"/>
            </w:tcBorders>
          </w:tcPr>
          <w:p>
            <w:pPr>
              <w:spacing w:after="0"/>
              <w:rPr>
                <w:sz w:val="12"/>
                <w:szCs w:val="12"/>
                <w:color w:val="auto"/>
              </w:rPr>
            </w:pPr>
          </w:p>
        </w:tc>
        <w:tc>
          <w:tcPr>
            <w:tcW w:w="2220" w:type="dxa"/>
            <w:vAlign w:val="bottom"/>
          </w:tcPr>
          <w:p>
            <w:pPr>
              <w:jc w:val="right"/>
              <w:spacing w:after="0"/>
              <w:rPr>
                <w:sz w:val="20"/>
                <w:szCs w:val="20"/>
                <w:color w:val="auto"/>
              </w:rPr>
            </w:pPr>
            <w:r>
              <w:rPr>
                <w:rFonts w:ascii="Arial" w:cs="Arial" w:eastAsia="Arial" w:hAnsi="Arial"/>
                <w:sz w:val="13"/>
                <w:szCs w:val="13"/>
                <w:b w:val="1"/>
                <w:bCs w:val="1"/>
                <w:color w:val="auto"/>
              </w:rPr>
              <w:t>UNDER EQUITY</w:t>
            </w:r>
          </w:p>
        </w:tc>
      </w:tr>
      <w:tr>
        <w:trPr>
          <w:trHeight w:val="162"/>
        </w:trPr>
        <w:tc>
          <w:tcPr>
            <w:tcW w:w="2460" w:type="dxa"/>
            <w:vAlign w:val="bottom"/>
          </w:tcPr>
          <w:p>
            <w:pPr>
              <w:jc w:val="right"/>
              <w:spacing w:after="0"/>
              <w:rPr>
                <w:sz w:val="20"/>
                <w:szCs w:val="20"/>
                <w:color w:val="auto"/>
              </w:rPr>
            </w:pPr>
            <w:r>
              <w:rPr>
                <w:rFonts w:ascii="Arial" w:cs="Arial" w:eastAsia="Arial" w:hAnsi="Arial"/>
                <w:sz w:val="13"/>
                <w:szCs w:val="13"/>
                <w:b w:val="1"/>
                <w:bCs w:val="1"/>
                <w:color w:val="auto"/>
              </w:rPr>
              <w:t>TO BE ISSUED UPON EXERCISE</w:t>
            </w:r>
          </w:p>
        </w:tc>
        <w:tc>
          <w:tcPr>
            <w:tcW w:w="120" w:type="dxa"/>
            <w:vAlign w:val="bottom"/>
            <w:tcBorders>
              <w:right w:val="single" w:sz="8" w:color="auto"/>
            </w:tcBorders>
          </w:tcPr>
          <w:p>
            <w:pPr>
              <w:spacing w:after="0"/>
              <w:rPr>
                <w:sz w:val="14"/>
                <w:szCs w:val="14"/>
                <w:color w:val="auto"/>
              </w:rPr>
            </w:pPr>
          </w:p>
        </w:tc>
        <w:tc>
          <w:tcPr>
            <w:tcW w:w="1940" w:type="dxa"/>
            <w:vAlign w:val="bottom"/>
          </w:tcPr>
          <w:p>
            <w:pPr>
              <w:jc w:val="right"/>
              <w:spacing w:after="0"/>
              <w:rPr>
                <w:sz w:val="20"/>
                <w:szCs w:val="20"/>
                <w:color w:val="auto"/>
              </w:rPr>
            </w:pPr>
            <w:r>
              <w:rPr>
                <w:rFonts w:ascii="Arial" w:cs="Arial" w:eastAsia="Arial" w:hAnsi="Arial"/>
                <w:sz w:val="13"/>
                <w:szCs w:val="13"/>
                <w:b w:val="1"/>
                <w:bCs w:val="1"/>
                <w:color w:val="auto"/>
              </w:rPr>
              <w:t>EXERCISE PRICE OF</w:t>
            </w:r>
          </w:p>
        </w:tc>
        <w:tc>
          <w:tcPr>
            <w:tcW w:w="120" w:type="dxa"/>
            <w:vAlign w:val="bottom"/>
            <w:tcBorders>
              <w:right w:val="single" w:sz="8" w:color="auto"/>
            </w:tcBorders>
          </w:tcPr>
          <w:p>
            <w:pPr>
              <w:spacing w:after="0"/>
              <w:rPr>
                <w:sz w:val="14"/>
                <w:szCs w:val="14"/>
                <w:color w:val="auto"/>
              </w:rPr>
            </w:pPr>
          </w:p>
        </w:tc>
        <w:tc>
          <w:tcPr>
            <w:tcW w:w="2220" w:type="dxa"/>
            <w:vAlign w:val="bottom"/>
          </w:tcPr>
          <w:p>
            <w:pPr>
              <w:jc w:val="right"/>
              <w:spacing w:after="0"/>
              <w:rPr>
                <w:sz w:val="20"/>
                <w:szCs w:val="20"/>
                <w:color w:val="auto"/>
              </w:rPr>
            </w:pPr>
            <w:r>
              <w:rPr>
                <w:rFonts w:ascii="Arial" w:cs="Arial" w:eastAsia="Arial" w:hAnsi="Arial"/>
                <w:sz w:val="13"/>
                <w:szCs w:val="13"/>
                <w:b w:val="1"/>
                <w:bCs w:val="1"/>
                <w:color w:val="auto"/>
              </w:rPr>
              <w:t>COMPENSATION PLANS</w:t>
            </w:r>
          </w:p>
        </w:tc>
      </w:tr>
      <w:tr>
        <w:trPr>
          <w:trHeight w:val="138"/>
        </w:trPr>
        <w:tc>
          <w:tcPr>
            <w:tcW w:w="246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OF OUTSTANDING OPTIONS,</w:t>
            </w:r>
          </w:p>
        </w:tc>
        <w:tc>
          <w:tcPr>
            <w:tcW w:w="120" w:type="dxa"/>
            <w:vAlign w:val="bottom"/>
            <w:tcBorders>
              <w:right w:val="single" w:sz="8" w:color="auto"/>
            </w:tcBorders>
          </w:tcPr>
          <w:p>
            <w:pPr>
              <w:spacing w:after="0"/>
              <w:rPr>
                <w:sz w:val="12"/>
                <w:szCs w:val="12"/>
                <w:color w:val="auto"/>
              </w:rPr>
            </w:pPr>
          </w:p>
        </w:tc>
        <w:tc>
          <w:tcPr>
            <w:tcW w:w="194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OUTSTANDING OPTIONS,</w:t>
            </w:r>
          </w:p>
        </w:tc>
        <w:tc>
          <w:tcPr>
            <w:tcW w:w="120" w:type="dxa"/>
            <w:vAlign w:val="bottom"/>
            <w:tcBorders>
              <w:right w:val="single" w:sz="8" w:color="auto"/>
            </w:tcBorders>
          </w:tcPr>
          <w:p>
            <w:pPr>
              <w:spacing w:after="0"/>
              <w:rPr>
                <w:sz w:val="12"/>
                <w:szCs w:val="12"/>
                <w:color w:val="auto"/>
              </w:rPr>
            </w:pPr>
          </w:p>
        </w:tc>
        <w:tc>
          <w:tcPr>
            <w:tcW w:w="2220" w:type="dxa"/>
            <w:vAlign w:val="bottom"/>
          </w:tcPr>
          <w:p>
            <w:pPr>
              <w:jc w:val="right"/>
              <w:spacing w:after="0" w:line="139" w:lineRule="exact"/>
              <w:rPr>
                <w:sz w:val="20"/>
                <w:szCs w:val="20"/>
                <w:color w:val="auto"/>
              </w:rPr>
            </w:pPr>
            <w:r>
              <w:rPr>
                <w:rFonts w:ascii="Arial" w:cs="Arial" w:eastAsia="Arial" w:hAnsi="Arial"/>
                <w:sz w:val="13"/>
                <w:szCs w:val="13"/>
                <w:b w:val="1"/>
                <w:bCs w:val="1"/>
                <w:color w:val="auto"/>
              </w:rPr>
              <w:t>(EXCLUDING SECURITIES</w:t>
            </w:r>
          </w:p>
        </w:tc>
      </w:tr>
      <w:tr>
        <w:trPr>
          <w:trHeight w:val="204"/>
        </w:trPr>
        <w:tc>
          <w:tcPr>
            <w:tcW w:w="24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WARRANTS AND RIGHTS</w:t>
            </w:r>
            <w:r>
              <w:rPr>
                <w:rFonts w:ascii="Arial" w:cs="Arial" w:eastAsia="Arial" w:hAnsi="Arial"/>
                <w:sz w:val="16"/>
                <w:szCs w:val="16"/>
                <w:b w:val="1"/>
                <w:bCs w:val="1"/>
                <w:color w:val="auto"/>
                <w:vertAlign w:val="superscript"/>
              </w:rPr>
              <w:t>(1)</w:t>
            </w:r>
          </w:p>
        </w:tc>
        <w:tc>
          <w:tcPr>
            <w:tcW w:w="120" w:type="dxa"/>
            <w:vAlign w:val="bottom"/>
            <w:tcBorders>
              <w:right w:val="single" w:sz="8" w:color="auto"/>
            </w:tcBorders>
          </w:tcPr>
          <w:p>
            <w:pPr>
              <w:spacing w:after="0"/>
              <w:rPr>
                <w:sz w:val="17"/>
                <w:szCs w:val="17"/>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WARRANTS AND RIGHTS</w:t>
            </w:r>
          </w:p>
        </w:tc>
        <w:tc>
          <w:tcPr>
            <w:tcW w:w="120" w:type="dxa"/>
            <w:vAlign w:val="bottom"/>
            <w:tcBorders>
              <w:right w:val="single" w:sz="8" w:color="auto"/>
            </w:tcBorders>
          </w:tcPr>
          <w:p>
            <w:pPr>
              <w:spacing w:after="0"/>
              <w:rPr>
                <w:sz w:val="17"/>
                <w:szCs w:val="17"/>
                <w:color w:val="auto"/>
              </w:rPr>
            </w:pPr>
          </w:p>
        </w:tc>
        <w:tc>
          <w:tcPr>
            <w:tcW w:w="22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REFLECTED IN COLUMN (A))</w:t>
            </w:r>
          </w:p>
        </w:tc>
      </w:tr>
      <w:tr>
        <w:trPr>
          <w:trHeight w:val="209"/>
        </w:trPr>
        <w:tc>
          <w:tcPr>
            <w:tcW w:w="2460" w:type="dxa"/>
            <w:vAlign w:val="bottom"/>
            <w:tcBorders>
              <w:bottom w:val="single" w:sz="8" w:color="939598"/>
            </w:tcBorders>
            <w:shd w:val="clear" w:color="auto" w:fill="E5E5E5"/>
          </w:tcPr>
          <w:p>
            <w:pPr>
              <w:jc w:val="right"/>
              <w:spacing w:after="0"/>
              <w:rPr>
                <w:sz w:val="20"/>
                <w:szCs w:val="20"/>
                <w:color w:val="auto"/>
              </w:rPr>
            </w:pPr>
            <w:r>
              <w:rPr>
                <w:rFonts w:ascii="Arial" w:cs="Arial" w:eastAsia="Arial" w:hAnsi="Arial"/>
                <w:sz w:val="13"/>
                <w:szCs w:val="13"/>
                <w:color w:val="auto"/>
              </w:rPr>
              <w:t>715,503</w:t>
            </w:r>
          </w:p>
        </w:tc>
        <w:tc>
          <w:tcPr>
            <w:tcW w:w="120" w:type="dxa"/>
            <w:vAlign w:val="bottom"/>
            <w:tcBorders>
              <w:right w:val="single" w:sz="8" w:color="E6E7E8"/>
            </w:tcBorders>
          </w:tcPr>
          <w:p>
            <w:pPr>
              <w:spacing w:after="0"/>
              <w:rPr>
                <w:sz w:val="18"/>
                <w:szCs w:val="18"/>
                <w:color w:val="auto"/>
              </w:rPr>
            </w:pPr>
          </w:p>
        </w:tc>
        <w:tc>
          <w:tcPr>
            <w:tcW w:w="194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3"/>
                <w:szCs w:val="13"/>
                <w:color w:val="auto"/>
              </w:rPr>
              <w:t>0</w:t>
            </w:r>
          </w:p>
        </w:tc>
        <w:tc>
          <w:tcPr>
            <w:tcW w:w="120" w:type="dxa"/>
            <w:vAlign w:val="bottom"/>
            <w:tcBorders>
              <w:right w:val="single" w:sz="8" w:color="E6E7E8"/>
            </w:tcBorders>
          </w:tcPr>
          <w:p>
            <w:pPr>
              <w:spacing w:after="0"/>
              <w:rPr>
                <w:sz w:val="18"/>
                <w:szCs w:val="18"/>
                <w:color w:val="auto"/>
              </w:rPr>
            </w:pPr>
          </w:p>
        </w:tc>
        <w:tc>
          <w:tcPr>
            <w:tcW w:w="22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3"/>
                <w:szCs w:val="13"/>
                <w:color w:val="auto"/>
              </w:rPr>
              <w:t>9,299,226</w:t>
            </w:r>
            <w:r>
              <w:rPr>
                <w:rFonts w:ascii="Arial" w:cs="Arial" w:eastAsia="Arial" w:hAnsi="Arial"/>
                <w:sz w:val="17"/>
                <w:szCs w:val="17"/>
                <w:color w:val="auto"/>
                <w:vertAlign w:val="superscript"/>
              </w:rPr>
              <w:t>(3)</w:t>
            </w:r>
          </w:p>
        </w:tc>
      </w:tr>
      <w:tr>
        <w:trPr>
          <w:trHeight w:val="177"/>
        </w:trPr>
        <w:tc>
          <w:tcPr>
            <w:tcW w:w="246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5"/>
                <w:szCs w:val="15"/>
                <w:color w:val="auto"/>
              </w:rPr>
            </w:pPr>
          </w:p>
        </w:tc>
        <w:tc>
          <w:tcPr>
            <w:tcW w:w="194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 —</w:t>
            </w:r>
          </w:p>
        </w:tc>
        <w:tc>
          <w:tcPr>
            <w:tcW w:w="120" w:type="dxa"/>
            <w:vAlign w:val="bottom"/>
          </w:tcPr>
          <w:p>
            <w:pPr>
              <w:spacing w:after="0"/>
              <w:rPr>
                <w:sz w:val="15"/>
                <w:szCs w:val="15"/>
                <w:color w:val="auto"/>
              </w:rPr>
            </w:pPr>
          </w:p>
        </w:tc>
        <w:tc>
          <w:tcPr>
            <w:tcW w:w="2220" w:type="dxa"/>
            <w:vAlign w:val="bottom"/>
            <w:tcBorders>
              <w:bottom w:val="single" w:sz="8" w:color="939598"/>
            </w:tcBorders>
          </w:tcPr>
          <w:p>
            <w:pPr>
              <w:jc w:val="right"/>
              <w:spacing w:after="0"/>
              <w:rPr>
                <w:sz w:val="20"/>
                <w:szCs w:val="20"/>
                <w:color w:val="auto"/>
              </w:rPr>
            </w:pPr>
            <w:r>
              <w:rPr>
                <w:rFonts w:ascii="Arial" w:cs="Arial" w:eastAsia="Arial" w:hAnsi="Arial"/>
                <w:sz w:val="13"/>
                <w:szCs w:val="13"/>
                <w:color w:val="auto"/>
              </w:rPr>
              <w:t>—</w:t>
            </w:r>
          </w:p>
        </w:tc>
      </w:tr>
      <w:tr>
        <w:trPr>
          <w:trHeight w:val="183"/>
        </w:trPr>
        <w:tc>
          <w:tcPr>
            <w:tcW w:w="246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3"/>
                <w:szCs w:val="13"/>
                <w:color w:val="auto"/>
              </w:rPr>
              <w:t>715,503</w:t>
            </w:r>
          </w:p>
        </w:tc>
        <w:tc>
          <w:tcPr>
            <w:tcW w:w="120" w:type="dxa"/>
            <w:vAlign w:val="bottom"/>
            <w:tcBorders>
              <w:right w:val="single" w:sz="8" w:color="E6E7E8"/>
            </w:tcBorders>
          </w:tcPr>
          <w:p>
            <w:pPr>
              <w:spacing w:after="0"/>
              <w:rPr>
                <w:sz w:val="15"/>
                <w:szCs w:val="15"/>
                <w:color w:val="auto"/>
              </w:rPr>
            </w:pPr>
          </w:p>
        </w:tc>
        <w:tc>
          <w:tcPr>
            <w:tcW w:w="194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3"/>
                <w:szCs w:val="13"/>
                <w:color w:val="auto"/>
              </w:rPr>
              <w:t>$0.00</w:t>
            </w:r>
          </w:p>
        </w:tc>
        <w:tc>
          <w:tcPr>
            <w:tcW w:w="120" w:type="dxa"/>
            <w:vAlign w:val="bottom"/>
            <w:tcBorders>
              <w:right w:val="single" w:sz="8" w:color="E6E7E8"/>
            </w:tcBorders>
          </w:tcPr>
          <w:p>
            <w:pPr>
              <w:spacing w:after="0"/>
              <w:rPr>
                <w:sz w:val="15"/>
                <w:szCs w:val="15"/>
                <w:color w:val="auto"/>
              </w:rPr>
            </w:pPr>
          </w:p>
        </w:tc>
        <w:tc>
          <w:tcPr>
            <w:tcW w:w="22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3"/>
                <w:szCs w:val="13"/>
                <w:color w:val="auto"/>
              </w:rPr>
              <w:t>9,299,226</w:t>
            </w:r>
          </w:p>
        </w:tc>
      </w:tr>
    </w:tbl>
    <w:p>
      <w:pPr>
        <w:spacing w:after="0" w:line="180" w:lineRule="exact"/>
        <w:rPr>
          <w:sz w:val="20"/>
          <w:szCs w:val="20"/>
          <w:color w:val="auto"/>
        </w:rPr>
      </w:pPr>
    </w:p>
    <w:p>
      <w:pPr>
        <w:sectPr>
          <w:pgSz w:w="11900" w:h="16838" w:orient="portrait"/>
          <w:cols w:equalWidth="0" w:num="2">
            <w:col w:w="3660" w:space="720"/>
            <w:col w:w="6860"/>
          </w:cols>
          <w:pgMar w:left="320" w:top="122" w:right="339" w:bottom="1440" w:gutter="0" w:footer="0" w:header="0"/>
          <w:type w:val="continuous"/>
        </w:sectPr>
      </w:pPr>
    </w:p>
    <w:p>
      <w:pPr>
        <w:ind w:left="260" w:right="340" w:hanging="252"/>
        <w:spacing w:after="0" w:line="283" w:lineRule="auto"/>
        <w:tabs>
          <w:tab w:leader="none" w:pos="264" w:val="left"/>
        </w:tabs>
        <w:numPr>
          <w:ilvl w:val="0"/>
          <w:numId w:val="46"/>
        </w:numPr>
        <w:rPr>
          <w:rFonts w:ascii="Arial" w:cs="Arial" w:eastAsia="Arial" w:hAnsi="Arial"/>
          <w:sz w:val="9"/>
          <w:szCs w:val="9"/>
          <w:color w:val="auto"/>
        </w:rPr>
      </w:pPr>
      <w:r>
        <w:rPr>
          <w:rFonts w:ascii="Arial" w:cs="Arial" w:eastAsia="Arial" w:hAnsi="Arial"/>
          <w:sz w:val="14"/>
          <w:szCs w:val="14"/>
          <w:color w:val="auto"/>
        </w:rPr>
        <w:t>Only includes shares subject to RSUs and the target number of shares subject to PSUs outstanding as of December 31, 2024 that were granted under the 2006 Plan. Excludes purchase rights accruing under the 2007 Employee Stock Purchase Plan (the “2007 Purchase Plan”), which has a remaining stockholder-approved reserve of 2,757,589 shares as of December 31, 2024. There are no outstanding options or warrants.</w:t>
      </w:r>
    </w:p>
    <w:p>
      <w:pPr>
        <w:ind w:left="280" w:hanging="272"/>
        <w:spacing w:after="0"/>
        <w:tabs>
          <w:tab w:leader="none" w:pos="280"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Includes the 2006 Plan and the 2007 Purchase Plan.</w:t>
      </w:r>
    </w:p>
    <w:p>
      <w:pPr>
        <w:spacing w:after="0" w:line="57" w:lineRule="exact"/>
        <w:rPr>
          <w:rFonts w:ascii="Arial" w:cs="Arial" w:eastAsia="Arial" w:hAnsi="Arial"/>
          <w:sz w:val="19"/>
          <w:szCs w:val="19"/>
          <w:color w:val="auto"/>
          <w:vertAlign w:val="superscript"/>
        </w:rPr>
      </w:pPr>
    </w:p>
    <w:p>
      <w:pPr>
        <w:ind w:left="260" w:right="20" w:hanging="252"/>
        <w:spacing w:after="0" w:line="239" w:lineRule="auto"/>
        <w:tabs>
          <w:tab w:leader="none" w:pos="264" w:val="left"/>
        </w:tabs>
        <w:numPr>
          <w:ilvl w:val="0"/>
          <w:numId w:val="46"/>
        </w:numPr>
        <w:rPr>
          <w:rFonts w:ascii="Arial" w:cs="Arial" w:eastAsia="Arial" w:hAnsi="Arial"/>
          <w:sz w:val="19"/>
          <w:szCs w:val="19"/>
          <w:color w:val="auto"/>
          <w:vertAlign w:val="superscript"/>
        </w:rPr>
      </w:pPr>
      <w:r>
        <w:rPr>
          <w:rFonts w:ascii="Arial" w:cs="Arial" w:eastAsia="Arial" w:hAnsi="Arial"/>
          <w:sz w:val="14"/>
          <w:szCs w:val="14"/>
          <w:color w:val="auto"/>
        </w:rPr>
        <w:t>Consists of shares available for future issuance under the 2006 Plan and the 2007 Purchase Plan. As of December 31, 2024, an aggregate of 6,541,637 shares and 2,757,589 shares of common stock were available for issuance under the 2006 Plan and the 2007 Purchase Plan, respectively, including 49,451 shares purchased under the 2007 Purchase Plan in January 2025. In addition to options and RSUs, shares can be granted under the 2006 Plan pursuant to stock appreciation rights, restricted stock awards, stock bonuses and performance shares.</w:t>
      </w:r>
    </w:p>
    <w:p>
      <w:pPr>
        <w:spacing w:after="0" w:line="289"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CEO Pay Ratio</w:t>
      </w:r>
    </w:p>
    <w:p>
      <w:pPr>
        <w:spacing w:after="0" w:line="148" w:lineRule="exact"/>
        <w:rPr>
          <w:sz w:val="20"/>
          <w:szCs w:val="20"/>
          <w:color w:val="auto"/>
        </w:rPr>
      </w:pPr>
    </w:p>
    <w:p>
      <w:pPr>
        <w:jc w:val="both"/>
        <w:ind w:right="180"/>
        <w:spacing w:after="0" w:line="275" w:lineRule="auto"/>
        <w:rPr>
          <w:sz w:val="20"/>
          <w:szCs w:val="20"/>
          <w:color w:val="auto"/>
        </w:rPr>
      </w:pPr>
      <w:r>
        <w:rPr>
          <w:rFonts w:ascii="Arial" w:cs="Arial" w:eastAsia="Arial" w:hAnsi="Arial"/>
          <w:sz w:val="16"/>
          <w:szCs w:val="16"/>
          <w:color w:val="auto"/>
        </w:rPr>
        <w:t>Item 402(u) of Regulation S-K requires disclosure of the ratio of the annual total compensation of our CEO, Mr. Bidzos, to the annual total compensation of our median employee. For 2024, the annual total compensation of the median employee was $221,962 and the annual total compensation of our CEO, as reported in the Summary Compensation Table in “Executive Compensation” above in this Proxy Statement, was $14,055,378.</w:t>
      </w:r>
    </w:p>
    <w:p>
      <w:pPr>
        <w:spacing w:after="0" w:line="56" w:lineRule="exact"/>
        <w:rPr>
          <w:sz w:val="20"/>
          <w:szCs w:val="20"/>
          <w:color w:val="auto"/>
        </w:rPr>
      </w:pPr>
    </w:p>
    <w:p>
      <w:pPr>
        <w:ind w:right="80"/>
        <w:spacing w:after="0" w:line="262" w:lineRule="auto"/>
        <w:rPr>
          <w:sz w:val="20"/>
          <w:szCs w:val="20"/>
          <w:color w:val="auto"/>
        </w:rPr>
      </w:pPr>
      <w:r>
        <w:rPr>
          <w:rFonts w:ascii="Arial" w:cs="Arial" w:eastAsia="Arial" w:hAnsi="Arial"/>
          <w:sz w:val="16"/>
          <w:szCs w:val="16"/>
          <w:color w:val="auto"/>
        </w:rPr>
        <w:t>Based on this information for 2024, the ratio of our CEO’s annual total compensation to the annual total compensation of our median employee was 63:1. We believe this pay ratio is a reasonable estimate calculated in a manner consistent with applicable rules of the Securities and Exchange Commission (the “SEC”) using the data and assumptions summarized below. The SEC’s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Accordingly, the pay ratio reported by other companies may not be comparable to the pay ratio reported above, as other companies have different employee populations and compensation practices and may use different methodologies, exclusions, estimates, and assumptions in calculating their own pay ratios.</w:t>
      </w:r>
    </w:p>
    <w:p>
      <w:pPr>
        <w:spacing w:after="0" w:line="66"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The 2024 median employee was determined based on the total 2024 target direct compensation for all of our employees (other than our CEO), who were employed as of December 31, 2024, consistent with the approach taken for our 2023 CEO pay ratio determination. For purposes of this pay ratio, we defined target direct compensation as the sum of annual base salary determined as of December 31, 2024, target annual bonus for the 2024 performance year, and the grant date value of annual equity grants in 2024. We applied our compensation measure consistently to all of our employees. Salaries for international employees were converted to U.S. dollars based on the applicable foreign exchange rates as of December 31, 2024. Once we identified our 2024 median employee, we then determined that employee’s annual total compensation in the same manner that we determine the total compensation of our NEOs for purposes of the Summary Compensation Table disclosed above. This 2024 total compensation amount for our median employee was then compared to the 2024 total compensation of our CEO as reported in the Summary Compensation Table to determine the pay ratio.</w:t>
      </w:r>
    </w:p>
    <w:p>
      <w:pPr>
        <w:spacing w:after="0" w:line="293"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Executive Compensation Tables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Pay Versus Performance</w:t>
      </w:r>
    </w:p>
    <w:p>
      <w:pPr>
        <w:spacing w:after="0" w:line="148" w:lineRule="exact"/>
        <w:rPr>
          <w:sz w:val="20"/>
          <w:szCs w:val="20"/>
          <w:color w:val="auto"/>
        </w:rPr>
      </w:pPr>
    </w:p>
    <w:p>
      <w:pPr>
        <w:ind w:right="320"/>
        <w:spacing w:after="0" w:line="275" w:lineRule="auto"/>
        <w:rPr>
          <w:sz w:val="20"/>
          <w:szCs w:val="20"/>
          <w:color w:val="auto"/>
        </w:rPr>
      </w:pPr>
      <w:r>
        <w:rPr>
          <w:rFonts w:ascii="Arial" w:cs="Arial" w:eastAsia="Arial" w:hAnsi="Arial"/>
          <w:sz w:val="16"/>
          <w:szCs w:val="16"/>
          <w:color w:val="auto"/>
        </w:rPr>
        <w:t>In accordance with Item 402(v) of Regulation S-K, the following table sets forth the specified executive compensation for our NEOs and financial performance measures for 2024, 2023, 2022, 2021, and 2020. For additional information regarding how we align executive compensation with Company performance, see “Compensation Discussion and Analysis” of this Proxy Statement.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80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124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1240" w:type="dxa"/>
            <w:vAlign w:val="bottom"/>
          </w:tcPr>
          <w:p>
            <w:pPr>
              <w:jc w:val="right"/>
              <w:spacing w:after="0"/>
              <w:rPr>
                <w:sz w:val="20"/>
                <w:szCs w:val="20"/>
                <w:color w:val="auto"/>
              </w:rPr>
            </w:pPr>
            <w:r>
              <w:rPr>
                <w:rFonts w:ascii="Arial" w:cs="Arial" w:eastAsia="Arial" w:hAnsi="Arial"/>
                <w:sz w:val="12"/>
                <w:szCs w:val="12"/>
                <w:b w:val="1"/>
                <w:bCs w:val="1"/>
                <w:color w:val="auto"/>
              </w:rPr>
              <w:t>AVERAGE</w:t>
            </w:r>
          </w:p>
        </w:tc>
        <w:tc>
          <w:tcPr>
            <w:tcW w:w="100" w:type="dxa"/>
            <w:vAlign w:val="bottom"/>
            <w:tcBorders>
              <w:right w:val="single" w:sz="8" w:color="auto"/>
            </w:tcBorders>
          </w:tcPr>
          <w:p>
            <w:pPr>
              <w:spacing w:after="0"/>
              <w:rPr>
                <w:sz w:val="12"/>
                <w:szCs w:val="12"/>
                <w:color w:val="auto"/>
              </w:rPr>
            </w:pPr>
          </w:p>
        </w:tc>
        <w:tc>
          <w:tcPr>
            <w:tcW w:w="12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AVERAGE</w:t>
            </w:r>
          </w:p>
        </w:tc>
        <w:tc>
          <w:tcPr>
            <w:tcW w:w="120" w:type="dxa"/>
            <w:vAlign w:val="bottom"/>
            <w:tcBorders>
              <w:right w:val="single" w:sz="8" w:color="auto"/>
            </w:tcBorders>
          </w:tcPr>
          <w:p>
            <w:pPr>
              <w:spacing w:after="0"/>
              <w:rPr>
                <w:sz w:val="12"/>
                <w:szCs w:val="12"/>
                <w:color w:val="auto"/>
              </w:rPr>
            </w:pPr>
          </w:p>
        </w:tc>
        <w:tc>
          <w:tcPr>
            <w:tcW w:w="2480" w:type="dxa"/>
            <w:vAlign w:val="bottom"/>
            <w:gridSpan w:val="3"/>
            <w:vMerge w:val="restart"/>
          </w:tcPr>
          <w:p>
            <w:pPr>
              <w:jc w:val="right"/>
              <w:ind w:right="336"/>
              <w:spacing w:after="0"/>
              <w:rPr>
                <w:sz w:val="20"/>
                <w:szCs w:val="20"/>
                <w:color w:val="auto"/>
              </w:rPr>
            </w:pPr>
            <w:r>
              <w:rPr>
                <w:rFonts w:ascii="Arial" w:cs="Arial" w:eastAsia="Arial" w:hAnsi="Arial"/>
                <w:sz w:val="12"/>
                <w:szCs w:val="12"/>
                <w:b w:val="1"/>
                <w:bCs w:val="1"/>
                <w:color w:val="auto"/>
              </w:rPr>
              <w:t>VALUE OF INITIAL FIXED $100</w:t>
            </w:r>
          </w:p>
        </w:tc>
        <w:tc>
          <w:tcPr>
            <w:tcW w:w="120" w:type="dxa"/>
            <w:vAlign w:val="bottom"/>
            <w:tcBorders>
              <w:right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960" w:type="dxa"/>
            <w:vAlign w:val="bottom"/>
          </w:tcPr>
          <w:p>
            <w:pPr>
              <w:ind w:left="320"/>
              <w:spacing w:after="0"/>
              <w:rPr>
                <w:sz w:val="20"/>
                <w:szCs w:val="20"/>
                <w:color w:val="auto"/>
              </w:rPr>
            </w:pPr>
            <w:r>
              <w:rPr>
                <w:rFonts w:ascii="Arial" w:cs="Arial" w:eastAsia="Arial" w:hAnsi="Arial"/>
                <w:sz w:val="12"/>
                <w:szCs w:val="12"/>
                <w:b w:val="1"/>
                <w:bCs w:val="1"/>
                <w:color w:val="auto"/>
              </w:rPr>
              <w:t>COMPANY</w:t>
            </w:r>
          </w:p>
        </w:tc>
        <w:tc>
          <w:tcPr>
            <w:tcW w:w="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8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SUMMARY</w:t>
            </w:r>
          </w:p>
        </w:tc>
        <w:tc>
          <w:tcPr>
            <w:tcW w:w="100" w:type="dxa"/>
            <w:vAlign w:val="bottom"/>
            <w:tcBorders>
              <w:right w:val="single" w:sz="8" w:color="auto"/>
            </w:tcBorders>
          </w:tcPr>
          <w:p>
            <w:pPr>
              <w:spacing w:after="0"/>
              <w:rPr>
                <w:sz w:val="10"/>
                <w:szCs w:val="10"/>
                <w:color w:val="auto"/>
              </w:rPr>
            </w:pPr>
          </w:p>
        </w:tc>
        <w:tc>
          <w:tcPr>
            <w:tcW w:w="124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2480" w:type="dxa"/>
            <w:vAlign w:val="bottom"/>
            <w:gridSpan w:val="3"/>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60" w:type="dxa"/>
            <w:vAlign w:val="bottom"/>
          </w:tcPr>
          <w:p>
            <w:pPr>
              <w:ind w:left="300"/>
              <w:spacing w:after="0" w:line="122" w:lineRule="exact"/>
              <w:rPr>
                <w:sz w:val="20"/>
                <w:szCs w:val="20"/>
                <w:color w:val="auto"/>
              </w:rPr>
            </w:pPr>
            <w:r>
              <w:rPr>
                <w:rFonts w:ascii="Arial" w:cs="Arial" w:eastAsia="Arial" w:hAnsi="Arial"/>
                <w:sz w:val="12"/>
                <w:szCs w:val="12"/>
                <w:b w:val="1"/>
                <w:bCs w:val="1"/>
                <w:color w:val="auto"/>
                <w:w w:val="99"/>
              </w:rPr>
              <w:t>SELECTED</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COMPENSATION</w:t>
            </w:r>
          </w:p>
        </w:tc>
        <w:tc>
          <w:tcPr>
            <w:tcW w:w="100" w:type="dxa"/>
            <w:vAlign w:val="bottom"/>
            <w:tcBorders>
              <w:right w:val="single" w:sz="8" w:color="auto"/>
            </w:tcBorders>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COMPENSATION</w:t>
            </w:r>
          </w:p>
        </w:tc>
        <w:tc>
          <w:tcPr>
            <w:tcW w:w="120" w:type="dxa"/>
            <w:vAlign w:val="bottom"/>
            <w:tcBorders>
              <w:right w:val="single" w:sz="8" w:color="auto"/>
            </w:tcBorders>
          </w:tcPr>
          <w:p>
            <w:pPr>
              <w:spacing w:after="0"/>
              <w:rPr>
                <w:sz w:val="10"/>
                <w:szCs w:val="10"/>
                <w:color w:val="auto"/>
              </w:rPr>
            </w:pPr>
          </w:p>
        </w:tc>
        <w:tc>
          <w:tcPr>
            <w:tcW w:w="2480" w:type="dxa"/>
            <w:vAlign w:val="bottom"/>
            <w:gridSpan w:val="3"/>
          </w:tcPr>
          <w:p>
            <w:pPr>
              <w:jc w:val="right"/>
              <w:ind w:right="416"/>
              <w:spacing w:after="0" w:line="122" w:lineRule="exact"/>
              <w:rPr>
                <w:sz w:val="20"/>
                <w:szCs w:val="20"/>
                <w:color w:val="auto"/>
              </w:rPr>
            </w:pPr>
            <w:r>
              <w:rPr>
                <w:rFonts w:ascii="Arial" w:cs="Arial" w:eastAsia="Arial" w:hAnsi="Arial"/>
                <w:sz w:val="11"/>
                <w:szCs w:val="11"/>
                <w:b w:val="1"/>
                <w:bCs w:val="1"/>
                <w:color w:val="auto"/>
              </w:rPr>
              <w:t>INVESTMENT BASED ON</w:t>
            </w:r>
            <w:r>
              <w:rPr>
                <w:rFonts w:ascii="Arial" w:cs="Arial" w:eastAsia="Arial" w:hAnsi="Arial"/>
                <w:sz w:val="14"/>
                <w:szCs w:val="14"/>
                <w:b w:val="1"/>
                <w:bCs w:val="1"/>
                <w:color w:val="auto"/>
                <w:vertAlign w:val="superscript"/>
              </w:rPr>
              <w:t>(2)</w:t>
            </w:r>
            <w:r>
              <w:rPr>
                <w:rFonts w:ascii="Arial" w:cs="Arial" w:eastAsia="Arial" w:hAnsi="Arial"/>
                <w:sz w:val="11"/>
                <w:szCs w:val="11"/>
                <w:b w:val="1"/>
                <w:bCs w:val="1"/>
                <w:color w:val="auto"/>
              </w:rPr>
              <w:t>:</w:t>
            </w:r>
          </w:p>
        </w:tc>
        <w:tc>
          <w:tcPr>
            <w:tcW w:w="120" w:type="dxa"/>
            <w:vAlign w:val="bottom"/>
            <w:tcBorders>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960" w:type="dxa"/>
            <w:vAlign w:val="bottom"/>
          </w:tcPr>
          <w:p>
            <w:pPr>
              <w:ind w:left="320"/>
              <w:spacing w:after="0" w:line="122" w:lineRule="exact"/>
              <w:rPr>
                <w:sz w:val="20"/>
                <w:szCs w:val="20"/>
                <w:color w:val="auto"/>
              </w:rPr>
            </w:pPr>
            <w:r>
              <w:rPr>
                <w:rFonts w:ascii="Arial" w:cs="Arial" w:eastAsia="Arial" w:hAnsi="Arial"/>
                <w:sz w:val="12"/>
                <w:szCs w:val="12"/>
                <w:b w:val="1"/>
                <w:bCs w:val="1"/>
                <w:color w:val="auto"/>
              </w:rPr>
              <w:t>MEASURE</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1"/>
        </w:trPr>
        <w:tc>
          <w:tcPr>
            <w:tcW w:w="80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124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1240" w:type="dxa"/>
            <w:vAlign w:val="bottom"/>
          </w:tcPr>
          <w:p>
            <w:pPr>
              <w:jc w:val="right"/>
              <w:spacing w:after="0" w:line="61" w:lineRule="exact"/>
              <w:rPr>
                <w:sz w:val="20"/>
                <w:szCs w:val="20"/>
                <w:color w:val="auto"/>
              </w:rPr>
            </w:pPr>
            <w:r>
              <w:rPr>
                <w:rFonts w:ascii="Arial" w:cs="Arial" w:eastAsia="Arial" w:hAnsi="Arial"/>
                <w:sz w:val="7"/>
                <w:szCs w:val="7"/>
                <w:b w:val="1"/>
                <w:bCs w:val="1"/>
                <w:color w:val="auto"/>
              </w:rPr>
              <w:t>TABLE TOTAL</w:t>
            </w:r>
          </w:p>
        </w:tc>
        <w:tc>
          <w:tcPr>
            <w:tcW w:w="100" w:type="dxa"/>
            <w:vAlign w:val="bottom"/>
            <w:tcBorders>
              <w:right w:val="single" w:sz="8" w:color="auto"/>
            </w:tcBorders>
          </w:tcPr>
          <w:p>
            <w:pPr>
              <w:spacing w:after="0"/>
              <w:rPr>
                <w:sz w:val="5"/>
                <w:szCs w:val="5"/>
                <w:color w:val="auto"/>
              </w:rPr>
            </w:pPr>
          </w:p>
        </w:tc>
        <w:tc>
          <w:tcPr>
            <w:tcW w:w="1240" w:type="dxa"/>
            <w:vAlign w:val="bottom"/>
          </w:tcPr>
          <w:p>
            <w:pPr>
              <w:jc w:val="right"/>
              <w:spacing w:after="0" w:line="61" w:lineRule="exact"/>
              <w:rPr>
                <w:sz w:val="20"/>
                <w:szCs w:val="20"/>
                <w:color w:val="auto"/>
              </w:rPr>
            </w:pPr>
            <w:r>
              <w:rPr>
                <w:rFonts w:ascii="Arial" w:cs="Arial" w:eastAsia="Arial" w:hAnsi="Arial"/>
                <w:sz w:val="7"/>
                <w:szCs w:val="7"/>
                <w:b w:val="1"/>
                <w:bCs w:val="1"/>
                <w:color w:val="auto"/>
              </w:rPr>
              <w:t>ACTUALLY PAID</w:t>
            </w:r>
          </w:p>
        </w:tc>
        <w:tc>
          <w:tcPr>
            <w:tcW w:w="120" w:type="dxa"/>
            <w:vAlign w:val="bottom"/>
            <w:tcBorders>
              <w:right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80" w:type="dxa"/>
            <w:vAlign w:val="bottom"/>
            <w:tcBorders>
              <w:bottom w:val="single" w:sz="8" w:color="auto"/>
            </w:tcBorders>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960" w:type="dxa"/>
            <w:vAlign w:val="bottom"/>
          </w:tcPr>
          <w:p>
            <w:pPr>
              <w:spacing w:after="0"/>
              <w:rPr>
                <w:sz w:val="5"/>
                <w:szCs w:val="5"/>
                <w:color w:val="auto"/>
              </w:rPr>
            </w:pPr>
          </w:p>
        </w:tc>
        <w:tc>
          <w:tcPr>
            <w:tcW w:w="120" w:type="dxa"/>
            <w:vAlign w:val="bottom"/>
            <w:tcBorders>
              <w:right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21"/>
        </w:trPr>
        <w:tc>
          <w:tcPr>
            <w:tcW w:w="8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SUMMARY</w:t>
            </w:r>
          </w:p>
        </w:tc>
        <w:tc>
          <w:tcPr>
            <w:tcW w:w="100" w:type="dxa"/>
            <w:vAlign w:val="bottom"/>
            <w:tcBorders>
              <w:right w:val="single" w:sz="8" w:color="auto"/>
            </w:tcBorders>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COMPENSATION</w:t>
            </w:r>
          </w:p>
        </w:tc>
        <w:tc>
          <w:tcPr>
            <w:tcW w:w="120" w:type="dxa"/>
            <w:vAlign w:val="bottom"/>
            <w:tcBorders>
              <w:right w:val="single" w:sz="8" w:color="auto"/>
            </w:tcBorders>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FOR NON-PEO</w:t>
            </w:r>
          </w:p>
        </w:tc>
        <w:tc>
          <w:tcPr>
            <w:tcW w:w="100" w:type="dxa"/>
            <w:vAlign w:val="bottom"/>
            <w:tcBorders>
              <w:right w:val="single" w:sz="8" w:color="auto"/>
            </w:tcBorders>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TO NON-PEO</w:t>
            </w:r>
          </w:p>
        </w:tc>
        <w:tc>
          <w:tcPr>
            <w:tcW w:w="120" w:type="dxa"/>
            <w:vAlign w:val="bottom"/>
            <w:tcBorders>
              <w:right w:val="single" w:sz="8" w:color="auto"/>
            </w:tcBorders>
          </w:tcPr>
          <w:p>
            <w:pPr>
              <w:spacing w:after="0"/>
              <w:rPr>
                <w:sz w:val="10"/>
                <w:szCs w:val="10"/>
                <w:color w:val="auto"/>
              </w:rPr>
            </w:pPr>
          </w:p>
        </w:tc>
        <w:tc>
          <w:tcPr>
            <w:tcW w:w="118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TOTAL</w:t>
            </w:r>
          </w:p>
        </w:tc>
        <w:tc>
          <w:tcPr>
            <w:tcW w:w="120" w:type="dxa"/>
            <w:vAlign w:val="bottom"/>
            <w:tcBorders>
              <w:right w:val="single" w:sz="8" w:color="auto"/>
            </w:tcBorders>
          </w:tcPr>
          <w:p>
            <w:pPr>
              <w:spacing w:after="0"/>
              <w:rPr>
                <w:sz w:val="10"/>
                <w:szCs w:val="10"/>
                <w:color w:val="auto"/>
              </w:rPr>
            </w:pPr>
          </w:p>
        </w:tc>
        <w:tc>
          <w:tcPr>
            <w:tcW w:w="118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PEER GROUP</w:t>
            </w:r>
          </w:p>
        </w:tc>
        <w:tc>
          <w:tcPr>
            <w:tcW w:w="120" w:type="dxa"/>
            <w:vAlign w:val="bottom"/>
            <w:tcBorders>
              <w:right w:val="single" w:sz="8" w:color="auto"/>
            </w:tcBorders>
          </w:tcPr>
          <w:p>
            <w:pPr>
              <w:spacing w:after="0"/>
              <w:rPr>
                <w:sz w:val="10"/>
                <w:szCs w:val="10"/>
                <w:color w:val="auto"/>
              </w:rPr>
            </w:pPr>
          </w:p>
        </w:tc>
        <w:tc>
          <w:tcPr>
            <w:tcW w:w="9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rPr>
              <w:t>OPERATING</w:t>
            </w:r>
          </w:p>
        </w:tc>
        <w:tc>
          <w:tcPr>
            <w:tcW w:w="0" w:type="dxa"/>
            <w:vAlign w:val="bottom"/>
          </w:tcPr>
          <w:p>
            <w:pPr>
              <w:spacing w:after="0"/>
              <w:rPr>
                <w:sz w:val="1"/>
                <w:szCs w:val="1"/>
                <w:color w:val="auto"/>
              </w:rPr>
            </w:pPr>
          </w:p>
        </w:tc>
      </w:tr>
      <w:tr>
        <w:trPr>
          <w:trHeight w:val="108"/>
        </w:trPr>
        <w:tc>
          <w:tcPr>
            <w:tcW w:w="8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240" w:type="dxa"/>
            <w:vAlign w:val="bottom"/>
          </w:tcPr>
          <w:p>
            <w:pPr>
              <w:jc w:val="right"/>
              <w:spacing w:after="0" w:line="108" w:lineRule="exact"/>
              <w:rPr>
                <w:sz w:val="20"/>
                <w:szCs w:val="20"/>
                <w:color w:val="auto"/>
              </w:rPr>
            </w:pPr>
            <w:r>
              <w:rPr>
                <w:rFonts w:ascii="Arial" w:cs="Arial" w:eastAsia="Arial" w:hAnsi="Arial"/>
                <w:sz w:val="12"/>
                <w:szCs w:val="12"/>
                <w:b w:val="1"/>
                <w:bCs w:val="1"/>
                <w:color w:val="auto"/>
              </w:rPr>
              <w:t>COMPENSATION</w:t>
            </w:r>
          </w:p>
        </w:tc>
        <w:tc>
          <w:tcPr>
            <w:tcW w:w="100" w:type="dxa"/>
            <w:vAlign w:val="bottom"/>
            <w:tcBorders>
              <w:right w:val="single" w:sz="8" w:color="auto"/>
            </w:tcBorders>
          </w:tcPr>
          <w:p>
            <w:pPr>
              <w:spacing w:after="0"/>
              <w:rPr>
                <w:sz w:val="9"/>
                <w:szCs w:val="9"/>
                <w:color w:val="auto"/>
              </w:rPr>
            </w:pPr>
          </w:p>
        </w:tc>
        <w:tc>
          <w:tcPr>
            <w:tcW w:w="1240" w:type="dxa"/>
            <w:vAlign w:val="bottom"/>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240" w:type="dxa"/>
            <w:vAlign w:val="bottom"/>
          </w:tcPr>
          <w:p>
            <w:pPr>
              <w:jc w:val="right"/>
              <w:spacing w:after="0" w:line="108" w:lineRule="exact"/>
              <w:rPr>
                <w:sz w:val="20"/>
                <w:szCs w:val="20"/>
                <w:color w:val="auto"/>
              </w:rPr>
            </w:pPr>
            <w:r>
              <w:rPr>
                <w:rFonts w:ascii="Arial" w:cs="Arial" w:eastAsia="Arial" w:hAnsi="Arial"/>
                <w:sz w:val="12"/>
                <w:szCs w:val="12"/>
                <w:b w:val="1"/>
                <w:bCs w:val="1"/>
                <w:color w:val="auto"/>
              </w:rPr>
              <w:t>NAMED</w:t>
            </w:r>
          </w:p>
        </w:tc>
        <w:tc>
          <w:tcPr>
            <w:tcW w:w="100" w:type="dxa"/>
            <w:vAlign w:val="bottom"/>
            <w:tcBorders>
              <w:right w:val="single" w:sz="8" w:color="auto"/>
            </w:tcBorders>
          </w:tcPr>
          <w:p>
            <w:pPr>
              <w:spacing w:after="0"/>
              <w:rPr>
                <w:sz w:val="9"/>
                <w:szCs w:val="9"/>
                <w:color w:val="auto"/>
              </w:rPr>
            </w:pPr>
          </w:p>
        </w:tc>
        <w:tc>
          <w:tcPr>
            <w:tcW w:w="1240" w:type="dxa"/>
            <w:vAlign w:val="bottom"/>
          </w:tcPr>
          <w:p>
            <w:pPr>
              <w:jc w:val="right"/>
              <w:spacing w:after="0" w:line="108" w:lineRule="exact"/>
              <w:rPr>
                <w:sz w:val="20"/>
                <w:szCs w:val="20"/>
                <w:color w:val="auto"/>
              </w:rPr>
            </w:pPr>
            <w:r>
              <w:rPr>
                <w:rFonts w:ascii="Arial" w:cs="Arial" w:eastAsia="Arial" w:hAnsi="Arial"/>
                <w:sz w:val="12"/>
                <w:szCs w:val="12"/>
                <w:b w:val="1"/>
                <w:bCs w:val="1"/>
                <w:color w:val="auto"/>
              </w:rPr>
              <w:t>NAMED</w:t>
            </w:r>
          </w:p>
        </w:tc>
        <w:tc>
          <w:tcPr>
            <w:tcW w:w="120" w:type="dxa"/>
            <w:vAlign w:val="bottom"/>
            <w:tcBorders>
              <w:right w:val="single" w:sz="8" w:color="auto"/>
            </w:tcBorders>
          </w:tcPr>
          <w:p>
            <w:pPr>
              <w:spacing w:after="0"/>
              <w:rPr>
                <w:sz w:val="9"/>
                <w:szCs w:val="9"/>
                <w:color w:val="auto"/>
              </w:rPr>
            </w:pPr>
          </w:p>
        </w:tc>
        <w:tc>
          <w:tcPr>
            <w:tcW w:w="1180" w:type="dxa"/>
            <w:vAlign w:val="bottom"/>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180" w:type="dxa"/>
            <w:vAlign w:val="bottom"/>
          </w:tcPr>
          <w:p>
            <w:pPr>
              <w:jc w:val="center"/>
              <w:ind w:left="696"/>
              <w:spacing w:after="0" w:line="108" w:lineRule="exact"/>
              <w:rPr>
                <w:sz w:val="20"/>
                <w:szCs w:val="20"/>
                <w:color w:val="auto"/>
              </w:rPr>
            </w:pPr>
            <w:r>
              <w:rPr>
                <w:rFonts w:ascii="Arial" w:cs="Arial" w:eastAsia="Arial" w:hAnsi="Arial"/>
                <w:sz w:val="12"/>
                <w:szCs w:val="12"/>
                <w:b w:val="1"/>
                <w:bCs w:val="1"/>
                <w:color w:val="auto"/>
                <w:w w:val="94"/>
              </w:rPr>
              <w:t>TOTAL</w:t>
            </w:r>
          </w:p>
        </w:tc>
        <w:tc>
          <w:tcPr>
            <w:tcW w:w="120" w:type="dxa"/>
            <w:vAlign w:val="bottom"/>
            <w:tcBorders>
              <w:right w:val="single" w:sz="8" w:color="auto"/>
            </w:tcBorders>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2"/>
                <w:szCs w:val="12"/>
                <w:b w:val="1"/>
                <w:bCs w:val="1"/>
                <w:color w:val="auto"/>
              </w:rPr>
              <w:t>NET INCOME</w:t>
            </w:r>
          </w:p>
        </w:tc>
        <w:tc>
          <w:tcPr>
            <w:tcW w:w="120" w:type="dxa"/>
            <w:vAlign w:val="bottom"/>
            <w:tcBorders>
              <w:right w:val="single" w:sz="8" w:color="auto"/>
            </w:tcBorders>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YEAR</w:t>
            </w:r>
          </w:p>
        </w:tc>
        <w:tc>
          <w:tcPr>
            <w:tcW w:w="120" w:type="dxa"/>
            <w:vAlign w:val="bottom"/>
            <w:tcBorders>
              <w:right w:val="single" w:sz="8" w:color="auto"/>
            </w:tcBorders>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TABLE TOTAL</w:t>
            </w:r>
          </w:p>
        </w:tc>
        <w:tc>
          <w:tcPr>
            <w:tcW w:w="100" w:type="dxa"/>
            <w:vAlign w:val="bottom"/>
            <w:tcBorders>
              <w:right w:val="single" w:sz="8" w:color="auto"/>
            </w:tcBorders>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ACTUALLY PAID</w:t>
            </w:r>
          </w:p>
        </w:tc>
        <w:tc>
          <w:tcPr>
            <w:tcW w:w="120" w:type="dxa"/>
            <w:vAlign w:val="bottom"/>
            <w:tcBorders>
              <w:right w:val="single" w:sz="8" w:color="auto"/>
            </w:tcBorders>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EXECUTIVE</w:t>
            </w:r>
          </w:p>
        </w:tc>
        <w:tc>
          <w:tcPr>
            <w:tcW w:w="100" w:type="dxa"/>
            <w:vAlign w:val="bottom"/>
            <w:tcBorders>
              <w:right w:val="single" w:sz="8" w:color="auto"/>
            </w:tcBorders>
          </w:tcPr>
          <w:p>
            <w:pPr>
              <w:spacing w:after="0"/>
              <w:rPr>
                <w:sz w:val="10"/>
                <w:szCs w:val="10"/>
                <w:color w:val="auto"/>
              </w:rPr>
            </w:pPr>
          </w:p>
        </w:tc>
        <w:tc>
          <w:tcPr>
            <w:tcW w:w="124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EXECUTIVE</w:t>
            </w:r>
          </w:p>
        </w:tc>
        <w:tc>
          <w:tcPr>
            <w:tcW w:w="120" w:type="dxa"/>
            <w:vAlign w:val="bottom"/>
            <w:tcBorders>
              <w:right w:val="single" w:sz="8" w:color="auto"/>
            </w:tcBorders>
          </w:tcPr>
          <w:p>
            <w:pPr>
              <w:spacing w:after="0"/>
              <w:rPr>
                <w:sz w:val="10"/>
                <w:szCs w:val="10"/>
                <w:color w:val="auto"/>
              </w:rPr>
            </w:pPr>
          </w:p>
        </w:tc>
        <w:tc>
          <w:tcPr>
            <w:tcW w:w="118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SHAREHOLDER</w:t>
            </w:r>
          </w:p>
        </w:tc>
        <w:tc>
          <w:tcPr>
            <w:tcW w:w="120" w:type="dxa"/>
            <w:vAlign w:val="bottom"/>
            <w:tcBorders>
              <w:right w:val="single" w:sz="8" w:color="auto"/>
            </w:tcBorders>
          </w:tcPr>
          <w:p>
            <w:pPr>
              <w:spacing w:after="0"/>
              <w:rPr>
                <w:sz w:val="10"/>
                <w:szCs w:val="10"/>
                <w:color w:val="auto"/>
              </w:rPr>
            </w:pPr>
          </w:p>
        </w:tc>
        <w:tc>
          <w:tcPr>
            <w:tcW w:w="1180" w:type="dxa"/>
            <w:vAlign w:val="bottom"/>
          </w:tcPr>
          <w:p>
            <w:pPr>
              <w:jc w:val="right"/>
              <w:spacing w:after="0" w:line="122" w:lineRule="exact"/>
              <w:rPr>
                <w:sz w:val="20"/>
                <w:szCs w:val="20"/>
                <w:color w:val="auto"/>
              </w:rPr>
            </w:pPr>
            <w:r>
              <w:rPr>
                <w:rFonts w:ascii="Arial" w:cs="Arial" w:eastAsia="Arial" w:hAnsi="Arial"/>
                <w:sz w:val="12"/>
                <w:szCs w:val="12"/>
                <w:b w:val="1"/>
                <w:bCs w:val="1"/>
                <w:color w:val="auto"/>
              </w:rPr>
              <w:t>SHAREHOLDER</w:t>
            </w:r>
          </w:p>
        </w:tc>
        <w:tc>
          <w:tcPr>
            <w:tcW w:w="120" w:type="dxa"/>
            <w:vAlign w:val="bottom"/>
            <w:tcBorders>
              <w:right w:val="single" w:sz="8" w:color="auto"/>
            </w:tcBorders>
          </w:tcPr>
          <w:p>
            <w:pPr>
              <w:spacing w:after="0"/>
              <w:rPr>
                <w:sz w:val="10"/>
                <w:szCs w:val="10"/>
                <w:color w:val="auto"/>
              </w:rPr>
            </w:pPr>
          </w:p>
        </w:tc>
        <w:tc>
          <w:tcPr>
            <w:tcW w:w="960" w:type="dxa"/>
            <w:vAlign w:val="bottom"/>
            <w:vMerge w:val="continue"/>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240" w:type="dxa"/>
            <w:vAlign w:val="bottom"/>
            <w:gridSpan w:val="2"/>
          </w:tcPr>
          <w:p>
            <w:pPr>
              <w:jc w:val="right"/>
              <w:spacing w:after="0" w:line="122" w:lineRule="exact"/>
              <w:rPr>
                <w:sz w:val="20"/>
                <w:szCs w:val="20"/>
                <w:color w:val="auto"/>
              </w:rPr>
            </w:pPr>
            <w:r>
              <w:rPr>
                <w:rFonts w:ascii="Arial" w:cs="Arial" w:eastAsia="Arial" w:hAnsi="Arial"/>
                <w:sz w:val="12"/>
                <w:szCs w:val="12"/>
                <w:b w:val="1"/>
                <w:bCs w:val="1"/>
                <w:color w:val="auto"/>
              </w:rPr>
              <w:t>INCOME</w:t>
            </w:r>
          </w:p>
        </w:tc>
        <w:tc>
          <w:tcPr>
            <w:tcW w:w="0" w:type="dxa"/>
            <w:vAlign w:val="bottom"/>
          </w:tcPr>
          <w:p>
            <w:pPr>
              <w:spacing w:after="0"/>
              <w:rPr>
                <w:sz w:val="1"/>
                <w:szCs w:val="1"/>
                <w:color w:val="auto"/>
              </w:rPr>
            </w:pPr>
          </w:p>
        </w:tc>
      </w:tr>
      <w:tr>
        <w:trPr>
          <w:trHeight w:val="162"/>
        </w:trPr>
        <w:tc>
          <w:tcPr>
            <w:tcW w:w="800" w:type="dxa"/>
            <w:vAlign w:val="bottom"/>
            <w:tcBorders>
              <w:bottom w:val="single" w:sz="8" w:color="auto"/>
            </w:tcBorders>
            <w:vMerge w:val="continue"/>
          </w:tcPr>
          <w:p>
            <w:pPr>
              <w:spacing w:after="0"/>
              <w:rPr>
                <w:sz w:val="14"/>
                <w:szCs w:val="14"/>
                <w:color w:val="auto"/>
              </w:rPr>
            </w:pPr>
          </w:p>
        </w:tc>
        <w:tc>
          <w:tcPr>
            <w:tcW w:w="120" w:type="dxa"/>
            <w:vAlign w:val="bottom"/>
            <w:tcBorders>
              <w:right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2"/>
                <w:szCs w:val="12"/>
                <w:b w:val="1"/>
                <w:bCs w:val="1"/>
                <w:color w:val="auto"/>
              </w:rPr>
              <w:t>FOR PEO ($)</w:t>
            </w:r>
            <w:r>
              <w:rPr>
                <w:rFonts w:ascii="Arial" w:cs="Arial" w:eastAsia="Arial" w:hAnsi="Arial"/>
                <w:sz w:val="15"/>
                <w:szCs w:val="15"/>
                <w:b w:val="1"/>
                <w:bCs w:val="1"/>
                <w:color w:val="auto"/>
                <w:vertAlign w:val="superscript"/>
              </w:rPr>
              <w:t>(1)</w:t>
            </w:r>
          </w:p>
        </w:tc>
        <w:tc>
          <w:tcPr>
            <w:tcW w:w="100" w:type="dxa"/>
            <w:vAlign w:val="bottom"/>
            <w:tcBorders>
              <w:right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2"/>
                <w:szCs w:val="12"/>
                <w:b w:val="1"/>
                <w:bCs w:val="1"/>
                <w:color w:val="auto"/>
              </w:rPr>
              <w:t>TO PEO ($)</w:t>
            </w:r>
            <w:r>
              <w:rPr>
                <w:rFonts w:ascii="Arial" w:cs="Arial" w:eastAsia="Arial" w:hAnsi="Arial"/>
                <w:sz w:val="15"/>
                <w:szCs w:val="15"/>
                <w:b w:val="1"/>
                <w:bCs w:val="1"/>
                <w:color w:val="auto"/>
                <w:vertAlign w:val="superscript"/>
              </w:rPr>
              <w:t>(1)</w:t>
            </w:r>
          </w:p>
        </w:tc>
        <w:tc>
          <w:tcPr>
            <w:tcW w:w="120" w:type="dxa"/>
            <w:vAlign w:val="bottom"/>
            <w:tcBorders>
              <w:right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2"/>
                <w:szCs w:val="12"/>
                <w:b w:val="1"/>
                <w:bCs w:val="1"/>
                <w:color w:val="auto"/>
              </w:rPr>
              <w:t>OFFICERS ($)</w:t>
            </w:r>
            <w:r>
              <w:rPr>
                <w:rFonts w:ascii="Arial" w:cs="Arial" w:eastAsia="Arial" w:hAnsi="Arial"/>
                <w:sz w:val="15"/>
                <w:szCs w:val="15"/>
                <w:b w:val="1"/>
                <w:bCs w:val="1"/>
                <w:color w:val="auto"/>
                <w:vertAlign w:val="superscript"/>
              </w:rPr>
              <w:t>(1)</w:t>
            </w:r>
          </w:p>
        </w:tc>
        <w:tc>
          <w:tcPr>
            <w:tcW w:w="100" w:type="dxa"/>
            <w:vAlign w:val="bottom"/>
            <w:tcBorders>
              <w:right w:val="single" w:sz="8" w:color="auto"/>
            </w:tcBorders>
          </w:tcPr>
          <w:p>
            <w:pPr>
              <w:spacing w:after="0"/>
              <w:rPr>
                <w:sz w:val="14"/>
                <w:szCs w:val="14"/>
                <w:color w:val="auto"/>
              </w:rPr>
            </w:pPr>
          </w:p>
        </w:tc>
        <w:tc>
          <w:tcPr>
            <w:tcW w:w="124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2"/>
                <w:szCs w:val="12"/>
                <w:b w:val="1"/>
                <w:bCs w:val="1"/>
                <w:color w:val="auto"/>
              </w:rPr>
              <w:t>OFFICERS ($)</w:t>
            </w:r>
            <w:r>
              <w:rPr>
                <w:rFonts w:ascii="Arial" w:cs="Arial" w:eastAsia="Arial" w:hAnsi="Arial"/>
                <w:sz w:val="15"/>
                <w:szCs w:val="15"/>
                <w:b w:val="1"/>
                <w:bCs w:val="1"/>
                <w:color w:val="auto"/>
                <w:vertAlign w:val="superscript"/>
              </w:rPr>
              <w:t>(1)</w:t>
            </w:r>
          </w:p>
        </w:tc>
        <w:tc>
          <w:tcPr>
            <w:tcW w:w="120" w:type="dxa"/>
            <w:vAlign w:val="bottom"/>
            <w:tcBorders>
              <w:right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RETURN ($)</w:t>
            </w:r>
          </w:p>
        </w:tc>
        <w:tc>
          <w:tcPr>
            <w:tcW w:w="120" w:type="dxa"/>
            <w:vAlign w:val="bottom"/>
            <w:tcBorders>
              <w:right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RETURN ($)</w:t>
            </w:r>
          </w:p>
        </w:tc>
        <w:tc>
          <w:tcPr>
            <w:tcW w:w="120" w:type="dxa"/>
            <w:vAlign w:val="bottom"/>
            <w:tcBorders>
              <w:right w:val="single" w:sz="8" w:color="auto"/>
            </w:tcBorders>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 MILLIONS)</w:t>
            </w:r>
          </w:p>
        </w:tc>
        <w:tc>
          <w:tcPr>
            <w:tcW w:w="120" w:type="dxa"/>
            <w:vAlign w:val="bottom"/>
            <w:tcBorders>
              <w:right w:val="single" w:sz="8" w:color="auto"/>
            </w:tcBorders>
          </w:tcPr>
          <w:p>
            <w:pPr>
              <w:spacing w:after="0"/>
              <w:rPr>
                <w:sz w:val="14"/>
                <w:szCs w:val="14"/>
                <w:color w:val="auto"/>
              </w:rPr>
            </w:pPr>
          </w:p>
        </w:tc>
        <w:tc>
          <w:tcPr>
            <w:tcW w:w="12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 MILLIONS)</w:t>
            </w:r>
          </w:p>
        </w:tc>
        <w:tc>
          <w:tcPr>
            <w:tcW w:w="0" w:type="dxa"/>
            <w:vAlign w:val="bottom"/>
          </w:tcPr>
          <w:p>
            <w:pPr>
              <w:spacing w:after="0"/>
              <w:rPr>
                <w:sz w:val="1"/>
                <w:szCs w:val="1"/>
                <w:color w:val="auto"/>
              </w:rPr>
            </w:pPr>
          </w:p>
        </w:tc>
      </w:tr>
      <w:tr>
        <w:trPr>
          <w:trHeight w:val="192"/>
        </w:trPr>
        <w:tc>
          <w:tcPr>
            <w:tcW w:w="800" w:type="dxa"/>
            <w:vAlign w:val="bottom"/>
            <w:tcBorders>
              <w:bottom w:val="single" w:sz="8" w:color="939599"/>
            </w:tcBorders>
            <w:shd w:val="clear" w:color="auto" w:fill="E6E7E8"/>
          </w:tcPr>
          <w:p>
            <w:pPr>
              <w:ind w:left="60"/>
              <w:spacing w:after="0"/>
              <w:rPr>
                <w:sz w:val="20"/>
                <w:szCs w:val="20"/>
                <w:color w:val="auto"/>
              </w:rPr>
            </w:pPr>
            <w:r>
              <w:rPr>
                <w:rFonts w:ascii="Arial" w:cs="Arial" w:eastAsia="Arial" w:hAnsi="Arial"/>
                <w:sz w:val="14"/>
                <w:szCs w:val="14"/>
                <w:color w:val="auto"/>
              </w:rPr>
              <w:t>2024</w:t>
            </w:r>
          </w:p>
        </w:tc>
        <w:tc>
          <w:tcPr>
            <w:tcW w:w="120" w:type="dxa"/>
            <w:vAlign w:val="bottom"/>
            <w:tcBorders>
              <w:right w:val="single" w:sz="8" w:color="E6E7E8"/>
            </w:tcBorders>
          </w:tcPr>
          <w:p>
            <w:pPr>
              <w:spacing w:after="0"/>
              <w:rPr>
                <w:sz w:val="16"/>
                <w:szCs w:val="16"/>
                <w:color w:val="auto"/>
              </w:rPr>
            </w:pPr>
          </w:p>
        </w:tc>
        <w:tc>
          <w:tcPr>
            <w:tcW w:w="1240" w:type="dxa"/>
            <w:vAlign w:val="bottom"/>
            <w:tcBorders>
              <w:bottom w:val="single" w:sz="8" w:color="939599"/>
            </w:tcBorders>
            <w:shd w:val="clear" w:color="auto" w:fill="E6E7E8"/>
          </w:tcPr>
          <w:p>
            <w:pPr>
              <w:jc w:val="right"/>
              <w:ind w:right="16"/>
              <w:spacing w:after="0"/>
              <w:rPr>
                <w:sz w:val="20"/>
                <w:szCs w:val="20"/>
                <w:color w:val="auto"/>
              </w:rPr>
            </w:pPr>
            <w:r>
              <w:rPr>
                <w:rFonts w:ascii="Arial" w:cs="Arial" w:eastAsia="Arial" w:hAnsi="Arial"/>
                <w:sz w:val="14"/>
                <w:szCs w:val="14"/>
                <w:color w:val="auto"/>
              </w:rPr>
              <w:t>14,055,378</w:t>
            </w:r>
          </w:p>
        </w:tc>
        <w:tc>
          <w:tcPr>
            <w:tcW w:w="100" w:type="dxa"/>
            <w:vAlign w:val="bottom"/>
            <w:tcBorders>
              <w:right w:val="single" w:sz="8" w:color="E6E7E8"/>
            </w:tcBorders>
          </w:tcPr>
          <w:p>
            <w:pPr>
              <w:spacing w:after="0"/>
              <w:rPr>
                <w:sz w:val="16"/>
                <w:szCs w:val="16"/>
                <w:color w:val="auto"/>
              </w:rPr>
            </w:pPr>
          </w:p>
        </w:tc>
        <w:tc>
          <w:tcPr>
            <w:tcW w:w="1240" w:type="dxa"/>
            <w:vAlign w:val="bottom"/>
            <w:tcBorders>
              <w:bottom w:val="single" w:sz="8" w:color="939599"/>
            </w:tcBorders>
            <w:shd w:val="clear" w:color="auto" w:fill="E6E7E8"/>
          </w:tcPr>
          <w:p>
            <w:pPr>
              <w:jc w:val="right"/>
              <w:spacing w:after="0"/>
              <w:rPr>
                <w:sz w:val="20"/>
                <w:szCs w:val="20"/>
                <w:color w:val="auto"/>
              </w:rPr>
            </w:pPr>
            <w:r>
              <w:rPr>
                <w:rFonts w:ascii="Arial" w:cs="Arial" w:eastAsia="Arial" w:hAnsi="Arial"/>
                <w:sz w:val="14"/>
                <w:szCs w:val="14"/>
                <w:color w:val="auto"/>
              </w:rPr>
              <w:t>12,744,653</w:t>
            </w:r>
          </w:p>
        </w:tc>
        <w:tc>
          <w:tcPr>
            <w:tcW w:w="120" w:type="dxa"/>
            <w:vAlign w:val="bottom"/>
            <w:tcBorders>
              <w:right w:val="single" w:sz="8" w:color="E6E7E8"/>
            </w:tcBorders>
          </w:tcPr>
          <w:p>
            <w:pPr>
              <w:spacing w:after="0"/>
              <w:rPr>
                <w:sz w:val="16"/>
                <w:szCs w:val="16"/>
                <w:color w:val="auto"/>
              </w:rPr>
            </w:pPr>
          </w:p>
        </w:tc>
        <w:tc>
          <w:tcPr>
            <w:tcW w:w="1240" w:type="dxa"/>
            <w:vAlign w:val="bottom"/>
            <w:tcBorders>
              <w:bottom w:val="single" w:sz="8" w:color="939599"/>
            </w:tcBorders>
            <w:shd w:val="clear" w:color="auto" w:fill="E6E7E8"/>
          </w:tcPr>
          <w:p>
            <w:pPr>
              <w:jc w:val="right"/>
              <w:ind w:right="20"/>
              <w:spacing w:after="0"/>
              <w:rPr>
                <w:sz w:val="20"/>
                <w:szCs w:val="20"/>
                <w:color w:val="auto"/>
              </w:rPr>
            </w:pPr>
            <w:r>
              <w:rPr>
                <w:rFonts w:ascii="Arial" w:cs="Arial" w:eastAsia="Arial" w:hAnsi="Arial"/>
                <w:sz w:val="14"/>
                <w:szCs w:val="14"/>
                <w:color w:val="auto"/>
              </w:rPr>
              <w:t>4,385,684</w:t>
            </w:r>
          </w:p>
        </w:tc>
        <w:tc>
          <w:tcPr>
            <w:tcW w:w="100" w:type="dxa"/>
            <w:vAlign w:val="bottom"/>
            <w:tcBorders>
              <w:right w:val="single" w:sz="8" w:color="E6E7E8"/>
            </w:tcBorders>
          </w:tcPr>
          <w:p>
            <w:pPr>
              <w:spacing w:after="0"/>
              <w:rPr>
                <w:sz w:val="16"/>
                <w:szCs w:val="16"/>
                <w:color w:val="auto"/>
              </w:rPr>
            </w:pPr>
          </w:p>
        </w:tc>
        <w:tc>
          <w:tcPr>
            <w:tcW w:w="1240" w:type="dxa"/>
            <w:vAlign w:val="bottom"/>
            <w:tcBorders>
              <w:bottom w:val="single" w:sz="8" w:color="939599"/>
            </w:tcBorders>
            <w:shd w:val="clear" w:color="auto" w:fill="E6E7E8"/>
          </w:tcPr>
          <w:p>
            <w:pPr>
              <w:jc w:val="right"/>
              <w:spacing w:after="0"/>
              <w:rPr>
                <w:sz w:val="20"/>
                <w:szCs w:val="20"/>
                <w:color w:val="auto"/>
              </w:rPr>
            </w:pPr>
            <w:r>
              <w:rPr>
                <w:rFonts w:ascii="Arial" w:cs="Arial" w:eastAsia="Arial" w:hAnsi="Arial"/>
                <w:sz w:val="14"/>
                <w:szCs w:val="14"/>
                <w:color w:val="auto"/>
              </w:rPr>
              <w:t>1,682,437</w:t>
            </w:r>
          </w:p>
        </w:tc>
        <w:tc>
          <w:tcPr>
            <w:tcW w:w="120" w:type="dxa"/>
            <w:vAlign w:val="bottom"/>
            <w:tcBorders>
              <w:right w:val="single" w:sz="8" w:color="E6E7E8"/>
            </w:tcBorders>
          </w:tcPr>
          <w:p>
            <w:pPr>
              <w:spacing w:after="0"/>
              <w:rPr>
                <w:sz w:val="16"/>
                <w:szCs w:val="16"/>
                <w:color w:val="auto"/>
              </w:rPr>
            </w:pPr>
          </w:p>
        </w:tc>
        <w:tc>
          <w:tcPr>
            <w:tcW w:w="1180" w:type="dxa"/>
            <w:vAlign w:val="bottom"/>
            <w:tcBorders>
              <w:bottom w:val="single" w:sz="8" w:color="939599"/>
            </w:tcBorders>
            <w:shd w:val="clear" w:color="auto" w:fill="E6E7E8"/>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Borders>
              <w:right w:val="single" w:sz="8" w:color="E6E7E8"/>
            </w:tcBorders>
          </w:tcPr>
          <w:p>
            <w:pPr>
              <w:spacing w:after="0"/>
              <w:rPr>
                <w:sz w:val="16"/>
                <w:szCs w:val="16"/>
                <w:color w:val="auto"/>
              </w:rPr>
            </w:pPr>
          </w:p>
        </w:tc>
        <w:tc>
          <w:tcPr>
            <w:tcW w:w="1180" w:type="dxa"/>
            <w:vAlign w:val="bottom"/>
            <w:tcBorders>
              <w:bottom w:val="single" w:sz="8" w:color="939599"/>
            </w:tcBorders>
            <w:shd w:val="clear" w:color="auto" w:fill="E6E7E8"/>
          </w:tcPr>
          <w:p>
            <w:pPr>
              <w:jc w:val="center"/>
              <w:ind w:left="716"/>
              <w:spacing w:after="0"/>
              <w:rPr>
                <w:sz w:val="20"/>
                <w:szCs w:val="20"/>
                <w:color w:val="auto"/>
              </w:rPr>
            </w:pPr>
            <w:r>
              <w:rPr>
                <w:rFonts w:ascii="Arial" w:cs="Arial" w:eastAsia="Arial" w:hAnsi="Arial"/>
                <w:sz w:val="14"/>
                <w:szCs w:val="14"/>
                <w:color w:val="auto"/>
              </w:rPr>
              <w:t>300</w:t>
            </w:r>
          </w:p>
        </w:tc>
        <w:tc>
          <w:tcPr>
            <w:tcW w:w="120" w:type="dxa"/>
            <w:vAlign w:val="bottom"/>
            <w:tcBorders>
              <w:right w:val="single" w:sz="8" w:color="E6E7E8"/>
            </w:tcBorders>
          </w:tcPr>
          <w:p>
            <w:pPr>
              <w:spacing w:after="0"/>
              <w:rPr>
                <w:sz w:val="16"/>
                <w:szCs w:val="16"/>
                <w:color w:val="auto"/>
              </w:rPr>
            </w:pPr>
          </w:p>
        </w:tc>
        <w:tc>
          <w:tcPr>
            <w:tcW w:w="960" w:type="dxa"/>
            <w:vAlign w:val="bottom"/>
            <w:tcBorders>
              <w:bottom w:val="single" w:sz="8" w:color="939599"/>
            </w:tcBorders>
            <w:shd w:val="clear" w:color="auto" w:fill="E6E7E8"/>
          </w:tcPr>
          <w:p>
            <w:pPr>
              <w:jc w:val="right"/>
              <w:spacing w:after="0"/>
              <w:rPr>
                <w:sz w:val="20"/>
                <w:szCs w:val="20"/>
                <w:color w:val="auto"/>
              </w:rPr>
            </w:pPr>
            <w:r>
              <w:rPr>
                <w:rFonts w:ascii="Arial" w:cs="Arial" w:eastAsia="Arial" w:hAnsi="Arial"/>
                <w:sz w:val="14"/>
                <w:szCs w:val="14"/>
                <w:color w:val="auto"/>
              </w:rPr>
              <w:t>785.7</w:t>
            </w:r>
          </w:p>
        </w:tc>
        <w:tc>
          <w:tcPr>
            <w:tcW w:w="120" w:type="dxa"/>
            <w:vAlign w:val="bottom"/>
            <w:tcBorders>
              <w:right w:val="single" w:sz="8" w:color="E6E7E8"/>
            </w:tcBorders>
          </w:tcPr>
          <w:p>
            <w:pPr>
              <w:spacing w:after="0"/>
              <w:rPr>
                <w:sz w:val="16"/>
                <w:szCs w:val="16"/>
                <w:color w:val="auto"/>
              </w:rPr>
            </w:pPr>
          </w:p>
        </w:tc>
        <w:tc>
          <w:tcPr>
            <w:tcW w:w="960" w:type="dxa"/>
            <w:vAlign w:val="bottom"/>
            <w:tcBorders>
              <w:bottom w:val="single" w:sz="8" w:color="939599"/>
            </w:tcBorders>
            <w:shd w:val="clear" w:color="auto" w:fill="E6E7E8"/>
          </w:tcPr>
          <w:p>
            <w:pPr>
              <w:jc w:val="right"/>
              <w:ind w:right="17"/>
              <w:spacing w:after="0"/>
              <w:rPr>
                <w:sz w:val="20"/>
                <w:szCs w:val="20"/>
                <w:color w:val="auto"/>
              </w:rPr>
            </w:pPr>
            <w:r>
              <w:rPr>
                <w:rFonts w:ascii="Arial" w:cs="Arial" w:eastAsia="Arial" w:hAnsi="Arial"/>
                <w:sz w:val="14"/>
                <w:szCs w:val="14"/>
                <w:color w:val="auto"/>
              </w:rPr>
              <w:t>1,058.2</w:t>
            </w:r>
          </w:p>
        </w:tc>
        <w:tc>
          <w:tcPr>
            <w:tcW w:w="280" w:type="dxa"/>
            <w:vAlign w:val="bottom"/>
            <w:tcBorders>
              <w:bottom w:val="single" w:sz="8" w:color="939599"/>
            </w:tcBorders>
            <w:shd w:val="clear" w:color="auto" w:fill="E6E7E8"/>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60"/>
              <w:spacing w:after="0"/>
              <w:rPr>
                <w:sz w:val="20"/>
                <w:szCs w:val="20"/>
                <w:color w:val="auto"/>
              </w:rPr>
            </w:pPr>
            <w:r>
              <w:rPr>
                <w:rFonts w:ascii="Arial" w:cs="Arial" w:eastAsia="Arial" w:hAnsi="Arial"/>
                <w:sz w:val="14"/>
                <w:szCs w:val="14"/>
                <w:color w:val="auto"/>
              </w:rPr>
              <w:t>2023</w:t>
            </w:r>
          </w:p>
        </w:tc>
        <w:tc>
          <w:tcPr>
            <w:tcW w:w="1360" w:type="dxa"/>
            <w:vAlign w:val="bottom"/>
            <w:gridSpan w:val="2"/>
          </w:tcPr>
          <w:p>
            <w:pPr>
              <w:jc w:val="right"/>
              <w:ind w:right="16"/>
              <w:spacing w:after="0"/>
              <w:rPr>
                <w:sz w:val="20"/>
                <w:szCs w:val="20"/>
                <w:color w:val="auto"/>
              </w:rPr>
            </w:pPr>
            <w:r>
              <w:rPr>
                <w:rFonts w:ascii="Arial" w:cs="Arial" w:eastAsia="Arial" w:hAnsi="Arial"/>
                <w:sz w:val="14"/>
                <w:szCs w:val="14"/>
                <w:color w:val="auto"/>
              </w:rPr>
              <w:t>12,245,901</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10,211,950</w:t>
            </w: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4,346,386</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3,808,732</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107</w:t>
            </w:r>
          </w:p>
        </w:tc>
        <w:tc>
          <w:tcPr>
            <w:tcW w:w="1300" w:type="dxa"/>
            <w:vAlign w:val="bottom"/>
            <w:gridSpan w:val="2"/>
          </w:tcPr>
          <w:p>
            <w:pPr>
              <w:jc w:val="center"/>
              <w:ind w:left="828"/>
              <w:spacing w:after="0"/>
              <w:rPr>
                <w:sz w:val="20"/>
                <w:szCs w:val="20"/>
                <w:color w:val="auto"/>
              </w:rPr>
            </w:pPr>
            <w:r>
              <w:rPr>
                <w:rFonts w:ascii="Arial" w:cs="Arial" w:eastAsia="Arial" w:hAnsi="Arial"/>
                <w:sz w:val="14"/>
                <w:szCs w:val="14"/>
                <w:color w:val="auto"/>
              </w:rPr>
              <w:t>219</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817.6</w:t>
            </w:r>
          </w:p>
        </w:tc>
        <w:tc>
          <w:tcPr>
            <w:tcW w:w="1080" w:type="dxa"/>
            <w:vAlign w:val="bottom"/>
            <w:gridSpan w:val="2"/>
          </w:tcPr>
          <w:p>
            <w:pPr>
              <w:jc w:val="right"/>
              <w:ind w:right="17"/>
              <w:spacing w:after="0"/>
              <w:rPr>
                <w:sz w:val="20"/>
                <w:szCs w:val="20"/>
                <w:color w:val="auto"/>
              </w:rPr>
            </w:pPr>
            <w:r>
              <w:rPr>
                <w:rFonts w:ascii="Arial" w:cs="Arial" w:eastAsia="Arial" w:hAnsi="Arial"/>
                <w:sz w:val="14"/>
                <w:szCs w:val="14"/>
                <w:color w:val="auto"/>
              </w:rPr>
              <w:t>1,000.6</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Borders>
              <w:top w:val="single" w:sz="8" w:color="939599"/>
              <w:bottom w:val="single" w:sz="8" w:color="939599"/>
            </w:tcBorders>
            <w:shd w:val="clear" w:color="auto" w:fill="E6E7E8"/>
          </w:tcPr>
          <w:p>
            <w:pPr>
              <w:ind w:left="60"/>
              <w:spacing w:after="0"/>
              <w:rPr>
                <w:sz w:val="20"/>
                <w:szCs w:val="20"/>
                <w:color w:val="auto"/>
              </w:rPr>
            </w:pPr>
            <w:r>
              <w:rPr>
                <w:rFonts w:ascii="Arial" w:cs="Arial" w:eastAsia="Arial" w:hAnsi="Arial"/>
                <w:sz w:val="14"/>
                <w:szCs w:val="14"/>
                <w:color w:val="auto"/>
              </w:rPr>
              <w:t>2022</w:t>
            </w:r>
          </w:p>
        </w:tc>
        <w:tc>
          <w:tcPr>
            <w:tcW w:w="120" w:type="dxa"/>
            <w:vAlign w:val="bottom"/>
            <w:tcBorders>
              <w:right w:val="single" w:sz="8" w:color="E6E7E8"/>
            </w:tcBorders>
          </w:tcPr>
          <w:p>
            <w:pPr>
              <w:spacing w:after="0"/>
              <w:rPr>
                <w:sz w:val="17"/>
                <w:szCs w:val="17"/>
                <w:color w:val="auto"/>
              </w:rPr>
            </w:pPr>
          </w:p>
        </w:tc>
        <w:tc>
          <w:tcPr>
            <w:tcW w:w="1240" w:type="dxa"/>
            <w:vAlign w:val="bottom"/>
            <w:tcBorders>
              <w:top w:val="single" w:sz="8" w:color="939599"/>
              <w:bottom w:val="single" w:sz="8" w:color="939599"/>
            </w:tcBorders>
            <w:shd w:val="clear" w:color="auto" w:fill="E6E7E8"/>
          </w:tcPr>
          <w:p>
            <w:pPr>
              <w:jc w:val="right"/>
              <w:ind w:right="16"/>
              <w:spacing w:after="0"/>
              <w:rPr>
                <w:sz w:val="20"/>
                <w:szCs w:val="20"/>
                <w:color w:val="auto"/>
              </w:rPr>
            </w:pPr>
            <w:r>
              <w:rPr>
                <w:rFonts w:ascii="Arial" w:cs="Arial" w:eastAsia="Arial" w:hAnsi="Arial"/>
                <w:sz w:val="14"/>
                <w:szCs w:val="14"/>
                <w:color w:val="auto"/>
              </w:rPr>
              <w:t>11,279,094</w:t>
            </w:r>
          </w:p>
        </w:tc>
        <w:tc>
          <w:tcPr>
            <w:tcW w:w="100" w:type="dxa"/>
            <w:vAlign w:val="bottom"/>
            <w:tcBorders>
              <w:right w:val="single" w:sz="8" w:color="E6E7E8"/>
            </w:tcBorders>
          </w:tcPr>
          <w:p>
            <w:pPr>
              <w:spacing w:after="0"/>
              <w:rPr>
                <w:sz w:val="17"/>
                <w:szCs w:val="17"/>
                <w:color w:val="auto"/>
              </w:rPr>
            </w:pPr>
          </w:p>
        </w:tc>
        <w:tc>
          <w:tcPr>
            <w:tcW w:w="1240" w:type="dxa"/>
            <w:vAlign w:val="bottom"/>
            <w:tcBorders>
              <w:top w:val="single" w:sz="8" w:color="939599"/>
              <w:bottom w:val="single" w:sz="8" w:color="939599"/>
            </w:tcBorders>
            <w:shd w:val="clear" w:color="auto" w:fill="E6E7E8"/>
          </w:tcPr>
          <w:p>
            <w:pPr>
              <w:jc w:val="right"/>
              <w:spacing w:after="0"/>
              <w:rPr>
                <w:sz w:val="20"/>
                <w:szCs w:val="20"/>
                <w:color w:val="auto"/>
              </w:rPr>
            </w:pPr>
            <w:r>
              <w:rPr>
                <w:rFonts w:ascii="Arial" w:cs="Arial" w:eastAsia="Arial" w:hAnsi="Arial"/>
                <w:sz w:val="14"/>
                <w:szCs w:val="14"/>
                <w:color w:val="auto"/>
              </w:rPr>
              <w:t>6,638,117</w:t>
            </w:r>
          </w:p>
        </w:tc>
        <w:tc>
          <w:tcPr>
            <w:tcW w:w="120" w:type="dxa"/>
            <w:vAlign w:val="bottom"/>
            <w:tcBorders>
              <w:right w:val="single" w:sz="8" w:color="E6E7E8"/>
            </w:tcBorders>
          </w:tcPr>
          <w:p>
            <w:pPr>
              <w:spacing w:after="0"/>
              <w:rPr>
                <w:sz w:val="17"/>
                <w:szCs w:val="17"/>
                <w:color w:val="auto"/>
              </w:rPr>
            </w:pPr>
          </w:p>
        </w:tc>
        <w:tc>
          <w:tcPr>
            <w:tcW w:w="1240" w:type="dxa"/>
            <w:vAlign w:val="bottom"/>
            <w:tcBorders>
              <w:top w:val="single" w:sz="8" w:color="939599"/>
              <w:bottom w:val="single" w:sz="8" w:color="939599"/>
            </w:tcBorders>
            <w:shd w:val="clear" w:color="auto" w:fill="E6E7E8"/>
          </w:tcPr>
          <w:p>
            <w:pPr>
              <w:jc w:val="right"/>
              <w:ind w:right="20"/>
              <w:spacing w:after="0"/>
              <w:rPr>
                <w:sz w:val="20"/>
                <w:szCs w:val="20"/>
                <w:color w:val="auto"/>
              </w:rPr>
            </w:pPr>
            <w:r>
              <w:rPr>
                <w:rFonts w:ascii="Arial" w:cs="Arial" w:eastAsia="Arial" w:hAnsi="Arial"/>
                <w:sz w:val="14"/>
                <w:szCs w:val="14"/>
                <w:color w:val="auto"/>
              </w:rPr>
              <w:t>3,923,918</w:t>
            </w:r>
          </w:p>
        </w:tc>
        <w:tc>
          <w:tcPr>
            <w:tcW w:w="100" w:type="dxa"/>
            <w:vAlign w:val="bottom"/>
            <w:tcBorders>
              <w:right w:val="single" w:sz="8" w:color="E6E7E8"/>
            </w:tcBorders>
          </w:tcPr>
          <w:p>
            <w:pPr>
              <w:spacing w:after="0"/>
              <w:rPr>
                <w:sz w:val="17"/>
                <w:szCs w:val="17"/>
                <w:color w:val="auto"/>
              </w:rPr>
            </w:pPr>
          </w:p>
        </w:tc>
        <w:tc>
          <w:tcPr>
            <w:tcW w:w="1240" w:type="dxa"/>
            <w:vAlign w:val="bottom"/>
            <w:tcBorders>
              <w:top w:val="single" w:sz="8" w:color="939599"/>
              <w:bottom w:val="single" w:sz="8" w:color="939599"/>
            </w:tcBorders>
            <w:shd w:val="clear" w:color="auto" w:fill="E6E7E8"/>
          </w:tcPr>
          <w:p>
            <w:pPr>
              <w:jc w:val="right"/>
              <w:spacing w:after="0"/>
              <w:rPr>
                <w:sz w:val="20"/>
                <w:szCs w:val="20"/>
                <w:color w:val="auto"/>
              </w:rPr>
            </w:pPr>
            <w:r>
              <w:rPr>
                <w:rFonts w:ascii="Arial" w:cs="Arial" w:eastAsia="Arial" w:hAnsi="Arial"/>
                <w:sz w:val="14"/>
                <w:szCs w:val="14"/>
                <w:color w:val="auto"/>
              </w:rPr>
              <w:t>2,623,730</w:t>
            </w:r>
          </w:p>
        </w:tc>
        <w:tc>
          <w:tcPr>
            <w:tcW w:w="120" w:type="dxa"/>
            <w:vAlign w:val="bottom"/>
            <w:tcBorders>
              <w:right w:val="single" w:sz="8" w:color="E6E7E8"/>
            </w:tcBorders>
          </w:tcPr>
          <w:p>
            <w:pPr>
              <w:spacing w:after="0"/>
              <w:rPr>
                <w:sz w:val="17"/>
                <w:szCs w:val="17"/>
                <w:color w:val="auto"/>
              </w:rPr>
            </w:pPr>
          </w:p>
        </w:tc>
        <w:tc>
          <w:tcPr>
            <w:tcW w:w="1180" w:type="dxa"/>
            <w:vAlign w:val="bottom"/>
            <w:tcBorders>
              <w:top w:val="single" w:sz="8" w:color="939599"/>
              <w:bottom w:val="single" w:sz="8" w:color="939599"/>
            </w:tcBorders>
            <w:shd w:val="clear" w:color="auto" w:fill="E6E7E8"/>
          </w:tcPr>
          <w:p>
            <w:pPr>
              <w:jc w:val="right"/>
              <w:spacing w:after="0"/>
              <w:rPr>
                <w:sz w:val="20"/>
                <w:szCs w:val="20"/>
                <w:color w:val="auto"/>
              </w:rPr>
            </w:pPr>
            <w:r>
              <w:rPr>
                <w:rFonts w:ascii="Arial" w:cs="Arial" w:eastAsia="Arial" w:hAnsi="Arial"/>
                <w:sz w:val="14"/>
                <w:szCs w:val="14"/>
                <w:color w:val="auto"/>
              </w:rPr>
              <w:t>107</w:t>
            </w:r>
          </w:p>
        </w:tc>
        <w:tc>
          <w:tcPr>
            <w:tcW w:w="120" w:type="dxa"/>
            <w:vAlign w:val="bottom"/>
            <w:tcBorders>
              <w:right w:val="single" w:sz="8" w:color="E6E7E8"/>
            </w:tcBorders>
          </w:tcPr>
          <w:p>
            <w:pPr>
              <w:spacing w:after="0"/>
              <w:rPr>
                <w:sz w:val="17"/>
                <w:szCs w:val="17"/>
                <w:color w:val="auto"/>
              </w:rPr>
            </w:pPr>
          </w:p>
        </w:tc>
        <w:tc>
          <w:tcPr>
            <w:tcW w:w="1180" w:type="dxa"/>
            <w:vAlign w:val="bottom"/>
            <w:tcBorders>
              <w:top w:val="single" w:sz="8" w:color="939599"/>
              <w:bottom w:val="single" w:sz="8" w:color="939599"/>
            </w:tcBorders>
            <w:shd w:val="clear" w:color="auto" w:fill="E6E7E8"/>
          </w:tcPr>
          <w:p>
            <w:pPr>
              <w:jc w:val="center"/>
              <w:ind w:left="716"/>
              <w:spacing w:after="0"/>
              <w:rPr>
                <w:sz w:val="20"/>
                <w:szCs w:val="20"/>
                <w:color w:val="auto"/>
              </w:rPr>
            </w:pPr>
            <w:r>
              <w:rPr>
                <w:rFonts w:ascii="Arial" w:cs="Arial" w:eastAsia="Arial" w:hAnsi="Arial"/>
                <w:sz w:val="14"/>
                <w:szCs w:val="14"/>
                <w:color w:val="auto"/>
              </w:rPr>
              <w:t>139</w:t>
            </w:r>
          </w:p>
        </w:tc>
        <w:tc>
          <w:tcPr>
            <w:tcW w:w="120" w:type="dxa"/>
            <w:vAlign w:val="bottom"/>
            <w:tcBorders>
              <w:right w:val="single" w:sz="8" w:color="E6E7E8"/>
            </w:tcBorders>
          </w:tcPr>
          <w:p>
            <w:pPr>
              <w:spacing w:after="0"/>
              <w:rPr>
                <w:sz w:val="17"/>
                <w:szCs w:val="17"/>
                <w:color w:val="auto"/>
              </w:rPr>
            </w:pPr>
          </w:p>
        </w:tc>
        <w:tc>
          <w:tcPr>
            <w:tcW w:w="960" w:type="dxa"/>
            <w:vAlign w:val="bottom"/>
            <w:tcBorders>
              <w:top w:val="single" w:sz="8" w:color="939599"/>
              <w:bottom w:val="single" w:sz="8" w:color="939599"/>
            </w:tcBorders>
            <w:shd w:val="clear" w:color="auto" w:fill="E6E7E8"/>
          </w:tcPr>
          <w:p>
            <w:pPr>
              <w:jc w:val="right"/>
              <w:spacing w:after="0"/>
              <w:rPr>
                <w:sz w:val="20"/>
                <w:szCs w:val="20"/>
                <w:color w:val="auto"/>
              </w:rPr>
            </w:pPr>
            <w:r>
              <w:rPr>
                <w:rFonts w:ascii="Arial" w:cs="Arial" w:eastAsia="Arial" w:hAnsi="Arial"/>
                <w:sz w:val="14"/>
                <w:szCs w:val="14"/>
                <w:color w:val="auto"/>
              </w:rPr>
              <w:t>673.8</w:t>
            </w:r>
          </w:p>
        </w:tc>
        <w:tc>
          <w:tcPr>
            <w:tcW w:w="120" w:type="dxa"/>
            <w:vAlign w:val="bottom"/>
            <w:tcBorders>
              <w:right w:val="single" w:sz="8" w:color="E6E7E8"/>
            </w:tcBorders>
          </w:tcPr>
          <w:p>
            <w:pPr>
              <w:spacing w:after="0"/>
              <w:rPr>
                <w:sz w:val="17"/>
                <w:szCs w:val="17"/>
                <w:color w:val="auto"/>
              </w:rPr>
            </w:pPr>
          </w:p>
        </w:tc>
        <w:tc>
          <w:tcPr>
            <w:tcW w:w="960" w:type="dxa"/>
            <w:vAlign w:val="bottom"/>
            <w:tcBorders>
              <w:top w:val="single" w:sz="8" w:color="939599"/>
              <w:bottom w:val="single" w:sz="8" w:color="939599"/>
            </w:tcBorders>
            <w:shd w:val="clear" w:color="auto" w:fill="E6E7E8"/>
          </w:tcPr>
          <w:p>
            <w:pPr>
              <w:jc w:val="right"/>
              <w:ind w:right="17"/>
              <w:spacing w:after="0"/>
              <w:rPr>
                <w:sz w:val="20"/>
                <w:szCs w:val="20"/>
                <w:color w:val="auto"/>
              </w:rPr>
            </w:pPr>
            <w:r>
              <w:rPr>
                <w:rFonts w:ascii="Arial" w:cs="Arial" w:eastAsia="Arial" w:hAnsi="Arial"/>
                <w:sz w:val="14"/>
                <w:szCs w:val="14"/>
                <w:color w:val="auto"/>
              </w:rPr>
              <w:t>943.1</w:t>
            </w:r>
          </w:p>
        </w:tc>
        <w:tc>
          <w:tcPr>
            <w:tcW w:w="280" w:type="dxa"/>
            <w:vAlign w:val="bottom"/>
            <w:tcBorders>
              <w:top w:val="single" w:sz="8" w:color="939599"/>
              <w:bottom w:val="single" w:sz="8" w:color="939599"/>
            </w:tcBorders>
            <w:shd w:val="clear" w:color="auto" w:fill="E6E7E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Pr>
          <w:p>
            <w:pPr>
              <w:ind w:left="60"/>
              <w:spacing w:after="0"/>
              <w:rPr>
                <w:sz w:val="20"/>
                <w:szCs w:val="20"/>
                <w:color w:val="auto"/>
              </w:rPr>
            </w:pPr>
            <w:r>
              <w:rPr>
                <w:rFonts w:ascii="Arial" w:cs="Arial" w:eastAsia="Arial" w:hAnsi="Arial"/>
                <w:sz w:val="14"/>
                <w:szCs w:val="14"/>
                <w:color w:val="auto"/>
              </w:rPr>
              <w:t>2021</w:t>
            </w:r>
          </w:p>
        </w:tc>
        <w:tc>
          <w:tcPr>
            <w:tcW w:w="1360" w:type="dxa"/>
            <w:vAlign w:val="bottom"/>
            <w:gridSpan w:val="2"/>
          </w:tcPr>
          <w:p>
            <w:pPr>
              <w:jc w:val="right"/>
              <w:ind w:right="16"/>
              <w:spacing w:after="0"/>
              <w:rPr>
                <w:sz w:val="20"/>
                <w:szCs w:val="20"/>
                <w:color w:val="auto"/>
              </w:rPr>
            </w:pPr>
            <w:r>
              <w:rPr>
                <w:rFonts w:ascii="Arial" w:cs="Arial" w:eastAsia="Arial" w:hAnsi="Arial"/>
                <w:sz w:val="14"/>
                <w:szCs w:val="14"/>
                <w:color w:val="auto"/>
              </w:rPr>
              <w:t>10,118,565</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13,339,664</w:t>
            </w:r>
          </w:p>
        </w:tc>
        <w:tc>
          <w:tcPr>
            <w:tcW w:w="1360" w:type="dxa"/>
            <w:vAlign w:val="bottom"/>
            <w:gridSpan w:val="2"/>
          </w:tcPr>
          <w:p>
            <w:pPr>
              <w:jc w:val="right"/>
              <w:ind w:right="20"/>
              <w:spacing w:after="0"/>
              <w:rPr>
                <w:sz w:val="20"/>
                <w:szCs w:val="20"/>
                <w:color w:val="auto"/>
              </w:rPr>
            </w:pPr>
            <w:r>
              <w:rPr>
                <w:rFonts w:ascii="Arial" w:cs="Arial" w:eastAsia="Arial" w:hAnsi="Arial"/>
                <w:sz w:val="14"/>
                <w:szCs w:val="14"/>
                <w:color w:val="auto"/>
              </w:rPr>
              <w:t>3,450,115</w:t>
            </w: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4,459,575</w:t>
            </w:r>
          </w:p>
        </w:tc>
        <w:tc>
          <w:tcPr>
            <w:tcW w:w="1300" w:type="dxa"/>
            <w:vAlign w:val="bottom"/>
            <w:gridSpan w:val="2"/>
          </w:tcPr>
          <w:p>
            <w:pPr>
              <w:jc w:val="right"/>
              <w:spacing w:after="0"/>
              <w:rPr>
                <w:sz w:val="20"/>
                <w:szCs w:val="20"/>
                <w:color w:val="auto"/>
              </w:rPr>
            </w:pPr>
            <w:r>
              <w:rPr>
                <w:rFonts w:ascii="Arial" w:cs="Arial" w:eastAsia="Arial" w:hAnsi="Arial"/>
                <w:sz w:val="14"/>
                <w:szCs w:val="14"/>
                <w:color w:val="auto"/>
              </w:rPr>
              <w:t>132</w:t>
            </w:r>
          </w:p>
        </w:tc>
        <w:tc>
          <w:tcPr>
            <w:tcW w:w="1300" w:type="dxa"/>
            <w:vAlign w:val="bottom"/>
            <w:gridSpan w:val="2"/>
          </w:tcPr>
          <w:p>
            <w:pPr>
              <w:jc w:val="center"/>
              <w:ind w:left="828"/>
              <w:spacing w:after="0"/>
              <w:rPr>
                <w:sz w:val="20"/>
                <w:szCs w:val="20"/>
                <w:color w:val="auto"/>
              </w:rPr>
            </w:pPr>
            <w:r>
              <w:rPr>
                <w:rFonts w:ascii="Arial" w:cs="Arial" w:eastAsia="Arial" w:hAnsi="Arial"/>
                <w:sz w:val="14"/>
                <w:szCs w:val="14"/>
                <w:color w:val="auto"/>
              </w:rPr>
              <w:t>194</w:t>
            </w:r>
          </w:p>
        </w:tc>
        <w:tc>
          <w:tcPr>
            <w:tcW w:w="1080" w:type="dxa"/>
            <w:vAlign w:val="bottom"/>
            <w:gridSpan w:val="2"/>
          </w:tcPr>
          <w:p>
            <w:pPr>
              <w:jc w:val="right"/>
              <w:spacing w:after="0"/>
              <w:rPr>
                <w:sz w:val="20"/>
                <w:szCs w:val="20"/>
                <w:color w:val="auto"/>
              </w:rPr>
            </w:pPr>
            <w:r>
              <w:rPr>
                <w:rFonts w:ascii="Arial" w:cs="Arial" w:eastAsia="Arial" w:hAnsi="Arial"/>
                <w:sz w:val="14"/>
                <w:szCs w:val="14"/>
                <w:color w:val="auto"/>
              </w:rPr>
              <w:t>784.8</w:t>
            </w:r>
          </w:p>
        </w:tc>
        <w:tc>
          <w:tcPr>
            <w:tcW w:w="1080" w:type="dxa"/>
            <w:vAlign w:val="bottom"/>
            <w:gridSpan w:val="2"/>
          </w:tcPr>
          <w:p>
            <w:pPr>
              <w:jc w:val="right"/>
              <w:ind w:right="17"/>
              <w:spacing w:after="0"/>
              <w:rPr>
                <w:sz w:val="20"/>
                <w:szCs w:val="20"/>
                <w:color w:val="auto"/>
              </w:rPr>
            </w:pPr>
            <w:r>
              <w:rPr>
                <w:rFonts w:ascii="Arial" w:cs="Arial" w:eastAsia="Arial" w:hAnsi="Arial"/>
                <w:sz w:val="14"/>
                <w:szCs w:val="14"/>
                <w:color w:val="auto"/>
              </w:rPr>
              <w:t>866.8</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Borders>
              <w:top w:val="single" w:sz="8" w:color="939599"/>
              <w:bottom w:val="single" w:sz="8" w:color="929292"/>
            </w:tcBorders>
            <w:shd w:val="clear" w:color="auto" w:fill="E6E7E8"/>
          </w:tcPr>
          <w:p>
            <w:pPr>
              <w:ind w:left="60"/>
              <w:spacing w:after="0"/>
              <w:rPr>
                <w:sz w:val="20"/>
                <w:szCs w:val="20"/>
                <w:color w:val="auto"/>
              </w:rPr>
            </w:pPr>
            <w:r>
              <w:rPr>
                <w:rFonts w:ascii="Arial" w:cs="Arial" w:eastAsia="Arial" w:hAnsi="Arial"/>
                <w:sz w:val="14"/>
                <w:szCs w:val="14"/>
                <w:color w:val="auto"/>
              </w:rPr>
              <w:t>2020</w:t>
            </w:r>
          </w:p>
        </w:tc>
        <w:tc>
          <w:tcPr>
            <w:tcW w:w="120" w:type="dxa"/>
            <w:vAlign w:val="bottom"/>
            <w:tcBorders>
              <w:right w:val="single" w:sz="8" w:color="E6E7E8"/>
            </w:tcBorders>
          </w:tcPr>
          <w:p>
            <w:pPr>
              <w:spacing w:after="0"/>
              <w:rPr>
                <w:sz w:val="17"/>
                <w:szCs w:val="17"/>
                <w:color w:val="auto"/>
              </w:rPr>
            </w:pPr>
          </w:p>
        </w:tc>
        <w:tc>
          <w:tcPr>
            <w:tcW w:w="1240" w:type="dxa"/>
            <w:vAlign w:val="bottom"/>
            <w:tcBorders>
              <w:top w:val="single" w:sz="8" w:color="939599"/>
              <w:bottom w:val="single" w:sz="8" w:color="929292"/>
            </w:tcBorders>
            <w:shd w:val="clear" w:color="auto" w:fill="E6E7E8"/>
          </w:tcPr>
          <w:p>
            <w:pPr>
              <w:jc w:val="right"/>
              <w:ind w:right="16"/>
              <w:spacing w:after="0"/>
              <w:rPr>
                <w:sz w:val="20"/>
                <w:szCs w:val="20"/>
                <w:color w:val="auto"/>
              </w:rPr>
            </w:pPr>
            <w:r>
              <w:rPr>
                <w:rFonts w:ascii="Arial" w:cs="Arial" w:eastAsia="Arial" w:hAnsi="Arial"/>
                <w:sz w:val="14"/>
                <w:szCs w:val="14"/>
                <w:color w:val="auto"/>
              </w:rPr>
              <w:t>10,098,502</w:t>
            </w:r>
          </w:p>
        </w:tc>
        <w:tc>
          <w:tcPr>
            <w:tcW w:w="100" w:type="dxa"/>
            <w:vAlign w:val="bottom"/>
            <w:tcBorders>
              <w:right w:val="single" w:sz="8" w:color="E6E7E8"/>
            </w:tcBorders>
          </w:tcPr>
          <w:p>
            <w:pPr>
              <w:spacing w:after="0"/>
              <w:rPr>
                <w:sz w:val="17"/>
                <w:szCs w:val="17"/>
                <w:color w:val="auto"/>
              </w:rPr>
            </w:pPr>
          </w:p>
        </w:tc>
        <w:tc>
          <w:tcPr>
            <w:tcW w:w="1240" w:type="dxa"/>
            <w:vAlign w:val="bottom"/>
            <w:tcBorders>
              <w:top w:val="single" w:sz="8" w:color="939599"/>
              <w:bottom w:val="single" w:sz="8" w:color="929292"/>
            </w:tcBorders>
            <w:shd w:val="clear" w:color="auto" w:fill="E6E7E8"/>
          </w:tcPr>
          <w:p>
            <w:pPr>
              <w:jc w:val="right"/>
              <w:spacing w:after="0"/>
              <w:rPr>
                <w:sz w:val="20"/>
                <w:szCs w:val="20"/>
                <w:color w:val="auto"/>
              </w:rPr>
            </w:pPr>
            <w:r>
              <w:rPr>
                <w:rFonts w:ascii="Arial" w:cs="Arial" w:eastAsia="Arial" w:hAnsi="Arial"/>
                <w:sz w:val="14"/>
                <w:szCs w:val="14"/>
                <w:color w:val="auto"/>
              </w:rPr>
              <w:t>13,018,694</w:t>
            </w:r>
          </w:p>
        </w:tc>
        <w:tc>
          <w:tcPr>
            <w:tcW w:w="120" w:type="dxa"/>
            <w:vAlign w:val="bottom"/>
            <w:tcBorders>
              <w:right w:val="single" w:sz="8" w:color="E6E7E8"/>
            </w:tcBorders>
          </w:tcPr>
          <w:p>
            <w:pPr>
              <w:spacing w:after="0"/>
              <w:rPr>
                <w:sz w:val="17"/>
                <w:szCs w:val="17"/>
                <w:color w:val="auto"/>
              </w:rPr>
            </w:pPr>
          </w:p>
        </w:tc>
        <w:tc>
          <w:tcPr>
            <w:tcW w:w="1240" w:type="dxa"/>
            <w:vAlign w:val="bottom"/>
            <w:tcBorders>
              <w:top w:val="single" w:sz="8" w:color="939599"/>
              <w:bottom w:val="single" w:sz="8" w:color="929292"/>
            </w:tcBorders>
            <w:shd w:val="clear" w:color="auto" w:fill="E6E7E8"/>
          </w:tcPr>
          <w:p>
            <w:pPr>
              <w:jc w:val="right"/>
              <w:ind w:right="20"/>
              <w:spacing w:after="0"/>
              <w:rPr>
                <w:sz w:val="20"/>
                <w:szCs w:val="20"/>
                <w:color w:val="auto"/>
              </w:rPr>
            </w:pPr>
            <w:r>
              <w:rPr>
                <w:rFonts w:ascii="Arial" w:cs="Arial" w:eastAsia="Arial" w:hAnsi="Arial"/>
                <w:sz w:val="14"/>
                <w:szCs w:val="14"/>
                <w:color w:val="auto"/>
              </w:rPr>
              <w:t>3,303,750</w:t>
            </w:r>
          </w:p>
        </w:tc>
        <w:tc>
          <w:tcPr>
            <w:tcW w:w="100" w:type="dxa"/>
            <w:vAlign w:val="bottom"/>
            <w:tcBorders>
              <w:right w:val="single" w:sz="8" w:color="E6E7E8"/>
            </w:tcBorders>
          </w:tcPr>
          <w:p>
            <w:pPr>
              <w:spacing w:after="0"/>
              <w:rPr>
                <w:sz w:val="17"/>
                <w:szCs w:val="17"/>
                <w:color w:val="auto"/>
              </w:rPr>
            </w:pPr>
          </w:p>
        </w:tc>
        <w:tc>
          <w:tcPr>
            <w:tcW w:w="1240" w:type="dxa"/>
            <w:vAlign w:val="bottom"/>
            <w:tcBorders>
              <w:top w:val="single" w:sz="8" w:color="939599"/>
              <w:bottom w:val="single" w:sz="8" w:color="929292"/>
            </w:tcBorders>
            <w:shd w:val="clear" w:color="auto" w:fill="E6E7E8"/>
          </w:tcPr>
          <w:p>
            <w:pPr>
              <w:jc w:val="right"/>
              <w:spacing w:after="0"/>
              <w:rPr>
                <w:sz w:val="20"/>
                <w:szCs w:val="20"/>
                <w:color w:val="auto"/>
              </w:rPr>
            </w:pPr>
            <w:r>
              <w:rPr>
                <w:rFonts w:ascii="Arial" w:cs="Arial" w:eastAsia="Arial" w:hAnsi="Arial"/>
                <w:sz w:val="14"/>
                <w:szCs w:val="14"/>
                <w:color w:val="auto"/>
              </w:rPr>
              <w:t>4,029,712</w:t>
            </w:r>
          </w:p>
        </w:tc>
        <w:tc>
          <w:tcPr>
            <w:tcW w:w="120" w:type="dxa"/>
            <w:vAlign w:val="bottom"/>
            <w:tcBorders>
              <w:right w:val="single" w:sz="8" w:color="E6E7E8"/>
            </w:tcBorders>
          </w:tcPr>
          <w:p>
            <w:pPr>
              <w:spacing w:after="0"/>
              <w:rPr>
                <w:sz w:val="17"/>
                <w:szCs w:val="17"/>
                <w:color w:val="auto"/>
              </w:rPr>
            </w:pPr>
          </w:p>
        </w:tc>
        <w:tc>
          <w:tcPr>
            <w:tcW w:w="1180" w:type="dxa"/>
            <w:vAlign w:val="bottom"/>
            <w:tcBorders>
              <w:top w:val="single" w:sz="8" w:color="939599"/>
              <w:bottom w:val="single" w:sz="8" w:color="929292"/>
            </w:tcBorders>
            <w:shd w:val="clear" w:color="auto" w:fill="E6E7E8"/>
          </w:tcPr>
          <w:p>
            <w:pPr>
              <w:jc w:val="right"/>
              <w:spacing w:after="0"/>
              <w:rPr>
                <w:sz w:val="20"/>
                <w:szCs w:val="20"/>
                <w:color w:val="auto"/>
              </w:rPr>
            </w:pPr>
            <w:r>
              <w:rPr>
                <w:rFonts w:ascii="Arial" w:cs="Arial" w:eastAsia="Arial" w:hAnsi="Arial"/>
                <w:sz w:val="14"/>
                <w:szCs w:val="14"/>
                <w:color w:val="auto"/>
              </w:rPr>
              <w:t>112</w:t>
            </w:r>
          </w:p>
        </w:tc>
        <w:tc>
          <w:tcPr>
            <w:tcW w:w="120" w:type="dxa"/>
            <w:vAlign w:val="bottom"/>
            <w:tcBorders>
              <w:right w:val="single" w:sz="8" w:color="E6E7E8"/>
            </w:tcBorders>
          </w:tcPr>
          <w:p>
            <w:pPr>
              <w:spacing w:after="0"/>
              <w:rPr>
                <w:sz w:val="17"/>
                <w:szCs w:val="17"/>
                <w:color w:val="auto"/>
              </w:rPr>
            </w:pPr>
          </w:p>
        </w:tc>
        <w:tc>
          <w:tcPr>
            <w:tcW w:w="1180" w:type="dxa"/>
            <w:vAlign w:val="bottom"/>
            <w:tcBorders>
              <w:top w:val="single" w:sz="8" w:color="939599"/>
              <w:bottom w:val="single" w:sz="8" w:color="929292"/>
            </w:tcBorders>
            <w:shd w:val="clear" w:color="auto" w:fill="E6E7E8"/>
          </w:tcPr>
          <w:p>
            <w:pPr>
              <w:jc w:val="center"/>
              <w:ind w:left="716"/>
              <w:spacing w:after="0"/>
              <w:rPr>
                <w:sz w:val="20"/>
                <w:szCs w:val="20"/>
                <w:color w:val="auto"/>
              </w:rPr>
            </w:pPr>
            <w:r>
              <w:rPr>
                <w:rFonts w:ascii="Arial" w:cs="Arial" w:eastAsia="Arial" w:hAnsi="Arial"/>
                <w:sz w:val="14"/>
                <w:szCs w:val="14"/>
                <w:color w:val="auto"/>
              </w:rPr>
              <w:t>144</w:t>
            </w:r>
          </w:p>
        </w:tc>
        <w:tc>
          <w:tcPr>
            <w:tcW w:w="120" w:type="dxa"/>
            <w:vAlign w:val="bottom"/>
            <w:tcBorders>
              <w:right w:val="single" w:sz="8" w:color="E6E7E8"/>
            </w:tcBorders>
          </w:tcPr>
          <w:p>
            <w:pPr>
              <w:spacing w:after="0"/>
              <w:rPr>
                <w:sz w:val="17"/>
                <w:szCs w:val="17"/>
                <w:color w:val="auto"/>
              </w:rPr>
            </w:pPr>
          </w:p>
        </w:tc>
        <w:tc>
          <w:tcPr>
            <w:tcW w:w="960" w:type="dxa"/>
            <w:vAlign w:val="bottom"/>
            <w:tcBorders>
              <w:top w:val="single" w:sz="8" w:color="939599"/>
              <w:bottom w:val="single" w:sz="8" w:color="929292"/>
            </w:tcBorders>
            <w:shd w:val="clear" w:color="auto" w:fill="E6E7E8"/>
          </w:tcPr>
          <w:p>
            <w:pPr>
              <w:jc w:val="right"/>
              <w:spacing w:after="0"/>
              <w:rPr>
                <w:sz w:val="20"/>
                <w:szCs w:val="20"/>
                <w:color w:val="auto"/>
              </w:rPr>
            </w:pPr>
            <w:r>
              <w:rPr>
                <w:rFonts w:ascii="Arial" w:cs="Arial" w:eastAsia="Arial" w:hAnsi="Arial"/>
                <w:sz w:val="14"/>
                <w:szCs w:val="14"/>
                <w:color w:val="auto"/>
              </w:rPr>
              <w:t>814.9</w:t>
            </w:r>
          </w:p>
        </w:tc>
        <w:tc>
          <w:tcPr>
            <w:tcW w:w="120" w:type="dxa"/>
            <w:vAlign w:val="bottom"/>
            <w:tcBorders>
              <w:right w:val="single" w:sz="8" w:color="E6E7E8"/>
            </w:tcBorders>
          </w:tcPr>
          <w:p>
            <w:pPr>
              <w:spacing w:after="0"/>
              <w:rPr>
                <w:sz w:val="17"/>
                <w:szCs w:val="17"/>
                <w:color w:val="auto"/>
              </w:rPr>
            </w:pPr>
          </w:p>
        </w:tc>
        <w:tc>
          <w:tcPr>
            <w:tcW w:w="960" w:type="dxa"/>
            <w:vAlign w:val="bottom"/>
            <w:tcBorders>
              <w:top w:val="single" w:sz="8" w:color="939599"/>
              <w:bottom w:val="single" w:sz="8" w:color="929292"/>
            </w:tcBorders>
            <w:shd w:val="clear" w:color="auto" w:fill="E6E7E8"/>
          </w:tcPr>
          <w:p>
            <w:pPr>
              <w:jc w:val="right"/>
              <w:ind w:right="17"/>
              <w:spacing w:after="0"/>
              <w:rPr>
                <w:sz w:val="20"/>
                <w:szCs w:val="20"/>
                <w:color w:val="auto"/>
              </w:rPr>
            </w:pPr>
            <w:r>
              <w:rPr>
                <w:rFonts w:ascii="Arial" w:cs="Arial" w:eastAsia="Arial" w:hAnsi="Arial"/>
                <w:sz w:val="14"/>
                <w:szCs w:val="14"/>
                <w:color w:val="auto"/>
              </w:rPr>
              <w:t>824.2</w:t>
            </w:r>
          </w:p>
        </w:tc>
        <w:tc>
          <w:tcPr>
            <w:tcW w:w="280" w:type="dxa"/>
            <w:vAlign w:val="bottom"/>
            <w:tcBorders>
              <w:top w:val="single" w:sz="8" w:color="939599"/>
              <w:bottom w:val="single" w:sz="8" w:color="929292"/>
            </w:tcBorders>
            <w:shd w:val="clear" w:color="auto" w:fill="E6E7E8"/>
          </w:tcPr>
          <w:p>
            <w:pPr>
              <w:jc w:val="right"/>
              <w:ind w:right="113"/>
              <w:spacing w:after="0"/>
              <w:rPr>
                <w:sz w:val="20"/>
                <w:szCs w:val="20"/>
                <w:color w:val="auto"/>
              </w:rPr>
            </w:pPr>
            <w:r>
              <w:rPr>
                <w:rFonts w:ascii="Arial" w:cs="Arial" w:eastAsia="Arial" w:hAnsi="Arial"/>
                <w:sz w:val="9"/>
                <w:szCs w:val="9"/>
                <w:color w:val="auto"/>
                <w:w w:val="90"/>
              </w:rPr>
              <w:t>(3)</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260" w:right="40" w:hanging="252"/>
        <w:spacing w:after="0"/>
        <w:tabs>
          <w:tab w:leader="none" w:pos="250" w:val="left"/>
        </w:tabs>
        <w:numPr>
          <w:ilvl w:val="0"/>
          <w:numId w:val="47"/>
        </w:numPr>
        <w:rPr>
          <w:rFonts w:ascii="Arial" w:cs="Arial" w:eastAsia="Arial" w:hAnsi="Arial"/>
          <w:sz w:val="19"/>
          <w:szCs w:val="19"/>
          <w:color w:val="auto"/>
          <w:vertAlign w:val="superscript"/>
        </w:rPr>
      </w:pPr>
      <w:r>
        <w:rPr>
          <w:rFonts w:ascii="Arial" w:cs="Arial" w:eastAsia="Arial" w:hAnsi="Arial"/>
          <w:sz w:val="14"/>
          <w:szCs w:val="14"/>
          <w:color w:val="auto"/>
        </w:rPr>
        <w:t>In all five years presented, Mr. Bidzos was our Principal Executive Officer (“PEO”). The non-PEO NEOs during 2024, 2023 and 2022 were Messrs. Strubbe, Kilguss, McPherson, and Indelicarto. For 2021 and 2020, the non-PEO NEOs were Messrs. Strubbe, Kilguss, and Indelicarto; Mr. McPherson is not included in 2020 and 2021 as he was appointed an executive officer on July 26, 2022. Equity values in the “Compensation Actually Paid” columns for the PEO and the average of the non-PEO NEOs are calculated in accordance with FASB ASC Topic 718, and the valuation assumptions used to calculate fair values did not materially differ from those disclosed at the time of the grant.</w:t>
      </w:r>
    </w:p>
    <w:p>
      <w:pPr>
        <w:spacing w:after="0" w:line="162" w:lineRule="exact"/>
        <w:rPr>
          <w:rFonts w:ascii="Arial" w:cs="Arial" w:eastAsia="Arial" w:hAnsi="Arial"/>
          <w:sz w:val="19"/>
          <w:szCs w:val="19"/>
          <w:color w:val="auto"/>
          <w:vertAlign w:val="superscript"/>
        </w:rPr>
      </w:pPr>
    </w:p>
    <w:p>
      <w:pPr>
        <w:ind w:left="260" w:right="720" w:hanging="252"/>
        <w:spacing w:after="0" w:line="301" w:lineRule="auto"/>
        <w:tabs>
          <w:tab w:leader="none" w:pos="264" w:val="left"/>
        </w:tabs>
        <w:numPr>
          <w:ilvl w:val="0"/>
          <w:numId w:val="47"/>
        </w:numPr>
        <w:rPr>
          <w:rFonts w:ascii="Arial" w:cs="Arial" w:eastAsia="Arial" w:hAnsi="Arial"/>
          <w:sz w:val="9"/>
          <w:szCs w:val="9"/>
          <w:color w:val="auto"/>
        </w:rPr>
      </w:pPr>
      <w:r>
        <w:rPr>
          <w:rFonts w:ascii="Arial" w:cs="Arial" w:eastAsia="Arial" w:hAnsi="Arial"/>
          <w:sz w:val="14"/>
          <w:szCs w:val="14"/>
          <w:color w:val="auto"/>
        </w:rPr>
        <w:t>TSR based on initial investment of $100 made at the end of 2019 and reflects cumulative change since that time. Peer group represents the S&amp;P 500 Information Technology Sector Index.</w:t>
      </w:r>
    </w:p>
    <w:p>
      <w:pPr>
        <w:spacing w:after="0" w:line="1" w:lineRule="exact"/>
        <w:rPr>
          <w:rFonts w:ascii="Arial" w:cs="Arial" w:eastAsia="Arial" w:hAnsi="Arial"/>
          <w:sz w:val="9"/>
          <w:szCs w:val="9"/>
          <w:color w:val="auto"/>
        </w:rPr>
      </w:pPr>
    </w:p>
    <w:p>
      <w:pPr>
        <w:jc w:val="both"/>
        <w:ind w:left="260" w:right="220" w:hanging="252"/>
        <w:spacing w:after="0" w:line="283" w:lineRule="auto"/>
        <w:tabs>
          <w:tab w:leader="none" w:pos="248" w:val="left"/>
        </w:tabs>
        <w:numPr>
          <w:ilvl w:val="0"/>
          <w:numId w:val="47"/>
        </w:numPr>
        <w:rPr>
          <w:rFonts w:ascii="Times New Roman" w:cs="Times New Roman" w:eastAsia="Times New Roman" w:hAnsi="Times New Roman"/>
          <w:sz w:val="11"/>
          <w:szCs w:val="11"/>
          <w:color w:val="auto"/>
        </w:rPr>
      </w:pPr>
      <w:r>
        <w:rPr>
          <w:rFonts w:ascii="Arial" w:cs="Arial" w:eastAsia="Arial" w:hAnsi="Arial"/>
          <w:sz w:val="14"/>
          <w:szCs w:val="14"/>
          <w:color w:val="auto"/>
        </w:rPr>
        <w:t>In December 2020, the Compensation Committee approved a $6.5 million adjustment to the 2020 operating income amount used in the determination of the performance level achieved for the PSUs that vested in February 2021. The adjustment was made to account for the impact of the sale of the security services contracts in December 2018, which was not contemplated at the time the performance goals for these PSUs were established.</w:t>
      </w:r>
    </w:p>
    <w:p>
      <w:pPr>
        <w:spacing w:after="0" w:line="33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The following table details the adjustments made to the Summary Compensation Table totals to arrive at the Compensation Actually Paid (“CAP”) amounts in the table above, calculated in accordance with Item 402(v) of Regulation S-K.</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84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34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36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13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ADD YEAR OVER YEAR</w:t>
            </w:r>
          </w:p>
        </w:tc>
        <w:tc>
          <w:tcPr>
            <w:tcW w:w="120" w:type="dxa"/>
            <w:vAlign w:val="bottom"/>
            <w:tcBorders>
              <w:right w:val="single" w:sz="8" w:color="auto"/>
            </w:tcBorders>
          </w:tcPr>
          <w:p>
            <w:pPr>
              <w:spacing w:after="0"/>
              <w:rPr>
                <w:sz w:val="10"/>
                <w:szCs w:val="10"/>
                <w:color w:val="auto"/>
              </w:rPr>
            </w:pPr>
          </w:p>
        </w:tc>
        <w:tc>
          <w:tcPr>
            <w:tcW w:w="1360" w:type="dxa"/>
            <w:vAlign w:val="bottom"/>
          </w:tcPr>
          <w:p>
            <w:pPr>
              <w:jc w:val="right"/>
              <w:spacing w:after="0"/>
              <w:rPr>
                <w:sz w:val="20"/>
                <w:szCs w:val="20"/>
                <w:color w:val="auto"/>
              </w:rPr>
            </w:pPr>
            <w:r>
              <w:rPr>
                <w:rFonts w:ascii="Arial" w:cs="Arial" w:eastAsia="Arial" w:hAnsi="Arial"/>
                <w:sz w:val="11"/>
                <w:szCs w:val="11"/>
                <w:b w:val="1"/>
                <w:bCs w:val="1"/>
                <w:color w:val="auto"/>
              </w:rPr>
              <w:t>ADD CHANGE IN</w:t>
            </w:r>
          </w:p>
        </w:tc>
        <w:tc>
          <w:tcPr>
            <w:tcW w:w="100" w:type="dxa"/>
            <w:vAlign w:val="bottom"/>
            <w:tcBorders>
              <w:right w:val="single" w:sz="8" w:color="auto"/>
            </w:tcBorders>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14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8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34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3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DEDUCT SUMMARY</w:t>
            </w:r>
          </w:p>
        </w:tc>
        <w:tc>
          <w:tcPr>
            <w:tcW w:w="120" w:type="dxa"/>
            <w:vAlign w:val="bottom"/>
            <w:tcBorders>
              <w:right w:val="single" w:sz="8" w:color="auto"/>
            </w:tcBorders>
          </w:tcPr>
          <w:p>
            <w:pPr>
              <w:spacing w:after="0"/>
              <w:rPr>
                <w:sz w:val="9"/>
                <w:szCs w:val="9"/>
                <w:color w:val="auto"/>
              </w:rPr>
            </w:pPr>
          </w:p>
        </w:tc>
        <w:tc>
          <w:tcPr>
            <w:tcW w:w="13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360" w:type="dxa"/>
            <w:vAlign w:val="bottom"/>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360" w:type="dxa"/>
            <w:vAlign w:val="bottom"/>
          </w:tcPr>
          <w:p>
            <w:pPr>
              <w:jc w:val="right"/>
              <w:spacing w:after="0" w:line="108" w:lineRule="exact"/>
              <w:rPr>
                <w:sz w:val="20"/>
                <w:szCs w:val="20"/>
                <w:color w:val="auto"/>
              </w:rPr>
            </w:pPr>
            <w:r>
              <w:rPr>
                <w:rFonts w:ascii="Arial" w:cs="Arial" w:eastAsia="Arial" w:hAnsi="Arial"/>
                <w:sz w:val="11"/>
                <w:szCs w:val="11"/>
                <w:b w:val="1"/>
                <w:bCs w:val="1"/>
                <w:color w:val="auto"/>
              </w:rPr>
              <w:t>VALUE FROM PRIOR</w:t>
            </w:r>
          </w:p>
        </w:tc>
        <w:tc>
          <w:tcPr>
            <w:tcW w:w="100" w:type="dxa"/>
            <w:vAlign w:val="bottom"/>
            <w:tcBorders>
              <w:right w:val="single" w:sz="8" w:color="auto"/>
            </w:tcBorders>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34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SUMMARY</w:t>
            </w:r>
          </w:p>
        </w:tc>
        <w:tc>
          <w:tcPr>
            <w:tcW w:w="120" w:type="dxa"/>
            <w:vAlign w:val="bottom"/>
            <w:tcBorders>
              <w:right w:val="single" w:sz="8" w:color="auto"/>
            </w:tcBorders>
          </w:tcPr>
          <w:p>
            <w:pPr>
              <w:spacing w:after="0"/>
              <w:rPr>
                <w:sz w:val="9"/>
                <w:szCs w:val="9"/>
                <w:color w:val="auto"/>
              </w:rPr>
            </w:pPr>
          </w:p>
        </w:tc>
        <w:tc>
          <w:tcPr>
            <w:tcW w:w="1360" w:type="dxa"/>
            <w:vAlign w:val="bottom"/>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36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ADD YEAR-END VALUE</w:t>
            </w:r>
          </w:p>
        </w:tc>
        <w:tc>
          <w:tcPr>
            <w:tcW w:w="100" w:type="dxa"/>
            <w:vAlign w:val="bottom"/>
            <w:tcBorders>
              <w:right w:val="single" w:sz="8" w:color="auto"/>
            </w:tcBorders>
          </w:tcPr>
          <w:p>
            <w:pPr>
              <w:spacing w:after="0"/>
              <w:rPr>
                <w:sz w:val="9"/>
                <w:szCs w:val="9"/>
                <w:color w:val="auto"/>
              </w:rPr>
            </w:pPr>
          </w:p>
        </w:tc>
        <w:tc>
          <w:tcPr>
            <w:tcW w:w="1360" w:type="dxa"/>
            <w:vAlign w:val="bottom"/>
          </w:tcPr>
          <w:p>
            <w:pPr>
              <w:jc w:val="right"/>
              <w:spacing w:after="0" w:line="108" w:lineRule="exact"/>
              <w:rPr>
                <w:sz w:val="20"/>
                <w:szCs w:val="20"/>
                <w:color w:val="auto"/>
              </w:rPr>
            </w:pPr>
            <w:r>
              <w:rPr>
                <w:rFonts w:ascii="Arial" w:cs="Arial" w:eastAsia="Arial" w:hAnsi="Arial"/>
                <w:sz w:val="11"/>
                <w:szCs w:val="11"/>
                <w:b w:val="1"/>
                <w:bCs w:val="1"/>
                <w:color w:val="auto"/>
              </w:rPr>
              <w:t>CHANGE IN</w:t>
            </w:r>
          </w:p>
        </w:tc>
        <w:tc>
          <w:tcPr>
            <w:tcW w:w="120" w:type="dxa"/>
            <w:vAlign w:val="bottom"/>
            <w:tcBorders>
              <w:right w:val="single" w:sz="8" w:color="auto"/>
            </w:tcBorders>
          </w:tcPr>
          <w:p>
            <w:pPr>
              <w:spacing w:after="0"/>
              <w:rPr>
                <w:sz w:val="9"/>
                <w:szCs w:val="9"/>
                <w:color w:val="auto"/>
              </w:rPr>
            </w:pPr>
          </w:p>
        </w:tc>
        <w:tc>
          <w:tcPr>
            <w:tcW w:w="1360" w:type="dxa"/>
            <w:vAlign w:val="bottom"/>
          </w:tcPr>
          <w:p>
            <w:pPr>
              <w:jc w:val="right"/>
              <w:spacing w:after="0" w:line="108" w:lineRule="exact"/>
              <w:rPr>
                <w:sz w:val="20"/>
                <w:szCs w:val="20"/>
                <w:color w:val="auto"/>
              </w:rPr>
            </w:pPr>
            <w:r>
              <w:rPr>
                <w:rFonts w:ascii="Arial" w:cs="Arial" w:eastAsia="Arial" w:hAnsi="Arial"/>
                <w:sz w:val="11"/>
                <w:szCs w:val="11"/>
                <w:b w:val="1"/>
                <w:bCs w:val="1"/>
                <w:color w:val="auto"/>
              </w:rPr>
              <w:t>YEAR END TO VESTING</w:t>
            </w:r>
          </w:p>
        </w:tc>
        <w:tc>
          <w:tcPr>
            <w:tcW w:w="100" w:type="dxa"/>
            <w:vAlign w:val="bottom"/>
            <w:tcBorders>
              <w:right w:val="single" w:sz="8" w:color="auto"/>
            </w:tcBorders>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4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8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340" w:type="dxa"/>
            <w:vAlign w:val="bottom"/>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360" w:type="dxa"/>
            <w:vAlign w:val="bottom"/>
          </w:tcPr>
          <w:p>
            <w:pPr>
              <w:jc w:val="right"/>
              <w:spacing w:after="0" w:line="108" w:lineRule="exact"/>
              <w:rPr>
                <w:sz w:val="20"/>
                <w:szCs w:val="20"/>
                <w:color w:val="auto"/>
              </w:rPr>
            </w:pPr>
            <w:r>
              <w:rPr>
                <w:rFonts w:ascii="Arial" w:cs="Arial" w:eastAsia="Arial" w:hAnsi="Arial"/>
                <w:sz w:val="11"/>
                <w:szCs w:val="11"/>
                <w:b w:val="1"/>
                <w:bCs w:val="1"/>
                <w:color w:val="auto"/>
              </w:rPr>
              <w:t>COMPENSATION</w:t>
            </w:r>
          </w:p>
        </w:tc>
        <w:tc>
          <w:tcPr>
            <w:tcW w:w="120" w:type="dxa"/>
            <w:vAlign w:val="bottom"/>
            <w:tcBorders>
              <w:right w:val="single" w:sz="8" w:color="auto"/>
            </w:tcBorders>
          </w:tcPr>
          <w:p>
            <w:pPr>
              <w:spacing w:after="0"/>
              <w:rPr>
                <w:sz w:val="9"/>
                <w:szCs w:val="9"/>
                <w:color w:val="auto"/>
              </w:rPr>
            </w:pPr>
          </w:p>
        </w:tc>
        <w:tc>
          <w:tcPr>
            <w:tcW w:w="1360" w:type="dxa"/>
            <w:vAlign w:val="bottom"/>
            <w:vMerge w:val="continue"/>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360" w:type="dxa"/>
            <w:vAlign w:val="bottom"/>
          </w:tcPr>
          <w:p>
            <w:pPr>
              <w:jc w:val="right"/>
              <w:spacing w:after="0" w:line="108" w:lineRule="exact"/>
              <w:rPr>
                <w:sz w:val="20"/>
                <w:szCs w:val="20"/>
                <w:color w:val="auto"/>
              </w:rPr>
            </w:pPr>
            <w:r>
              <w:rPr>
                <w:rFonts w:ascii="Arial" w:cs="Arial" w:eastAsia="Arial" w:hAnsi="Arial"/>
                <w:sz w:val="11"/>
                <w:szCs w:val="11"/>
                <w:b w:val="1"/>
                <w:bCs w:val="1"/>
                <w:color w:val="auto"/>
              </w:rPr>
              <w:t>VALUE OF UNVESTED</w:t>
            </w:r>
          </w:p>
        </w:tc>
        <w:tc>
          <w:tcPr>
            <w:tcW w:w="120" w:type="dxa"/>
            <w:vAlign w:val="bottom"/>
            <w:tcBorders>
              <w:right w:val="single" w:sz="8" w:color="auto"/>
            </w:tcBorders>
          </w:tcPr>
          <w:p>
            <w:pPr>
              <w:spacing w:after="0"/>
              <w:rPr>
                <w:sz w:val="9"/>
                <w:szCs w:val="9"/>
                <w:color w:val="auto"/>
              </w:rPr>
            </w:pPr>
          </w:p>
        </w:tc>
        <w:tc>
          <w:tcPr>
            <w:tcW w:w="1360" w:type="dxa"/>
            <w:vAlign w:val="bottom"/>
          </w:tcPr>
          <w:p>
            <w:pPr>
              <w:jc w:val="right"/>
              <w:spacing w:after="0" w:line="108" w:lineRule="exact"/>
              <w:rPr>
                <w:sz w:val="20"/>
                <w:szCs w:val="20"/>
                <w:color w:val="auto"/>
              </w:rPr>
            </w:pPr>
            <w:r>
              <w:rPr>
                <w:rFonts w:ascii="Arial" w:cs="Arial" w:eastAsia="Arial" w:hAnsi="Arial"/>
                <w:sz w:val="11"/>
                <w:szCs w:val="11"/>
                <w:b w:val="1"/>
                <w:bCs w:val="1"/>
                <w:color w:val="auto"/>
              </w:rPr>
              <w:t>DATE OF VESTED</w:t>
            </w:r>
          </w:p>
        </w:tc>
        <w:tc>
          <w:tcPr>
            <w:tcW w:w="100" w:type="dxa"/>
            <w:vAlign w:val="bottom"/>
            <w:tcBorders>
              <w:right w:val="single" w:sz="8" w:color="auto"/>
            </w:tcBorders>
          </w:tcPr>
          <w:p>
            <w:pPr>
              <w:spacing w:after="0"/>
              <w:rPr>
                <w:sz w:val="9"/>
                <w:szCs w:val="9"/>
                <w:color w:val="auto"/>
              </w:rPr>
            </w:pPr>
          </w:p>
        </w:tc>
        <w:tc>
          <w:tcPr>
            <w:tcW w:w="1400" w:type="dxa"/>
            <w:vAlign w:val="bottom"/>
            <w:vMerge w:val="restart"/>
          </w:tcPr>
          <w:p>
            <w:pPr>
              <w:jc w:val="right"/>
              <w:spacing w:after="0"/>
              <w:rPr>
                <w:sz w:val="20"/>
                <w:szCs w:val="20"/>
                <w:color w:val="auto"/>
              </w:rPr>
            </w:pPr>
            <w:r>
              <w:rPr>
                <w:rFonts w:ascii="Arial" w:cs="Arial" w:eastAsia="Arial" w:hAnsi="Arial"/>
                <w:sz w:val="11"/>
                <w:szCs w:val="11"/>
                <w:b w:val="1"/>
                <w:bCs w:val="1"/>
                <w:color w:val="auto"/>
                <w:w w:val="97"/>
              </w:rPr>
              <w:t>LESS VALUE OF AWARDS</w:t>
            </w:r>
          </w:p>
        </w:tc>
        <w:tc>
          <w:tcPr>
            <w:tcW w:w="120" w:type="dxa"/>
            <w:vAlign w:val="bottom"/>
            <w:tcBorders>
              <w:right w:val="single" w:sz="8" w:color="auto"/>
            </w:tcBorders>
          </w:tcPr>
          <w:p>
            <w:pPr>
              <w:spacing w:after="0"/>
              <w:rPr>
                <w:sz w:val="9"/>
                <w:szCs w:val="9"/>
                <w:color w:val="auto"/>
              </w:rPr>
            </w:pPr>
          </w:p>
        </w:tc>
        <w:tc>
          <w:tcPr>
            <w:tcW w:w="1420" w:type="dxa"/>
            <w:vAlign w:val="bottom"/>
            <w:vMerge w:val="restart"/>
          </w:tcPr>
          <w:p>
            <w:pPr>
              <w:jc w:val="right"/>
              <w:spacing w:after="0"/>
              <w:rPr>
                <w:sz w:val="20"/>
                <w:szCs w:val="20"/>
                <w:color w:val="auto"/>
              </w:rPr>
            </w:pPr>
            <w:r>
              <w:rPr>
                <w:rFonts w:ascii="Arial" w:cs="Arial" w:eastAsia="Arial" w:hAnsi="Arial"/>
                <w:sz w:val="11"/>
                <w:szCs w:val="11"/>
                <w:b w:val="1"/>
                <w:bCs w:val="1"/>
                <w:color w:val="auto"/>
              </w:rPr>
              <w:t>COMPENSATION</w:t>
            </w:r>
          </w:p>
        </w:tc>
        <w:tc>
          <w:tcPr>
            <w:tcW w:w="0" w:type="dxa"/>
            <w:vAlign w:val="bottom"/>
          </w:tcPr>
          <w:p>
            <w:pPr>
              <w:spacing w:after="0"/>
              <w:rPr>
                <w:sz w:val="1"/>
                <w:szCs w:val="1"/>
                <w:color w:val="auto"/>
              </w:rPr>
            </w:pPr>
          </w:p>
        </w:tc>
      </w:tr>
      <w:tr>
        <w:trPr>
          <w:trHeight w:val="108"/>
        </w:trPr>
        <w:tc>
          <w:tcPr>
            <w:tcW w:w="84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1340" w:type="dxa"/>
            <w:vAlign w:val="bottom"/>
          </w:tcPr>
          <w:p>
            <w:pPr>
              <w:jc w:val="right"/>
              <w:spacing w:after="0" w:line="108" w:lineRule="exact"/>
              <w:rPr>
                <w:sz w:val="20"/>
                <w:szCs w:val="20"/>
                <w:color w:val="auto"/>
              </w:rPr>
            </w:pPr>
            <w:r>
              <w:rPr>
                <w:rFonts w:ascii="Arial" w:cs="Arial" w:eastAsia="Arial" w:hAnsi="Arial"/>
                <w:sz w:val="11"/>
                <w:szCs w:val="11"/>
                <w:b w:val="1"/>
                <w:bCs w:val="1"/>
                <w:color w:val="auto"/>
              </w:rPr>
              <w:t>COMPENSATION</w:t>
            </w:r>
          </w:p>
        </w:tc>
        <w:tc>
          <w:tcPr>
            <w:tcW w:w="120" w:type="dxa"/>
            <w:vAlign w:val="bottom"/>
            <w:tcBorders>
              <w:right w:val="single" w:sz="8" w:color="auto"/>
            </w:tcBorders>
          </w:tcPr>
          <w:p>
            <w:pPr>
              <w:spacing w:after="0"/>
              <w:rPr>
                <w:sz w:val="9"/>
                <w:szCs w:val="9"/>
                <w:color w:val="auto"/>
              </w:rPr>
            </w:pPr>
          </w:p>
        </w:tc>
        <w:tc>
          <w:tcPr>
            <w:tcW w:w="1360" w:type="dxa"/>
            <w:vAlign w:val="bottom"/>
          </w:tcPr>
          <w:p>
            <w:pPr>
              <w:jc w:val="right"/>
              <w:spacing w:after="0" w:line="108" w:lineRule="exact"/>
              <w:rPr>
                <w:sz w:val="20"/>
                <w:szCs w:val="20"/>
                <w:color w:val="auto"/>
              </w:rPr>
            </w:pPr>
            <w:r>
              <w:rPr>
                <w:rFonts w:ascii="Arial" w:cs="Arial" w:eastAsia="Arial" w:hAnsi="Arial"/>
                <w:sz w:val="11"/>
                <w:szCs w:val="11"/>
                <w:b w:val="1"/>
                <w:bCs w:val="1"/>
                <w:color w:val="auto"/>
              </w:rPr>
              <w:t>TABLE STOCK</w:t>
            </w:r>
          </w:p>
        </w:tc>
        <w:tc>
          <w:tcPr>
            <w:tcW w:w="120" w:type="dxa"/>
            <w:vAlign w:val="bottom"/>
            <w:tcBorders>
              <w:right w:val="single" w:sz="8" w:color="auto"/>
            </w:tcBorders>
          </w:tcPr>
          <w:p>
            <w:pPr>
              <w:spacing w:after="0"/>
              <w:rPr>
                <w:sz w:val="9"/>
                <w:szCs w:val="9"/>
                <w:color w:val="auto"/>
              </w:rPr>
            </w:pPr>
          </w:p>
        </w:tc>
        <w:tc>
          <w:tcPr>
            <w:tcW w:w="1360" w:type="dxa"/>
            <w:vAlign w:val="bottom"/>
          </w:tcPr>
          <w:p>
            <w:pPr>
              <w:jc w:val="right"/>
              <w:spacing w:after="0" w:line="108" w:lineRule="exact"/>
              <w:rPr>
                <w:sz w:val="20"/>
                <w:szCs w:val="20"/>
                <w:color w:val="auto"/>
              </w:rPr>
            </w:pPr>
            <w:r>
              <w:rPr>
                <w:rFonts w:ascii="Arial" w:cs="Arial" w:eastAsia="Arial" w:hAnsi="Arial"/>
                <w:sz w:val="11"/>
                <w:szCs w:val="11"/>
                <w:b w:val="1"/>
                <w:bCs w:val="1"/>
                <w:color w:val="auto"/>
              </w:rPr>
              <w:t>OF UNVESTED EQUITY</w:t>
            </w:r>
          </w:p>
        </w:tc>
        <w:tc>
          <w:tcPr>
            <w:tcW w:w="100" w:type="dxa"/>
            <w:vAlign w:val="bottom"/>
            <w:tcBorders>
              <w:right w:val="single" w:sz="8" w:color="auto"/>
            </w:tcBorders>
          </w:tcPr>
          <w:p>
            <w:pPr>
              <w:spacing w:after="0"/>
              <w:rPr>
                <w:sz w:val="9"/>
                <w:szCs w:val="9"/>
                <w:color w:val="auto"/>
              </w:rPr>
            </w:pPr>
          </w:p>
        </w:tc>
        <w:tc>
          <w:tcPr>
            <w:tcW w:w="1360" w:type="dxa"/>
            <w:vAlign w:val="bottom"/>
          </w:tcPr>
          <w:p>
            <w:pPr>
              <w:jc w:val="right"/>
              <w:spacing w:after="0" w:line="108" w:lineRule="exact"/>
              <w:rPr>
                <w:sz w:val="20"/>
                <w:szCs w:val="20"/>
                <w:color w:val="auto"/>
              </w:rPr>
            </w:pPr>
            <w:r>
              <w:rPr>
                <w:rFonts w:ascii="Arial" w:cs="Arial" w:eastAsia="Arial" w:hAnsi="Arial"/>
                <w:sz w:val="11"/>
                <w:szCs w:val="11"/>
                <w:b w:val="1"/>
                <w:bCs w:val="1"/>
                <w:color w:val="auto"/>
              </w:rPr>
              <w:t>EQUITY GRANTED IN</w:t>
            </w:r>
          </w:p>
        </w:tc>
        <w:tc>
          <w:tcPr>
            <w:tcW w:w="120" w:type="dxa"/>
            <w:vAlign w:val="bottom"/>
            <w:tcBorders>
              <w:right w:val="single" w:sz="8" w:color="auto"/>
            </w:tcBorders>
          </w:tcPr>
          <w:p>
            <w:pPr>
              <w:spacing w:after="0"/>
              <w:rPr>
                <w:sz w:val="9"/>
                <w:szCs w:val="9"/>
                <w:color w:val="auto"/>
              </w:rPr>
            </w:pPr>
          </w:p>
        </w:tc>
        <w:tc>
          <w:tcPr>
            <w:tcW w:w="1360" w:type="dxa"/>
            <w:vAlign w:val="bottom"/>
          </w:tcPr>
          <w:p>
            <w:pPr>
              <w:jc w:val="right"/>
              <w:spacing w:after="0" w:line="108" w:lineRule="exact"/>
              <w:rPr>
                <w:sz w:val="20"/>
                <w:szCs w:val="20"/>
                <w:color w:val="auto"/>
              </w:rPr>
            </w:pPr>
            <w:r>
              <w:rPr>
                <w:rFonts w:ascii="Arial" w:cs="Arial" w:eastAsia="Arial" w:hAnsi="Arial"/>
                <w:sz w:val="11"/>
                <w:szCs w:val="11"/>
                <w:b w:val="1"/>
                <w:bCs w:val="1"/>
                <w:color w:val="auto"/>
              </w:rPr>
              <w:t>EQUITY GRANTED IN</w:t>
            </w:r>
          </w:p>
        </w:tc>
        <w:tc>
          <w:tcPr>
            <w:tcW w:w="100" w:type="dxa"/>
            <w:vAlign w:val="bottom"/>
            <w:tcBorders>
              <w:right w:val="single" w:sz="8" w:color="auto"/>
            </w:tcBorders>
          </w:tcPr>
          <w:p>
            <w:pPr>
              <w:spacing w:after="0"/>
              <w:rPr>
                <w:sz w:val="9"/>
                <w:szCs w:val="9"/>
                <w:color w:val="auto"/>
              </w:rPr>
            </w:pPr>
          </w:p>
        </w:tc>
        <w:tc>
          <w:tcPr>
            <w:tcW w:w="1400" w:type="dxa"/>
            <w:vAlign w:val="bottom"/>
            <w:vMerge w:val="continue"/>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14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84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TABLE TOTAL ($)</w:t>
            </w:r>
          </w:p>
        </w:tc>
        <w:tc>
          <w:tcPr>
            <w:tcW w:w="120" w:type="dxa"/>
            <w:vAlign w:val="bottom"/>
            <w:tcBorders>
              <w:right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AWARDS ($)</w:t>
            </w:r>
          </w:p>
        </w:tc>
        <w:tc>
          <w:tcPr>
            <w:tcW w:w="120" w:type="dxa"/>
            <w:vAlign w:val="bottom"/>
            <w:tcBorders>
              <w:right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GRANTED IN YEAR ($)</w:t>
            </w:r>
          </w:p>
        </w:tc>
        <w:tc>
          <w:tcPr>
            <w:tcW w:w="100" w:type="dxa"/>
            <w:vAlign w:val="bottom"/>
            <w:tcBorders>
              <w:right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PRIOR YEARS ($)</w:t>
            </w:r>
          </w:p>
        </w:tc>
        <w:tc>
          <w:tcPr>
            <w:tcW w:w="120" w:type="dxa"/>
            <w:vAlign w:val="bottom"/>
            <w:tcBorders>
              <w:right w:val="single" w:sz="8" w:color="auto"/>
            </w:tcBorders>
          </w:tcPr>
          <w:p>
            <w:pPr>
              <w:spacing w:after="0"/>
              <w:rPr>
                <w:sz w:val="13"/>
                <w:szCs w:val="13"/>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PRIOR YEARS ($)</w:t>
            </w:r>
          </w:p>
        </w:tc>
        <w:tc>
          <w:tcPr>
            <w:tcW w:w="100" w:type="dxa"/>
            <w:vAlign w:val="bottom"/>
            <w:tcBorders>
              <w:right w:val="single" w:sz="8" w:color="auto"/>
            </w:tcBorders>
          </w:tcPr>
          <w:p>
            <w:pPr>
              <w:spacing w:after="0"/>
              <w:rPr>
                <w:sz w:val="13"/>
                <w:szCs w:val="13"/>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FORFEITED IN YEAR ($)</w:t>
            </w:r>
          </w:p>
        </w:tc>
        <w:tc>
          <w:tcPr>
            <w:tcW w:w="120" w:type="dxa"/>
            <w:vAlign w:val="bottom"/>
            <w:tcBorders>
              <w:right w:val="single" w:sz="8" w:color="auto"/>
            </w:tcBorders>
          </w:tcPr>
          <w:p>
            <w:pPr>
              <w:spacing w:after="0"/>
              <w:rPr>
                <w:sz w:val="13"/>
                <w:szCs w:val="13"/>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1"/>
                <w:szCs w:val="11"/>
                <w:b w:val="1"/>
                <w:bCs w:val="1"/>
                <w:color w:val="auto"/>
              </w:rPr>
              <w:t>ACTUALLY PAID</w:t>
            </w:r>
          </w:p>
        </w:tc>
        <w:tc>
          <w:tcPr>
            <w:tcW w:w="0" w:type="dxa"/>
            <w:vAlign w:val="bottom"/>
          </w:tcPr>
          <w:p>
            <w:pPr>
              <w:spacing w:after="0"/>
              <w:rPr>
                <w:sz w:val="1"/>
                <w:szCs w:val="1"/>
                <w:color w:val="auto"/>
              </w:rPr>
            </w:pPr>
          </w:p>
        </w:tc>
      </w:tr>
      <w:tr>
        <w:trPr>
          <w:trHeight w:val="188"/>
        </w:trPr>
        <w:tc>
          <w:tcPr>
            <w:tcW w:w="840" w:type="dxa"/>
            <w:vAlign w:val="bottom"/>
            <w:tcBorders>
              <w:bottom w:val="single" w:sz="8" w:color="939599"/>
            </w:tcBorders>
          </w:tcPr>
          <w:p>
            <w:pPr>
              <w:ind w:left="60"/>
              <w:spacing w:after="0"/>
              <w:rPr>
                <w:sz w:val="20"/>
                <w:szCs w:val="20"/>
                <w:color w:val="auto"/>
              </w:rPr>
            </w:pPr>
            <w:r>
              <w:rPr>
                <w:rFonts w:ascii="Arial" w:cs="Arial" w:eastAsia="Arial" w:hAnsi="Arial"/>
                <w:sz w:val="14"/>
                <w:szCs w:val="14"/>
                <w:b w:val="1"/>
                <w:bCs w:val="1"/>
                <w:color w:val="auto"/>
              </w:rPr>
              <w:t>PEO</w:t>
            </w:r>
          </w:p>
        </w:tc>
        <w:tc>
          <w:tcPr>
            <w:tcW w:w="100" w:type="dxa"/>
            <w:vAlign w:val="bottom"/>
            <w:tcBorders>
              <w:bottom w:val="single" w:sz="8" w:color="939599"/>
            </w:tcBorders>
          </w:tcPr>
          <w:p>
            <w:pPr>
              <w:spacing w:after="0"/>
              <w:rPr>
                <w:sz w:val="16"/>
                <w:szCs w:val="16"/>
                <w:color w:val="auto"/>
              </w:rPr>
            </w:pPr>
          </w:p>
        </w:tc>
        <w:tc>
          <w:tcPr>
            <w:tcW w:w="1340" w:type="dxa"/>
            <w:vAlign w:val="bottom"/>
            <w:tcBorders>
              <w:bottom w:val="single" w:sz="8" w:color="939599"/>
            </w:tcBorders>
          </w:tcPr>
          <w:p>
            <w:pPr>
              <w:spacing w:after="0"/>
              <w:rPr>
                <w:sz w:val="16"/>
                <w:szCs w:val="16"/>
                <w:color w:val="auto"/>
              </w:rPr>
            </w:pPr>
          </w:p>
        </w:tc>
        <w:tc>
          <w:tcPr>
            <w:tcW w:w="120" w:type="dxa"/>
            <w:vAlign w:val="bottom"/>
            <w:tcBorders>
              <w:bottom w:val="single" w:sz="8" w:color="939599"/>
            </w:tcBorders>
          </w:tcPr>
          <w:p>
            <w:pPr>
              <w:spacing w:after="0"/>
              <w:rPr>
                <w:sz w:val="16"/>
                <w:szCs w:val="16"/>
                <w:color w:val="auto"/>
              </w:rPr>
            </w:pPr>
          </w:p>
        </w:tc>
        <w:tc>
          <w:tcPr>
            <w:tcW w:w="1360" w:type="dxa"/>
            <w:vAlign w:val="bottom"/>
            <w:tcBorders>
              <w:bottom w:val="single" w:sz="8" w:color="939599"/>
            </w:tcBorders>
          </w:tcPr>
          <w:p>
            <w:pPr>
              <w:spacing w:after="0"/>
              <w:rPr>
                <w:sz w:val="16"/>
                <w:szCs w:val="16"/>
                <w:color w:val="auto"/>
              </w:rPr>
            </w:pPr>
          </w:p>
        </w:tc>
        <w:tc>
          <w:tcPr>
            <w:tcW w:w="120" w:type="dxa"/>
            <w:vAlign w:val="bottom"/>
            <w:tcBorders>
              <w:bottom w:val="single" w:sz="8" w:color="939599"/>
            </w:tcBorders>
          </w:tcPr>
          <w:p>
            <w:pPr>
              <w:spacing w:after="0"/>
              <w:rPr>
                <w:sz w:val="16"/>
                <w:szCs w:val="16"/>
                <w:color w:val="auto"/>
              </w:rPr>
            </w:pPr>
          </w:p>
        </w:tc>
        <w:tc>
          <w:tcPr>
            <w:tcW w:w="1360" w:type="dxa"/>
            <w:vAlign w:val="bottom"/>
            <w:tcBorders>
              <w:bottom w:val="single" w:sz="8" w:color="939599"/>
            </w:tcBorders>
          </w:tcPr>
          <w:p>
            <w:pPr>
              <w:spacing w:after="0"/>
              <w:rPr>
                <w:sz w:val="16"/>
                <w:szCs w:val="16"/>
                <w:color w:val="auto"/>
              </w:rPr>
            </w:pPr>
          </w:p>
        </w:tc>
        <w:tc>
          <w:tcPr>
            <w:tcW w:w="100" w:type="dxa"/>
            <w:vAlign w:val="bottom"/>
            <w:tcBorders>
              <w:bottom w:val="single" w:sz="8" w:color="939599"/>
            </w:tcBorders>
          </w:tcPr>
          <w:p>
            <w:pPr>
              <w:spacing w:after="0"/>
              <w:rPr>
                <w:sz w:val="16"/>
                <w:szCs w:val="16"/>
                <w:color w:val="auto"/>
              </w:rPr>
            </w:pPr>
          </w:p>
        </w:tc>
        <w:tc>
          <w:tcPr>
            <w:tcW w:w="1360" w:type="dxa"/>
            <w:vAlign w:val="bottom"/>
            <w:tcBorders>
              <w:bottom w:val="single" w:sz="8" w:color="939599"/>
            </w:tcBorders>
          </w:tcPr>
          <w:p>
            <w:pPr>
              <w:spacing w:after="0"/>
              <w:rPr>
                <w:sz w:val="16"/>
                <w:szCs w:val="16"/>
                <w:color w:val="auto"/>
              </w:rPr>
            </w:pPr>
          </w:p>
        </w:tc>
        <w:tc>
          <w:tcPr>
            <w:tcW w:w="120" w:type="dxa"/>
            <w:vAlign w:val="bottom"/>
            <w:tcBorders>
              <w:bottom w:val="single" w:sz="8" w:color="939599"/>
            </w:tcBorders>
          </w:tcPr>
          <w:p>
            <w:pPr>
              <w:spacing w:after="0"/>
              <w:rPr>
                <w:sz w:val="16"/>
                <w:szCs w:val="16"/>
                <w:color w:val="auto"/>
              </w:rPr>
            </w:pPr>
          </w:p>
        </w:tc>
        <w:tc>
          <w:tcPr>
            <w:tcW w:w="1360" w:type="dxa"/>
            <w:vAlign w:val="bottom"/>
            <w:tcBorders>
              <w:bottom w:val="single" w:sz="8" w:color="939599"/>
            </w:tcBorders>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Borders>
              <w:bottom w:val="single" w:sz="8" w:color="939599"/>
            </w:tcBorders>
          </w:tcPr>
          <w:p>
            <w:pPr>
              <w:spacing w:after="0"/>
              <w:rPr>
                <w:sz w:val="16"/>
                <w:szCs w:val="16"/>
                <w:color w:val="auto"/>
              </w:rPr>
            </w:pPr>
          </w:p>
        </w:tc>
        <w:tc>
          <w:tcPr>
            <w:tcW w:w="120" w:type="dxa"/>
            <w:vAlign w:val="bottom"/>
            <w:tcBorders>
              <w:bottom w:val="single" w:sz="8" w:color="E5E6E6"/>
            </w:tcBorders>
          </w:tcPr>
          <w:p>
            <w:pPr>
              <w:spacing w:after="0"/>
              <w:rPr>
                <w:sz w:val="16"/>
                <w:szCs w:val="16"/>
                <w:color w:val="auto"/>
              </w:rPr>
            </w:pPr>
          </w:p>
        </w:tc>
        <w:tc>
          <w:tcPr>
            <w:tcW w:w="1420" w:type="dxa"/>
            <w:vAlign w:val="bottom"/>
            <w:tcBorders>
              <w:bottom w:val="single" w:sz="8" w:color="939599"/>
            </w:tcBorders>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840" w:type="dxa"/>
            <w:vAlign w:val="bottom"/>
            <w:tcBorders>
              <w:bottom w:val="single" w:sz="8" w:color="939599"/>
            </w:tcBorders>
            <w:shd w:val="clear" w:color="auto" w:fill="E5E6E6"/>
          </w:tcPr>
          <w:p>
            <w:pPr>
              <w:ind w:left="60"/>
              <w:spacing w:after="0"/>
              <w:rPr>
                <w:sz w:val="20"/>
                <w:szCs w:val="20"/>
                <w:color w:val="auto"/>
              </w:rPr>
            </w:pPr>
            <w:r>
              <w:rPr>
                <w:rFonts w:ascii="Arial" w:cs="Arial" w:eastAsia="Arial" w:hAnsi="Arial"/>
                <w:sz w:val="14"/>
                <w:szCs w:val="14"/>
                <w:color w:val="auto"/>
              </w:rPr>
              <w:t>2024</w:t>
            </w:r>
          </w:p>
        </w:tc>
        <w:tc>
          <w:tcPr>
            <w:tcW w:w="100" w:type="dxa"/>
            <w:vAlign w:val="bottom"/>
            <w:tcBorders>
              <w:right w:val="single" w:sz="8" w:color="E5E6E6"/>
            </w:tcBorders>
          </w:tcPr>
          <w:p>
            <w:pPr>
              <w:spacing w:after="0"/>
              <w:rPr>
                <w:sz w:val="16"/>
                <w:szCs w:val="16"/>
                <w:color w:val="auto"/>
              </w:rPr>
            </w:pPr>
          </w:p>
        </w:tc>
        <w:tc>
          <w:tcPr>
            <w:tcW w:w="1340" w:type="dxa"/>
            <w:vAlign w:val="bottom"/>
            <w:tcBorders>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14,055,378</w:t>
            </w:r>
          </w:p>
        </w:tc>
        <w:tc>
          <w:tcPr>
            <w:tcW w:w="120" w:type="dxa"/>
            <w:vAlign w:val="bottom"/>
            <w:tcBorders>
              <w:right w:val="single" w:sz="8" w:color="E5E6E6"/>
            </w:tcBorders>
          </w:tcPr>
          <w:p>
            <w:pPr>
              <w:spacing w:after="0"/>
              <w:rPr>
                <w:sz w:val="16"/>
                <w:szCs w:val="16"/>
                <w:color w:val="auto"/>
              </w:rPr>
            </w:pPr>
          </w:p>
        </w:tc>
        <w:tc>
          <w:tcPr>
            <w:tcW w:w="1360" w:type="dxa"/>
            <w:vAlign w:val="bottom"/>
            <w:tcBorders>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(11,732,383)</w:t>
            </w:r>
          </w:p>
        </w:tc>
        <w:tc>
          <w:tcPr>
            <w:tcW w:w="120" w:type="dxa"/>
            <w:vAlign w:val="bottom"/>
            <w:tcBorders>
              <w:right w:val="single" w:sz="8" w:color="E6E7E8"/>
            </w:tcBorders>
          </w:tcPr>
          <w:p>
            <w:pPr>
              <w:spacing w:after="0"/>
              <w:rPr>
                <w:sz w:val="16"/>
                <w:szCs w:val="16"/>
                <w:color w:val="auto"/>
              </w:rPr>
            </w:pPr>
          </w:p>
        </w:tc>
        <w:tc>
          <w:tcPr>
            <w:tcW w:w="1360" w:type="dxa"/>
            <w:vAlign w:val="bottom"/>
            <w:tcBorders>
              <w:bottom w:val="single" w:sz="8" w:color="939599"/>
            </w:tcBorders>
            <w:shd w:val="clear" w:color="auto" w:fill="E6E7E8"/>
          </w:tcPr>
          <w:p>
            <w:pPr>
              <w:jc w:val="right"/>
              <w:ind w:right="13"/>
              <w:spacing w:after="0"/>
              <w:rPr>
                <w:sz w:val="20"/>
                <w:szCs w:val="20"/>
                <w:color w:val="auto"/>
              </w:rPr>
            </w:pPr>
            <w:r>
              <w:rPr>
                <w:rFonts w:ascii="Arial" w:cs="Arial" w:eastAsia="Arial" w:hAnsi="Arial"/>
                <w:sz w:val="14"/>
                <w:szCs w:val="14"/>
                <w:color w:val="auto"/>
              </w:rPr>
              <w:t>12,398,560</w:t>
            </w:r>
          </w:p>
        </w:tc>
        <w:tc>
          <w:tcPr>
            <w:tcW w:w="100" w:type="dxa"/>
            <w:vAlign w:val="bottom"/>
            <w:tcBorders>
              <w:right w:val="single" w:sz="8" w:color="E6E7E8"/>
            </w:tcBorders>
          </w:tcPr>
          <w:p>
            <w:pPr>
              <w:spacing w:after="0"/>
              <w:rPr>
                <w:sz w:val="16"/>
                <w:szCs w:val="16"/>
                <w:color w:val="auto"/>
              </w:rPr>
            </w:pPr>
          </w:p>
        </w:tc>
        <w:tc>
          <w:tcPr>
            <w:tcW w:w="1360" w:type="dxa"/>
            <w:vAlign w:val="bottom"/>
            <w:tcBorders>
              <w:bottom w:val="single" w:sz="8" w:color="939599"/>
            </w:tcBorders>
            <w:shd w:val="clear" w:color="auto" w:fill="E6E7E8"/>
          </w:tcPr>
          <w:p>
            <w:pPr>
              <w:jc w:val="right"/>
              <w:spacing w:after="0"/>
              <w:rPr>
                <w:sz w:val="20"/>
                <w:szCs w:val="20"/>
                <w:color w:val="auto"/>
              </w:rPr>
            </w:pPr>
            <w:r>
              <w:rPr>
                <w:rFonts w:ascii="Arial" w:cs="Arial" w:eastAsia="Arial" w:hAnsi="Arial"/>
                <w:sz w:val="14"/>
                <w:szCs w:val="14"/>
                <w:color w:val="auto"/>
              </w:rPr>
              <w:t>(2,463,415)</w:t>
            </w:r>
          </w:p>
        </w:tc>
        <w:tc>
          <w:tcPr>
            <w:tcW w:w="120" w:type="dxa"/>
            <w:vAlign w:val="bottom"/>
            <w:tcBorders>
              <w:right w:val="single" w:sz="8" w:color="E6E7E8"/>
            </w:tcBorders>
          </w:tcPr>
          <w:p>
            <w:pPr>
              <w:spacing w:after="0"/>
              <w:rPr>
                <w:sz w:val="16"/>
                <w:szCs w:val="16"/>
                <w:color w:val="auto"/>
              </w:rPr>
            </w:pPr>
          </w:p>
        </w:tc>
        <w:tc>
          <w:tcPr>
            <w:tcW w:w="1360" w:type="dxa"/>
            <w:vAlign w:val="bottom"/>
            <w:tcBorders>
              <w:bottom w:val="single" w:sz="8" w:color="939599"/>
            </w:tcBorders>
            <w:shd w:val="clear" w:color="auto" w:fill="E6E7E8"/>
          </w:tcPr>
          <w:p>
            <w:pPr>
              <w:jc w:val="right"/>
              <w:ind w:right="15"/>
              <w:spacing w:after="0"/>
              <w:rPr>
                <w:sz w:val="20"/>
                <w:szCs w:val="20"/>
                <w:color w:val="auto"/>
              </w:rPr>
            </w:pPr>
            <w:r>
              <w:rPr>
                <w:rFonts w:ascii="Arial" w:cs="Arial" w:eastAsia="Arial" w:hAnsi="Arial"/>
                <w:sz w:val="14"/>
                <w:szCs w:val="14"/>
                <w:color w:val="auto"/>
              </w:rPr>
              <w:t>486,513</w:t>
            </w:r>
          </w:p>
        </w:tc>
        <w:tc>
          <w:tcPr>
            <w:tcW w:w="100" w:type="dxa"/>
            <w:vAlign w:val="bottom"/>
            <w:tcBorders>
              <w:right w:val="single" w:sz="8" w:color="E6E7E8"/>
            </w:tcBorders>
          </w:tcPr>
          <w:p>
            <w:pPr>
              <w:spacing w:after="0"/>
              <w:rPr>
                <w:sz w:val="16"/>
                <w:szCs w:val="16"/>
                <w:color w:val="auto"/>
              </w:rPr>
            </w:pPr>
          </w:p>
        </w:tc>
        <w:tc>
          <w:tcPr>
            <w:tcW w:w="1400" w:type="dxa"/>
            <w:vAlign w:val="bottom"/>
            <w:tcBorders>
              <w:bottom w:val="single" w:sz="8" w:color="939599"/>
            </w:tcBorders>
            <w:shd w:val="clear" w:color="auto" w:fill="E6E7E8"/>
          </w:tcPr>
          <w:p>
            <w:pPr>
              <w:ind w:left="120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E5E6E6"/>
            </w:tcBorders>
            <w:shd w:val="clear" w:color="auto" w:fill="E5E6E6"/>
          </w:tcPr>
          <w:p>
            <w:pPr>
              <w:spacing w:after="0"/>
              <w:rPr>
                <w:sz w:val="16"/>
                <w:szCs w:val="16"/>
                <w:color w:val="auto"/>
              </w:rPr>
            </w:pPr>
          </w:p>
        </w:tc>
        <w:tc>
          <w:tcPr>
            <w:tcW w:w="1420" w:type="dxa"/>
            <w:vAlign w:val="bottom"/>
            <w:tcBorders>
              <w:bottom w:val="single" w:sz="8" w:color="939599"/>
            </w:tcBorders>
            <w:shd w:val="clear" w:color="auto" w:fill="E5E6E6"/>
          </w:tcPr>
          <w:p>
            <w:pPr>
              <w:jc w:val="right"/>
              <w:ind w:right="12"/>
              <w:spacing w:after="0"/>
              <w:rPr>
                <w:sz w:val="20"/>
                <w:szCs w:val="20"/>
                <w:color w:val="auto"/>
              </w:rPr>
            </w:pPr>
            <w:r>
              <w:rPr>
                <w:rFonts w:ascii="Arial" w:cs="Arial" w:eastAsia="Arial" w:hAnsi="Arial"/>
                <w:sz w:val="14"/>
                <w:szCs w:val="14"/>
                <w:color w:val="auto"/>
              </w:rPr>
              <w:t>12,744,653</w:t>
            </w:r>
          </w:p>
        </w:tc>
        <w:tc>
          <w:tcPr>
            <w:tcW w:w="0" w:type="dxa"/>
            <w:vAlign w:val="bottom"/>
          </w:tcPr>
          <w:p>
            <w:pPr>
              <w:spacing w:after="0"/>
              <w:rPr>
                <w:sz w:val="1"/>
                <w:szCs w:val="1"/>
                <w:color w:val="auto"/>
              </w:rPr>
            </w:pPr>
          </w:p>
        </w:tc>
      </w:tr>
      <w:tr>
        <w:trPr>
          <w:trHeight w:val="196"/>
        </w:trPr>
        <w:tc>
          <w:tcPr>
            <w:tcW w:w="840" w:type="dxa"/>
            <w:vAlign w:val="bottom"/>
            <w:tcBorders>
              <w:bottom w:val="single" w:sz="8" w:color="939599"/>
            </w:tcBorders>
          </w:tcPr>
          <w:p>
            <w:pPr>
              <w:ind w:left="60"/>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1340" w:type="dxa"/>
            <w:vAlign w:val="bottom"/>
            <w:tcBorders>
              <w:bottom w:val="single" w:sz="8" w:color="939599"/>
            </w:tcBorders>
          </w:tcPr>
          <w:p>
            <w:pPr>
              <w:jc w:val="right"/>
              <w:spacing w:after="0"/>
              <w:rPr>
                <w:sz w:val="20"/>
                <w:szCs w:val="20"/>
                <w:color w:val="auto"/>
              </w:rPr>
            </w:pPr>
            <w:r>
              <w:rPr>
                <w:rFonts w:ascii="Arial" w:cs="Arial" w:eastAsia="Arial" w:hAnsi="Arial"/>
                <w:sz w:val="14"/>
                <w:szCs w:val="14"/>
                <w:color w:val="auto"/>
              </w:rPr>
              <w:t>12,245,901</w:t>
            </w:r>
          </w:p>
        </w:tc>
        <w:tc>
          <w:tcPr>
            <w:tcW w:w="120" w:type="dxa"/>
            <w:vAlign w:val="bottom"/>
          </w:tcPr>
          <w:p>
            <w:pPr>
              <w:spacing w:after="0"/>
              <w:rPr>
                <w:sz w:val="17"/>
                <w:szCs w:val="17"/>
                <w:color w:val="auto"/>
              </w:rPr>
            </w:pPr>
          </w:p>
        </w:tc>
        <w:tc>
          <w:tcPr>
            <w:tcW w:w="1360" w:type="dxa"/>
            <w:vAlign w:val="bottom"/>
            <w:tcBorders>
              <w:bottom w:val="single" w:sz="8" w:color="939599"/>
            </w:tcBorders>
          </w:tcPr>
          <w:p>
            <w:pPr>
              <w:jc w:val="right"/>
              <w:spacing w:after="0"/>
              <w:rPr>
                <w:sz w:val="20"/>
                <w:szCs w:val="20"/>
                <w:color w:val="auto"/>
              </w:rPr>
            </w:pPr>
            <w:r>
              <w:rPr>
                <w:rFonts w:ascii="Arial" w:cs="Arial" w:eastAsia="Arial" w:hAnsi="Arial"/>
                <w:sz w:val="14"/>
                <w:szCs w:val="14"/>
                <w:color w:val="auto"/>
              </w:rPr>
              <w:t>(9,999,781)</w:t>
            </w:r>
          </w:p>
        </w:tc>
        <w:tc>
          <w:tcPr>
            <w:tcW w:w="120" w:type="dxa"/>
            <w:vAlign w:val="bottom"/>
          </w:tcPr>
          <w:p>
            <w:pPr>
              <w:spacing w:after="0"/>
              <w:rPr>
                <w:sz w:val="17"/>
                <w:szCs w:val="17"/>
                <w:color w:val="auto"/>
              </w:rPr>
            </w:pPr>
          </w:p>
        </w:tc>
        <w:tc>
          <w:tcPr>
            <w:tcW w:w="1360" w:type="dxa"/>
            <w:vAlign w:val="bottom"/>
            <w:tcBorders>
              <w:bottom w:val="single" w:sz="8" w:color="939599"/>
            </w:tcBorders>
          </w:tcPr>
          <w:p>
            <w:pPr>
              <w:jc w:val="right"/>
              <w:ind w:right="13"/>
              <w:spacing w:after="0"/>
              <w:rPr>
                <w:sz w:val="20"/>
                <w:szCs w:val="20"/>
                <w:color w:val="auto"/>
              </w:rPr>
            </w:pPr>
            <w:r>
              <w:rPr>
                <w:rFonts w:ascii="Arial" w:cs="Arial" w:eastAsia="Arial" w:hAnsi="Arial"/>
                <w:sz w:val="14"/>
                <w:szCs w:val="14"/>
                <w:color w:val="auto"/>
              </w:rPr>
              <w:t>9,675,177</w:t>
            </w:r>
          </w:p>
        </w:tc>
        <w:tc>
          <w:tcPr>
            <w:tcW w:w="100" w:type="dxa"/>
            <w:vAlign w:val="bottom"/>
          </w:tcPr>
          <w:p>
            <w:pPr>
              <w:spacing w:after="0"/>
              <w:rPr>
                <w:sz w:val="17"/>
                <w:szCs w:val="17"/>
                <w:color w:val="auto"/>
              </w:rPr>
            </w:pPr>
          </w:p>
        </w:tc>
        <w:tc>
          <w:tcPr>
            <w:tcW w:w="1360" w:type="dxa"/>
            <w:vAlign w:val="bottom"/>
            <w:tcBorders>
              <w:bottom w:val="single" w:sz="8" w:color="939599"/>
            </w:tcBorders>
          </w:tcPr>
          <w:p>
            <w:pPr>
              <w:jc w:val="right"/>
              <w:spacing w:after="0"/>
              <w:rPr>
                <w:sz w:val="20"/>
                <w:szCs w:val="20"/>
                <w:color w:val="auto"/>
              </w:rPr>
            </w:pPr>
            <w:r>
              <w:rPr>
                <w:rFonts w:ascii="Arial" w:cs="Arial" w:eastAsia="Arial" w:hAnsi="Arial"/>
                <w:sz w:val="14"/>
                <w:szCs w:val="14"/>
                <w:color w:val="auto"/>
              </w:rPr>
              <w:t>(1,817,882)</w:t>
            </w:r>
          </w:p>
        </w:tc>
        <w:tc>
          <w:tcPr>
            <w:tcW w:w="120" w:type="dxa"/>
            <w:vAlign w:val="bottom"/>
          </w:tcPr>
          <w:p>
            <w:pPr>
              <w:spacing w:after="0"/>
              <w:rPr>
                <w:sz w:val="17"/>
                <w:szCs w:val="17"/>
                <w:color w:val="auto"/>
              </w:rPr>
            </w:pPr>
          </w:p>
        </w:tc>
        <w:tc>
          <w:tcPr>
            <w:tcW w:w="1360" w:type="dxa"/>
            <w:vAlign w:val="bottom"/>
            <w:tcBorders>
              <w:bottom w:val="single" w:sz="8" w:color="939599"/>
            </w:tcBorders>
          </w:tcPr>
          <w:p>
            <w:pPr>
              <w:jc w:val="right"/>
              <w:ind w:right="15"/>
              <w:spacing w:after="0"/>
              <w:rPr>
                <w:sz w:val="20"/>
                <w:szCs w:val="20"/>
                <w:color w:val="auto"/>
              </w:rPr>
            </w:pPr>
            <w:r>
              <w:rPr>
                <w:rFonts w:ascii="Arial" w:cs="Arial" w:eastAsia="Arial" w:hAnsi="Arial"/>
                <w:sz w:val="14"/>
                <w:szCs w:val="14"/>
                <w:color w:val="auto"/>
              </w:rPr>
              <w:t>108,535</w:t>
            </w:r>
          </w:p>
        </w:tc>
        <w:tc>
          <w:tcPr>
            <w:tcW w:w="100" w:type="dxa"/>
            <w:vAlign w:val="bottom"/>
          </w:tcPr>
          <w:p>
            <w:pPr>
              <w:spacing w:after="0"/>
              <w:rPr>
                <w:sz w:val="17"/>
                <w:szCs w:val="17"/>
                <w:color w:val="auto"/>
              </w:rPr>
            </w:pPr>
          </w:p>
        </w:tc>
        <w:tc>
          <w:tcPr>
            <w:tcW w:w="1400" w:type="dxa"/>
            <w:vAlign w:val="bottom"/>
            <w:tcBorders>
              <w:bottom w:val="single" w:sz="8" w:color="939599"/>
            </w:tcBorders>
          </w:tcPr>
          <w:p>
            <w:pPr>
              <w:ind w:left="1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5E6E6"/>
            </w:tcBorders>
          </w:tcPr>
          <w:p>
            <w:pPr>
              <w:spacing w:after="0"/>
              <w:rPr>
                <w:sz w:val="17"/>
                <w:szCs w:val="17"/>
                <w:color w:val="auto"/>
              </w:rPr>
            </w:pPr>
          </w:p>
        </w:tc>
        <w:tc>
          <w:tcPr>
            <w:tcW w:w="1420" w:type="dxa"/>
            <w:vAlign w:val="bottom"/>
            <w:tcBorders>
              <w:bottom w:val="single" w:sz="8" w:color="939599"/>
            </w:tcBorders>
          </w:tcPr>
          <w:p>
            <w:pPr>
              <w:jc w:val="right"/>
              <w:ind w:right="12"/>
              <w:spacing w:after="0"/>
              <w:rPr>
                <w:sz w:val="20"/>
                <w:szCs w:val="20"/>
                <w:color w:val="auto"/>
              </w:rPr>
            </w:pPr>
            <w:r>
              <w:rPr>
                <w:rFonts w:ascii="Arial" w:cs="Arial" w:eastAsia="Arial" w:hAnsi="Arial"/>
                <w:sz w:val="14"/>
                <w:szCs w:val="14"/>
                <w:color w:val="auto"/>
              </w:rPr>
              <w:t>10,211,950</w:t>
            </w:r>
          </w:p>
        </w:tc>
        <w:tc>
          <w:tcPr>
            <w:tcW w:w="0" w:type="dxa"/>
            <w:vAlign w:val="bottom"/>
          </w:tcPr>
          <w:p>
            <w:pPr>
              <w:spacing w:after="0"/>
              <w:rPr>
                <w:sz w:val="1"/>
                <w:szCs w:val="1"/>
                <w:color w:val="auto"/>
              </w:rPr>
            </w:pPr>
          </w:p>
        </w:tc>
      </w:tr>
      <w:tr>
        <w:trPr>
          <w:trHeight w:val="196"/>
        </w:trPr>
        <w:tc>
          <w:tcPr>
            <w:tcW w:w="840" w:type="dxa"/>
            <w:vAlign w:val="bottom"/>
            <w:tcBorders>
              <w:bottom w:val="single" w:sz="8" w:color="939599"/>
            </w:tcBorders>
            <w:shd w:val="clear" w:color="auto" w:fill="E5E6E6"/>
          </w:tcPr>
          <w:p>
            <w:pPr>
              <w:ind w:left="60"/>
              <w:spacing w:after="0"/>
              <w:rPr>
                <w:sz w:val="20"/>
                <w:szCs w:val="20"/>
                <w:color w:val="auto"/>
              </w:rPr>
            </w:pPr>
            <w:r>
              <w:rPr>
                <w:rFonts w:ascii="Arial" w:cs="Arial" w:eastAsia="Arial" w:hAnsi="Arial"/>
                <w:sz w:val="14"/>
                <w:szCs w:val="14"/>
                <w:color w:val="auto"/>
              </w:rPr>
              <w:t>2022</w:t>
            </w:r>
          </w:p>
        </w:tc>
        <w:tc>
          <w:tcPr>
            <w:tcW w:w="100" w:type="dxa"/>
            <w:vAlign w:val="bottom"/>
            <w:tcBorders>
              <w:right w:val="single" w:sz="8" w:color="E5E6E6"/>
            </w:tcBorders>
          </w:tcPr>
          <w:p>
            <w:pPr>
              <w:spacing w:after="0"/>
              <w:rPr>
                <w:sz w:val="17"/>
                <w:szCs w:val="17"/>
                <w:color w:val="auto"/>
              </w:rPr>
            </w:pPr>
          </w:p>
        </w:tc>
        <w:tc>
          <w:tcPr>
            <w:tcW w:w="1340" w:type="dxa"/>
            <w:vAlign w:val="bottom"/>
            <w:tcBorders>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11,279,094</w:t>
            </w:r>
          </w:p>
        </w:tc>
        <w:tc>
          <w:tcPr>
            <w:tcW w:w="120" w:type="dxa"/>
            <w:vAlign w:val="bottom"/>
            <w:tcBorders>
              <w:right w:val="single" w:sz="8" w:color="E5E6E6"/>
            </w:tcBorders>
          </w:tcPr>
          <w:p>
            <w:pPr>
              <w:spacing w:after="0"/>
              <w:rPr>
                <w:sz w:val="17"/>
                <w:szCs w:val="17"/>
                <w:color w:val="auto"/>
              </w:rPr>
            </w:pPr>
          </w:p>
        </w:tc>
        <w:tc>
          <w:tcPr>
            <w:tcW w:w="1360" w:type="dxa"/>
            <w:vAlign w:val="bottom"/>
            <w:tcBorders>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(8,999,846)</w:t>
            </w:r>
          </w:p>
        </w:tc>
        <w:tc>
          <w:tcPr>
            <w:tcW w:w="120" w:type="dxa"/>
            <w:vAlign w:val="bottom"/>
            <w:tcBorders>
              <w:right w:val="single" w:sz="8" w:color="E5E6E6"/>
            </w:tcBorders>
          </w:tcPr>
          <w:p>
            <w:pPr>
              <w:spacing w:after="0"/>
              <w:rPr>
                <w:sz w:val="17"/>
                <w:szCs w:val="17"/>
                <w:color w:val="auto"/>
              </w:rPr>
            </w:pPr>
          </w:p>
        </w:tc>
        <w:tc>
          <w:tcPr>
            <w:tcW w:w="1360" w:type="dxa"/>
            <w:vAlign w:val="bottom"/>
            <w:tcBorders>
              <w:bottom w:val="single" w:sz="8" w:color="939599"/>
            </w:tcBorders>
            <w:shd w:val="clear" w:color="auto" w:fill="E5E6E6"/>
          </w:tcPr>
          <w:p>
            <w:pPr>
              <w:jc w:val="right"/>
              <w:ind w:right="13"/>
              <w:spacing w:after="0"/>
              <w:rPr>
                <w:sz w:val="20"/>
                <w:szCs w:val="20"/>
                <w:color w:val="auto"/>
              </w:rPr>
            </w:pPr>
            <w:r>
              <w:rPr>
                <w:rFonts w:ascii="Arial" w:cs="Arial" w:eastAsia="Arial" w:hAnsi="Arial"/>
                <w:sz w:val="14"/>
                <w:szCs w:val="14"/>
                <w:color w:val="auto"/>
              </w:rPr>
              <w:t>8,657,652</w:t>
            </w:r>
          </w:p>
        </w:tc>
        <w:tc>
          <w:tcPr>
            <w:tcW w:w="100" w:type="dxa"/>
            <w:vAlign w:val="bottom"/>
            <w:tcBorders>
              <w:right w:val="single" w:sz="8" w:color="E5E6E6"/>
            </w:tcBorders>
          </w:tcPr>
          <w:p>
            <w:pPr>
              <w:spacing w:after="0"/>
              <w:rPr>
                <w:sz w:val="17"/>
                <w:szCs w:val="17"/>
                <w:color w:val="auto"/>
              </w:rPr>
            </w:pPr>
          </w:p>
        </w:tc>
        <w:tc>
          <w:tcPr>
            <w:tcW w:w="1360" w:type="dxa"/>
            <w:vAlign w:val="bottom"/>
            <w:tcBorders>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(2,844,873)</w:t>
            </w:r>
          </w:p>
        </w:tc>
        <w:tc>
          <w:tcPr>
            <w:tcW w:w="120" w:type="dxa"/>
            <w:vAlign w:val="bottom"/>
            <w:tcBorders>
              <w:right w:val="single" w:sz="8" w:color="E5E6E6"/>
            </w:tcBorders>
          </w:tcPr>
          <w:p>
            <w:pPr>
              <w:spacing w:after="0"/>
              <w:rPr>
                <w:sz w:val="17"/>
                <w:szCs w:val="17"/>
                <w:color w:val="auto"/>
              </w:rPr>
            </w:pPr>
          </w:p>
        </w:tc>
        <w:tc>
          <w:tcPr>
            <w:tcW w:w="1360" w:type="dxa"/>
            <w:vAlign w:val="bottom"/>
            <w:tcBorders>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(1,453,910)</w:t>
            </w:r>
          </w:p>
        </w:tc>
        <w:tc>
          <w:tcPr>
            <w:tcW w:w="100" w:type="dxa"/>
            <w:vAlign w:val="bottom"/>
            <w:tcBorders>
              <w:right w:val="single" w:sz="8" w:color="E5E6E6"/>
            </w:tcBorders>
          </w:tcPr>
          <w:p>
            <w:pPr>
              <w:spacing w:after="0"/>
              <w:rPr>
                <w:sz w:val="17"/>
                <w:szCs w:val="17"/>
                <w:color w:val="auto"/>
              </w:rPr>
            </w:pPr>
          </w:p>
        </w:tc>
        <w:tc>
          <w:tcPr>
            <w:tcW w:w="1400" w:type="dxa"/>
            <w:vAlign w:val="bottom"/>
            <w:tcBorders>
              <w:bottom w:val="single" w:sz="8" w:color="939599"/>
            </w:tcBorders>
            <w:shd w:val="clear" w:color="auto" w:fill="E5E6E6"/>
          </w:tcPr>
          <w:p>
            <w:pPr>
              <w:ind w:left="120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E5E6E6"/>
            </w:tcBorders>
            <w:shd w:val="clear" w:color="auto" w:fill="E5E6E6"/>
          </w:tcPr>
          <w:p>
            <w:pPr>
              <w:spacing w:after="0"/>
              <w:rPr>
                <w:sz w:val="17"/>
                <w:szCs w:val="17"/>
                <w:color w:val="auto"/>
              </w:rPr>
            </w:pPr>
          </w:p>
        </w:tc>
        <w:tc>
          <w:tcPr>
            <w:tcW w:w="1420" w:type="dxa"/>
            <w:vAlign w:val="bottom"/>
            <w:tcBorders>
              <w:bottom w:val="single" w:sz="8" w:color="939599"/>
            </w:tcBorders>
            <w:shd w:val="clear" w:color="auto" w:fill="E5E6E6"/>
          </w:tcPr>
          <w:p>
            <w:pPr>
              <w:jc w:val="right"/>
              <w:ind w:right="12"/>
              <w:spacing w:after="0"/>
              <w:rPr>
                <w:sz w:val="20"/>
                <w:szCs w:val="20"/>
                <w:color w:val="auto"/>
              </w:rPr>
            </w:pPr>
            <w:r>
              <w:rPr>
                <w:rFonts w:ascii="Arial" w:cs="Arial" w:eastAsia="Arial" w:hAnsi="Arial"/>
                <w:sz w:val="14"/>
                <w:szCs w:val="14"/>
                <w:color w:val="auto"/>
              </w:rPr>
              <w:t>6,638,117</w:t>
            </w:r>
          </w:p>
        </w:tc>
        <w:tc>
          <w:tcPr>
            <w:tcW w:w="0" w:type="dxa"/>
            <w:vAlign w:val="bottom"/>
          </w:tcPr>
          <w:p>
            <w:pPr>
              <w:spacing w:after="0"/>
              <w:rPr>
                <w:sz w:val="1"/>
                <w:szCs w:val="1"/>
                <w:color w:val="auto"/>
              </w:rPr>
            </w:pPr>
          </w:p>
        </w:tc>
      </w:tr>
      <w:tr>
        <w:trPr>
          <w:trHeight w:val="196"/>
        </w:trPr>
        <w:tc>
          <w:tcPr>
            <w:tcW w:w="840" w:type="dxa"/>
            <w:vAlign w:val="bottom"/>
            <w:tcBorders>
              <w:bottom w:val="single" w:sz="8" w:color="939599"/>
            </w:tcBorders>
          </w:tcPr>
          <w:p>
            <w:pPr>
              <w:ind w:left="60"/>
              <w:spacing w:after="0"/>
              <w:rPr>
                <w:sz w:val="20"/>
                <w:szCs w:val="20"/>
                <w:color w:val="auto"/>
              </w:rPr>
            </w:pPr>
            <w:r>
              <w:rPr>
                <w:rFonts w:ascii="Arial" w:cs="Arial" w:eastAsia="Arial" w:hAnsi="Arial"/>
                <w:sz w:val="14"/>
                <w:szCs w:val="14"/>
                <w:color w:val="auto"/>
              </w:rPr>
              <w:t>2021</w:t>
            </w:r>
          </w:p>
        </w:tc>
        <w:tc>
          <w:tcPr>
            <w:tcW w:w="100" w:type="dxa"/>
            <w:vAlign w:val="bottom"/>
          </w:tcPr>
          <w:p>
            <w:pPr>
              <w:spacing w:after="0"/>
              <w:rPr>
                <w:sz w:val="17"/>
                <w:szCs w:val="17"/>
                <w:color w:val="auto"/>
              </w:rPr>
            </w:pPr>
          </w:p>
        </w:tc>
        <w:tc>
          <w:tcPr>
            <w:tcW w:w="1340" w:type="dxa"/>
            <w:vAlign w:val="bottom"/>
            <w:tcBorders>
              <w:bottom w:val="single" w:sz="8" w:color="939599"/>
            </w:tcBorders>
          </w:tcPr>
          <w:p>
            <w:pPr>
              <w:jc w:val="right"/>
              <w:spacing w:after="0"/>
              <w:rPr>
                <w:sz w:val="20"/>
                <w:szCs w:val="20"/>
                <w:color w:val="auto"/>
              </w:rPr>
            </w:pPr>
            <w:r>
              <w:rPr>
                <w:rFonts w:ascii="Arial" w:cs="Arial" w:eastAsia="Arial" w:hAnsi="Arial"/>
                <w:sz w:val="14"/>
                <w:szCs w:val="14"/>
                <w:color w:val="auto"/>
              </w:rPr>
              <w:t>10,118,565</w:t>
            </w:r>
          </w:p>
        </w:tc>
        <w:tc>
          <w:tcPr>
            <w:tcW w:w="120" w:type="dxa"/>
            <w:vAlign w:val="bottom"/>
          </w:tcPr>
          <w:p>
            <w:pPr>
              <w:spacing w:after="0"/>
              <w:rPr>
                <w:sz w:val="17"/>
                <w:szCs w:val="17"/>
                <w:color w:val="auto"/>
              </w:rPr>
            </w:pPr>
          </w:p>
        </w:tc>
        <w:tc>
          <w:tcPr>
            <w:tcW w:w="1360" w:type="dxa"/>
            <w:vAlign w:val="bottom"/>
            <w:tcBorders>
              <w:bottom w:val="single" w:sz="8" w:color="939599"/>
            </w:tcBorders>
          </w:tcPr>
          <w:p>
            <w:pPr>
              <w:jc w:val="right"/>
              <w:spacing w:after="0"/>
              <w:rPr>
                <w:sz w:val="20"/>
                <w:szCs w:val="20"/>
                <w:color w:val="auto"/>
              </w:rPr>
            </w:pPr>
            <w:r>
              <w:rPr>
                <w:rFonts w:ascii="Arial" w:cs="Arial" w:eastAsia="Arial" w:hAnsi="Arial"/>
                <w:sz w:val="14"/>
                <w:szCs w:val="14"/>
                <w:color w:val="auto"/>
              </w:rPr>
              <w:t>(7,749,845)</w:t>
            </w:r>
          </w:p>
        </w:tc>
        <w:tc>
          <w:tcPr>
            <w:tcW w:w="120" w:type="dxa"/>
            <w:vAlign w:val="bottom"/>
          </w:tcPr>
          <w:p>
            <w:pPr>
              <w:spacing w:after="0"/>
              <w:rPr>
                <w:sz w:val="17"/>
                <w:szCs w:val="17"/>
                <w:color w:val="auto"/>
              </w:rPr>
            </w:pPr>
          </w:p>
        </w:tc>
        <w:tc>
          <w:tcPr>
            <w:tcW w:w="1360" w:type="dxa"/>
            <w:vAlign w:val="bottom"/>
            <w:tcBorders>
              <w:bottom w:val="single" w:sz="8" w:color="939599"/>
            </w:tcBorders>
          </w:tcPr>
          <w:p>
            <w:pPr>
              <w:jc w:val="right"/>
              <w:ind w:right="13"/>
              <w:spacing w:after="0"/>
              <w:rPr>
                <w:sz w:val="20"/>
                <w:szCs w:val="20"/>
                <w:color w:val="auto"/>
              </w:rPr>
            </w:pPr>
            <w:r>
              <w:rPr>
                <w:rFonts w:ascii="Arial" w:cs="Arial" w:eastAsia="Arial" w:hAnsi="Arial"/>
                <w:sz w:val="14"/>
                <w:szCs w:val="14"/>
                <w:color w:val="auto"/>
              </w:rPr>
              <w:t>9,927,154</w:t>
            </w:r>
          </w:p>
        </w:tc>
        <w:tc>
          <w:tcPr>
            <w:tcW w:w="100" w:type="dxa"/>
            <w:vAlign w:val="bottom"/>
          </w:tcPr>
          <w:p>
            <w:pPr>
              <w:spacing w:after="0"/>
              <w:rPr>
                <w:sz w:val="17"/>
                <w:szCs w:val="17"/>
                <w:color w:val="auto"/>
              </w:rPr>
            </w:pPr>
          </w:p>
        </w:tc>
        <w:tc>
          <w:tcPr>
            <w:tcW w:w="1360" w:type="dxa"/>
            <w:vAlign w:val="bottom"/>
            <w:tcBorders>
              <w:bottom w:val="single" w:sz="8" w:color="939599"/>
            </w:tcBorders>
          </w:tcPr>
          <w:p>
            <w:pPr>
              <w:jc w:val="right"/>
              <w:spacing w:after="0"/>
              <w:rPr>
                <w:sz w:val="20"/>
                <w:szCs w:val="20"/>
                <w:color w:val="auto"/>
              </w:rPr>
            </w:pPr>
            <w:r>
              <w:rPr>
                <w:rFonts w:ascii="Arial" w:cs="Arial" w:eastAsia="Arial" w:hAnsi="Arial"/>
                <w:sz w:val="14"/>
                <w:szCs w:val="14"/>
                <w:color w:val="auto"/>
              </w:rPr>
              <w:t>1,714,160</w:t>
            </w:r>
          </w:p>
        </w:tc>
        <w:tc>
          <w:tcPr>
            <w:tcW w:w="120" w:type="dxa"/>
            <w:vAlign w:val="bottom"/>
          </w:tcPr>
          <w:p>
            <w:pPr>
              <w:spacing w:after="0"/>
              <w:rPr>
                <w:sz w:val="17"/>
                <w:szCs w:val="17"/>
                <w:color w:val="auto"/>
              </w:rPr>
            </w:pPr>
          </w:p>
        </w:tc>
        <w:tc>
          <w:tcPr>
            <w:tcW w:w="1360" w:type="dxa"/>
            <w:vAlign w:val="bottom"/>
            <w:tcBorders>
              <w:bottom w:val="single" w:sz="8" w:color="939599"/>
            </w:tcBorders>
          </w:tcPr>
          <w:p>
            <w:pPr>
              <w:jc w:val="right"/>
              <w:spacing w:after="0"/>
              <w:rPr>
                <w:sz w:val="20"/>
                <w:szCs w:val="20"/>
                <w:color w:val="auto"/>
              </w:rPr>
            </w:pPr>
            <w:r>
              <w:rPr>
                <w:rFonts w:ascii="Arial" w:cs="Arial" w:eastAsia="Arial" w:hAnsi="Arial"/>
                <w:sz w:val="14"/>
                <w:szCs w:val="14"/>
                <w:color w:val="auto"/>
              </w:rPr>
              <w:t>(670,370)</w:t>
            </w:r>
          </w:p>
        </w:tc>
        <w:tc>
          <w:tcPr>
            <w:tcW w:w="100" w:type="dxa"/>
            <w:vAlign w:val="bottom"/>
          </w:tcPr>
          <w:p>
            <w:pPr>
              <w:spacing w:after="0"/>
              <w:rPr>
                <w:sz w:val="17"/>
                <w:szCs w:val="17"/>
                <w:color w:val="auto"/>
              </w:rPr>
            </w:pPr>
          </w:p>
        </w:tc>
        <w:tc>
          <w:tcPr>
            <w:tcW w:w="1400" w:type="dxa"/>
            <w:vAlign w:val="bottom"/>
            <w:tcBorders>
              <w:bottom w:val="single" w:sz="8" w:color="939599"/>
            </w:tcBorders>
          </w:tcPr>
          <w:p>
            <w:pPr>
              <w:ind w:left="1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5E6E6"/>
            </w:tcBorders>
          </w:tcPr>
          <w:p>
            <w:pPr>
              <w:spacing w:after="0"/>
              <w:rPr>
                <w:sz w:val="17"/>
                <w:szCs w:val="17"/>
                <w:color w:val="auto"/>
              </w:rPr>
            </w:pPr>
          </w:p>
        </w:tc>
        <w:tc>
          <w:tcPr>
            <w:tcW w:w="1420" w:type="dxa"/>
            <w:vAlign w:val="bottom"/>
            <w:tcBorders>
              <w:bottom w:val="single" w:sz="8" w:color="939599"/>
            </w:tcBorders>
          </w:tcPr>
          <w:p>
            <w:pPr>
              <w:jc w:val="right"/>
              <w:ind w:right="12"/>
              <w:spacing w:after="0"/>
              <w:rPr>
                <w:sz w:val="20"/>
                <w:szCs w:val="20"/>
                <w:color w:val="auto"/>
              </w:rPr>
            </w:pPr>
            <w:r>
              <w:rPr>
                <w:rFonts w:ascii="Arial" w:cs="Arial" w:eastAsia="Arial" w:hAnsi="Arial"/>
                <w:sz w:val="14"/>
                <w:szCs w:val="14"/>
                <w:color w:val="auto"/>
              </w:rPr>
              <w:t>13,339,664</w:t>
            </w:r>
          </w:p>
        </w:tc>
        <w:tc>
          <w:tcPr>
            <w:tcW w:w="0" w:type="dxa"/>
            <w:vAlign w:val="bottom"/>
          </w:tcPr>
          <w:p>
            <w:pPr>
              <w:spacing w:after="0"/>
              <w:rPr>
                <w:sz w:val="1"/>
                <w:szCs w:val="1"/>
                <w:color w:val="auto"/>
              </w:rPr>
            </w:pPr>
          </w:p>
        </w:tc>
      </w:tr>
      <w:tr>
        <w:trPr>
          <w:trHeight w:val="196"/>
        </w:trPr>
        <w:tc>
          <w:tcPr>
            <w:tcW w:w="840" w:type="dxa"/>
            <w:vAlign w:val="bottom"/>
            <w:shd w:val="clear" w:color="auto" w:fill="E5E6E6"/>
          </w:tcPr>
          <w:p>
            <w:pPr>
              <w:ind w:left="60"/>
              <w:spacing w:after="0"/>
              <w:rPr>
                <w:sz w:val="20"/>
                <w:szCs w:val="20"/>
                <w:color w:val="auto"/>
              </w:rPr>
            </w:pPr>
            <w:r>
              <w:rPr>
                <w:rFonts w:ascii="Arial" w:cs="Arial" w:eastAsia="Arial" w:hAnsi="Arial"/>
                <w:sz w:val="14"/>
                <w:szCs w:val="14"/>
                <w:color w:val="auto"/>
              </w:rPr>
              <w:t>2020</w:t>
            </w:r>
          </w:p>
        </w:tc>
        <w:tc>
          <w:tcPr>
            <w:tcW w:w="100" w:type="dxa"/>
            <w:vAlign w:val="bottom"/>
            <w:tcBorders>
              <w:right w:val="single" w:sz="8" w:color="E5E6E6"/>
            </w:tcBorders>
          </w:tcPr>
          <w:p>
            <w:pPr>
              <w:spacing w:after="0"/>
              <w:rPr>
                <w:sz w:val="17"/>
                <w:szCs w:val="17"/>
                <w:color w:val="auto"/>
              </w:rPr>
            </w:pPr>
          </w:p>
        </w:tc>
        <w:tc>
          <w:tcPr>
            <w:tcW w:w="1340" w:type="dxa"/>
            <w:vAlign w:val="bottom"/>
            <w:shd w:val="clear" w:color="auto" w:fill="E5E6E6"/>
          </w:tcPr>
          <w:p>
            <w:pPr>
              <w:jc w:val="right"/>
              <w:spacing w:after="0"/>
              <w:rPr>
                <w:sz w:val="20"/>
                <w:szCs w:val="20"/>
                <w:color w:val="auto"/>
              </w:rPr>
            </w:pPr>
            <w:r>
              <w:rPr>
                <w:rFonts w:ascii="Arial" w:cs="Arial" w:eastAsia="Arial" w:hAnsi="Arial"/>
                <w:sz w:val="14"/>
                <w:szCs w:val="14"/>
                <w:color w:val="auto"/>
              </w:rPr>
              <w:t>10,098,502</w:t>
            </w:r>
          </w:p>
        </w:tc>
        <w:tc>
          <w:tcPr>
            <w:tcW w:w="120" w:type="dxa"/>
            <w:vAlign w:val="bottom"/>
            <w:tcBorders>
              <w:right w:val="single" w:sz="8" w:color="E5E6E6"/>
            </w:tcBorders>
          </w:tcPr>
          <w:p>
            <w:pPr>
              <w:spacing w:after="0"/>
              <w:rPr>
                <w:sz w:val="17"/>
                <w:szCs w:val="17"/>
                <w:color w:val="auto"/>
              </w:rPr>
            </w:pPr>
          </w:p>
        </w:tc>
        <w:tc>
          <w:tcPr>
            <w:tcW w:w="1360" w:type="dxa"/>
            <w:vAlign w:val="bottom"/>
            <w:shd w:val="clear" w:color="auto" w:fill="E5E6E6"/>
          </w:tcPr>
          <w:p>
            <w:pPr>
              <w:jc w:val="right"/>
              <w:spacing w:after="0"/>
              <w:rPr>
                <w:sz w:val="20"/>
                <w:szCs w:val="20"/>
                <w:color w:val="auto"/>
              </w:rPr>
            </w:pPr>
            <w:r>
              <w:rPr>
                <w:rFonts w:ascii="Arial" w:cs="Arial" w:eastAsia="Arial" w:hAnsi="Arial"/>
                <w:sz w:val="14"/>
                <w:szCs w:val="14"/>
                <w:color w:val="auto"/>
              </w:rPr>
              <w:t>(7,749,705)</w:t>
            </w:r>
          </w:p>
        </w:tc>
        <w:tc>
          <w:tcPr>
            <w:tcW w:w="120" w:type="dxa"/>
            <w:vAlign w:val="bottom"/>
            <w:tcBorders>
              <w:right w:val="single" w:sz="8" w:color="E5E6E6"/>
            </w:tcBorders>
          </w:tcPr>
          <w:p>
            <w:pPr>
              <w:spacing w:after="0"/>
              <w:rPr>
                <w:sz w:val="17"/>
                <w:szCs w:val="17"/>
                <w:color w:val="auto"/>
              </w:rPr>
            </w:pPr>
          </w:p>
        </w:tc>
        <w:tc>
          <w:tcPr>
            <w:tcW w:w="1360" w:type="dxa"/>
            <w:vAlign w:val="bottom"/>
            <w:shd w:val="clear" w:color="auto" w:fill="E5E6E6"/>
          </w:tcPr>
          <w:p>
            <w:pPr>
              <w:jc w:val="right"/>
              <w:ind w:right="13"/>
              <w:spacing w:after="0"/>
              <w:rPr>
                <w:sz w:val="20"/>
                <w:szCs w:val="20"/>
                <w:color w:val="auto"/>
              </w:rPr>
            </w:pPr>
            <w:r>
              <w:rPr>
                <w:rFonts w:ascii="Arial" w:cs="Arial" w:eastAsia="Arial" w:hAnsi="Arial"/>
                <w:sz w:val="14"/>
                <w:szCs w:val="14"/>
                <w:color w:val="auto"/>
              </w:rPr>
              <w:t>8,147,676</w:t>
            </w:r>
          </w:p>
        </w:tc>
        <w:tc>
          <w:tcPr>
            <w:tcW w:w="100" w:type="dxa"/>
            <w:vAlign w:val="bottom"/>
            <w:tcBorders>
              <w:right w:val="single" w:sz="8" w:color="E5E6E6"/>
            </w:tcBorders>
          </w:tcPr>
          <w:p>
            <w:pPr>
              <w:spacing w:after="0"/>
              <w:rPr>
                <w:sz w:val="17"/>
                <w:szCs w:val="17"/>
                <w:color w:val="auto"/>
              </w:rPr>
            </w:pPr>
          </w:p>
        </w:tc>
        <w:tc>
          <w:tcPr>
            <w:tcW w:w="1360" w:type="dxa"/>
            <w:vAlign w:val="bottom"/>
            <w:shd w:val="clear" w:color="auto" w:fill="E5E6E6"/>
          </w:tcPr>
          <w:p>
            <w:pPr>
              <w:jc w:val="right"/>
              <w:spacing w:after="0"/>
              <w:rPr>
                <w:sz w:val="20"/>
                <w:szCs w:val="20"/>
                <w:color w:val="auto"/>
              </w:rPr>
            </w:pPr>
            <w:r>
              <w:rPr>
                <w:rFonts w:ascii="Arial" w:cs="Arial" w:eastAsia="Arial" w:hAnsi="Arial"/>
                <w:sz w:val="14"/>
                <w:szCs w:val="14"/>
                <w:color w:val="auto"/>
              </w:rPr>
              <w:t>39,865</w:t>
            </w:r>
          </w:p>
        </w:tc>
        <w:tc>
          <w:tcPr>
            <w:tcW w:w="120" w:type="dxa"/>
            <w:vAlign w:val="bottom"/>
            <w:tcBorders>
              <w:right w:val="single" w:sz="8" w:color="E5E6E6"/>
            </w:tcBorders>
          </w:tcPr>
          <w:p>
            <w:pPr>
              <w:spacing w:after="0"/>
              <w:rPr>
                <w:sz w:val="17"/>
                <w:szCs w:val="17"/>
                <w:color w:val="auto"/>
              </w:rPr>
            </w:pPr>
          </w:p>
        </w:tc>
        <w:tc>
          <w:tcPr>
            <w:tcW w:w="1360" w:type="dxa"/>
            <w:vAlign w:val="bottom"/>
            <w:shd w:val="clear" w:color="auto" w:fill="E5E6E6"/>
          </w:tcPr>
          <w:p>
            <w:pPr>
              <w:jc w:val="right"/>
              <w:ind w:right="15"/>
              <w:spacing w:after="0"/>
              <w:rPr>
                <w:sz w:val="20"/>
                <w:szCs w:val="20"/>
                <w:color w:val="auto"/>
              </w:rPr>
            </w:pPr>
            <w:r>
              <w:rPr>
                <w:rFonts w:ascii="Arial" w:cs="Arial" w:eastAsia="Arial" w:hAnsi="Arial"/>
                <w:sz w:val="14"/>
                <w:szCs w:val="14"/>
                <w:color w:val="auto"/>
              </w:rPr>
              <w:t>2,482,356</w:t>
            </w:r>
          </w:p>
        </w:tc>
        <w:tc>
          <w:tcPr>
            <w:tcW w:w="100" w:type="dxa"/>
            <w:vAlign w:val="bottom"/>
            <w:tcBorders>
              <w:right w:val="single" w:sz="8" w:color="E5E6E6"/>
            </w:tcBorders>
          </w:tcPr>
          <w:p>
            <w:pPr>
              <w:spacing w:after="0"/>
              <w:rPr>
                <w:sz w:val="17"/>
                <w:szCs w:val="17"/>
                <w:color w:val="auto"/>
              </w:rPr>
            </w:pPr>
          </w:p>
        </w:tc>
        <w:tc>
          <w:tcPr>
            <w:tcW w:w="1400" w:type="dxa"/>
            <w:vAlign w:val="bottom"/>
            <w:shd w:val="clear" w:color="auto" w:fill="E5E6E6"/>
          </w:tcPr>
          <w:p>
            <w:pPr>
              <w:ind w:left="1200"/>
              <w:spacing w:after="0"/>
              <w:rPr>
                <w:sz w:val="20"/>
                <w:szCs w:val="20"/>
                <w:color w:val="auto"/>
              </w:rPr>
            </w:pPr>
            <w:r>
              <w:rPr>
                <w:rFonts w:ascii="Arial" w:cs="Arial" w:eastAsia="Arial" w:hAnsi="Arial"/>
                <w:sz w:val="14"/>
                <w:szCs w:val="14"/>
                <w:color w:val="auto"/>
              </w:rPr>
              <w:t>—</w:t>
            </w:r>
          </w:p>
        </w:tc>
        <w:tc>
          <w:tcPr>
            <w:tcW w:w="1540" w:type="dxa"/>
            <w:vAlign w:val="bottom"/>
            <w:gridSpan w:val="2"/>
            <w:shd w:val="clear" w:color="auto" w:fill="E5E6E6"/>
          </w:tcPr>
          <w:p>
            <w:pPr>
              <w:jc w:val="right"/>
              <w:ind w:right="12"/>
              <w:spacing w:after="0"/>
              <w:rPr>
                <w:sz w:val="20"/>
                <w:szCs w:val="20"/>
                <w:color w:val="auto"/>
              </w:rPr>
            </w:pPr>
            <w:r>
              <w:rPr>
                <w:rFonts w:ascii="Arial" w:cs="Arial" w:eastAsia="Arial" w:hAnsi="Arial"/>
                <w:sz w:val="14"/>
                <w:szCs w:val="14"/>
                <w:color w:val="auto"/>
              </w:rPr>
              <w:t>13,018,694</w:t>
            </w:r>
          </w:p>
        </w:tc>
        <w:tc>
          <w:tcPr>
            <w:tcW w:w="0" w:type="dxa"/>
            <w:vAlign w:val="bottom"/>
          </w:tcPr>
          <w:p>
            <w:pPr>
              <w:spacing w:after="0"/>
              <w:rPr>
                <w:sz w:val="1"/>
                <w:szCs w:val="1"/>
                <w:color w:val="auto"/>
              </w:rPr>
            </w:pPr>
          </w:p>
        </w:tc>
      </w:tr>
      <w:tr>
        <w:trPr>
          <w:trHeight w:val="199"/>
        </w:trPr>
        <w:tc>
          <w:tcPr>
            <w:tcW w:w="2280" w:type="dxa"/>
            <w:vAlign w:val="bottom"/>
            <w:tcBorders>
              <w:top w:val="single" w:sz="8" w:color="939599"/>
              <w:bottom w:val="single" w:sz="8" w:color="939599"/>
            </w:tcBorders>
            <w:gridSpan w:val="3"/>
          </w:tcPr>
          <w:p>
            <w:pPr>
              <w:ind w:left="60"/>
              <w:spacing w:after="0"/>
              <w:rPr>
                <w:sz w:val="20"/>
                <w:szCs w:val="20"/>
                <w:color w:val="auto"/>
              </w:rPr>
            </w:pPr>
            <w:r>
              <w:rPr>
                <w:rFonts w:ascii="Arial" w:cs="Arial" w:eastAsia="Arial" w:hAnsi="Arial"/>
                <w:sz w:val="14"/>
                <w:szCs w:val="14"/>
                <w:b w:val="1"/>
                <w:bCs w:val="1"/>
                <w:color w:val="auto"/>
              </w:rPr>
              <w:t>AVERAGE NON-PEO NEO</w:t>
            </w:r>
          </w:p>
        </w:tc>
        <w:tc>
          <w:tcPr>
            <w:tcW w:w="120" w:type="dxa"/>
            <w:vAlign w:val="bottom"/>
            <w:tcBorders>
              <w:top w:val="single" w:sz="8" w:color="939599"/>
              <w:bottom w:val="single" w:sz="8" w:color="939599"/>
            </w:tcBorders>
          </w:tcPr>
          <w:p>
            <w:pPr>
              <w:spacing w:after="0"/>
              <w:rPr>
                <w:sz w:val="17"/>
                <w:szCs w:val="17"/>
                <w:color w:val="auto"/>
              </w:rPr>
            </w:pPr>
          </w:p>
        </w:tc>
        <w:tc>
          <w:tcPr>
            <w:tcW w:w="1360" w:type="dxa"/>
            <w:vAlign w:val="bottom"/>
            <w:tcBorders>
              <w:top w:val="single" w:sz="8" w:color="939599"/>
              <w:bottom w:val="single" w:sz="8" w:color="939599"/>
            </w:tcBorders>
          </w:tcPr>
          <w:p>
            <w:pPr>
              <w:spacing w:after="0"/>
              <w:rPr>
                <w:sz w:val="17"/>
                <w:szCs w:val="17"/>
                <w:color w:val="auto"/>
              </w:rPr>
            </w:pPr>
          </w:p>
        </w:tc>
        <w:tc>
          <w:tcPr>
            <w:tcW w:w="120" w:type="dxa"/>
            <w:vAlign w:val="bottom"/>
            <w:tcBorders>
              <w:top w:val="single" w:sz="8" w:color="939599"/>
              <w:bottom w:val="single" w:sz="8" w:color="939599"/>
            </w:tcBorders>
          </w:tcPr>
          <w:p>
            <w:pPr>
              <w:spacing w:after="0"/>
              <w:rPr>
                <w:sz w:val="17"/>
                <w:szCs w:val="17"/>
                <w:color w:val="auto"/>
              </w:rPr>
            </w:pPr>
          </w:p>
        </w:tc>
        <w:tc>
          <w:tcPr>
            <w:tcW w:w="1360" w:type="dxa"/>
            <w:vAlign w:val="bottom"/>
            <w:tcBorders>
              <w:top w:val="single" w:sz="8" w:color="939599"/>
              <w:bottom w:val="single" w:sz="8" w:color="939599"/>
            </w:tcBorders>
          </w:tcPr>
          <w:p>
            <w:pPr>
              <w:spacing w:after="0"/>
              <w:rPr>
                <w:sz w:val="17"/>
                <w:szCs w:val="17"/>
                <w:color w:val="auto"/>
              </w:rPr>
            </w:pPr>
          </w:p>
        </w:tc>
        <w:tc>
          <w:tcPr>
            <w:tcW w:w="100" w:type="dxa"/>
            <w:vAlign w:val="bottom"/>
            <w:tcBorders>
              <w:top w:val="single" w:sz="8" w:color="939599"/>
              <w:bottom w:val="single" w:sz="8" w:color="939599"/>
            </w:tcBorders>
          </w:tcPr>
          <w:p>
            <w:pPr>
              <w:spacing w:after="0"/>
              <w:rPr>
                <w:sz w:val="17"/>
                <w:szCs w:val="17"/>
                <w:color w:val="auto"/>
              </w:rPr>
            </w:pPr>
          </w:p>
        </w:tc>
        <w:tc>
          <w:tcPr>
            <w:tcW w:w="1360" w:type="dxa"/>
            <w:vAlign w:val="bottom"/>
            <w:tcBorders>
              <w:top w:val="single" w:sz="8" w:color="939599"/>
              <w:bottom w:val="single" w:sz="8" w:color="939599"/>
            </w:tcBorders>
          </w:tcPr>
          <w:p>
            <w:pPr>
              <w:spacing w:after="0"/>
              <w:rPr>
                <w:sz w:val="17"/>
                <w:szCs w:val="17"/>
                <w:color w:val="auto"/>
              </w:rPr>
            </w:pPr>
          </w:p>
        </w:tc>
        <w:tc>
          <w:tcPr>
            <w:tcW w:w="120" w:type="dxa"/>
            <w:vAlign w:val="bottom"/>
            <w:tcBorders>
              <w:top w:val="single" w:sz="8" w:color="939599"/>
              <w:bottom w:val="single" w:sz="8" w:color="939599"/>
            </w:tcBorders>
          </w:tcPr>
          <w:p>
            <w:pPr>
              <w:spacing w:after="0"/>
              <w:rPr>
                <w:sz w:val="17"/>
                <w:szCs w:val="17"/>
                <w:color w:val="auto"/>
              </w:rPr>
            </w:pPr>
          </w:p>
        </w:tc>
        <w:tc>
          <w:tcPr>
            <w:tcW w:w="1360" w:type="dxa"/>
            <w:vAlign w:val="bottom"/>
            <w:tcBorders>
              <w:top w:val="single" w:sz="8" w:color="939599"/>
              <w:bottom w:val="single" w:sz="8" w:color="939599"/>
            </w:tcBorders>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Borders>
              <w:top w:val="single" w:sz="8" w:color="939599"/>
              <w:bottom w:val="single" w:sz="8" w:color="939599"/>
            </w:tcBorders>
          </w:tcPr>
          <w:p>
            <w:pPr>
              <w:spacing w:after="0"/>
              <w:rPr>
                <w:sz w:val="17"/>
                <w:szCs w:val="17"/>
                <w:color w:val="auto"/>
              </w:rPr>
            </w:pPr>
          </w:p>
        </w:tc>
        <w:tc>
          <w:tcPr>
            <w:tcW w:w="120" w:type="dxa"/>
            <w:vAlign w:val="bottom"/>
            <w:tcBorders>
              <w:bottom w:val="single" w:sz="8" w:color="E5E6E6"/>
            </w:tcBorders>
          </w:tcPr>
          <w:p>
            <w:pPr>
              <w:spacing w:after="0"/>
              <w:rPr>
                <w:sz w:val="17"/>
                <w:szCs w:val="17"/>
                <w:color w:val="auto"/>
              </w:rPr>
            </w:pPr>
          </w:p>
        </w:tc>
        <w:tc>
          <w:tcPr>
            <w:tcW w:w="1420" w:type="dxa"/>
            <w:vAlign w:val="bottom"/>
            <w:tcBorders>
              <w:top w:val="single" w:sz="8" w:color="939599"/>
              <w:bottom w:val="single" w:sz="8" w:color="939599"/>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840" w:type="dxa"/>
            <w:vAlign w:val="bottom"/>
            <w:tcBorders>
              <w:bottom w:val="single" w:sz="8" w:color="939599"/>
            </w:tcBorders>
            <w:shd w:val="clear" w:color="auto" w:fill="E5E6E6"/>
          </w:tcPr>
          <w:p>
            <w:pPr>
              <w:ind w:left="60"/>
              <w:spacing w:after="0"/>
              <w:rPr>
                <w:sz w:val="20"/>
                <w:szCs w:val="20"/>
                <w:color w:val="auto"/>
              </w:rPr>
            </w:pPr>
            <w:r>
              <w:rPr>
                <w:rFonts w:ascii="Arial" w:cs="Arial" w:eastAsia="Arial" w:hAnsi="Arial"/>
                <w:sz w:val="14"/>
                <w:szCs w:val="14"/>
                <w:color w:val="auto"/>
              </w:rPr>
              <w:t>2024</w:t>
            </w:r>
          </w:p>
        </w:tc>
        <w:tc>
          <w:tcPr>
            <w:tcW w:w="100" w:type="dxa"/>
            <w:vAlign w:val="bottom"/>
            <w:tcBorders>
              <w:right w:val="single" w:sz="8" w:color="E5E6E6"/>
            </w:tcBorders>
          </w:tcPr>
          <w:p>
            <w:pPr>
              <w:spacing w:after="0"/>
              <w:rPr>
                <w:sz w:val="16"/>
                <w:szCs w:val="16"/>
                <w:color w:val="auto"/>
              </w:rPr>
            </w:pPr>
          </w:p>
        </w:tc>
        <w:tc>
          <w:tcPr>
            <w:tcW w:w="1340" w:type="dxa"/>
            <w:vAlign w:val="bottom"/>
            <w:tcBorders>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4,385,684</w:t>
            </w:r>
          </w:p>
        </w:tc>
        <w:tc>
          <w:tcPr>
            <w:tcW w:w="120" w:type="dxa"/>
            <w:vAlign w:val="bottom"/>
            <w:tcBorders>
              <w:right w:val="single" w:sz="8" w:color="E5E6E6"/>
            </w:tcBorders>
          </w:tcPr>
          <w:p>
            <w:pPr>
              <w:spacing w:after="0"/>
              <w:rPr>
                <w:sz w:val="16"/>
                <w:szCs w:val="16"/>
                <w:color w:val="auto"/>
              </w:rPr>
            </w:pPr>
          </w:p>
        </w:tc>
        <w:tc>
          <w:tcPr>
            <w:tcW w:w="1360" w:type="dxa"/>
            <w:vAlign w:val="bottom"/>
            <w:tcBorders>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(3,501,130)</w:t>
            </w:r>
          </w:p>
        </w:tc>
        <w:tc>
          <w:tcPr>
            <w:tcW w:w="120" w:type="dxa"/>
            <w:vAlign w:val="bottom"/>
            <w:tcBorders>
              <w:right w:val="single" w:sz="8" w:color="E5E6E6"/>
            </w:tcBorders>
          </w:tcPr>
          <w:p>
            <w:pPr>
              <w:spacing w:after="0"/>
              <w:rPr>
                <w:sz w:val="16"/>
                <w:szCs w:val="16"/>
                <w:color w:val="auto"/>
              </w:rPr>
            </w:pPr>
          </w:p>
        </w:tc>
        <w:tc>
          <w:tcPr>
            <w:tcW w:w="1360" w:type="dxa"/>
            <w:vAlign w:val="bottom"/>
            <w:tcBorders>
              <w:bottom w:val="single" w:sz="8" w:color="939599"/>
            </w:tcBorders>
            <w:shd w:val="clear" w:color="auto" w:fill="E5E6E6"/>
          </w:tcPr>
          <w:p>
            <w:pPr>
              <w:jc w:val="right"/>
              <w:ind w:right="13"/>
              <w:spacing w:after="0"/>
              <w:rPr>
                <w:sz w:val="20"/>
                <w:szCs w:val="20"/>
                <w:color w:val="auto"/>
              </w:rPr>
            </w:pPr>
            <w:r>
              <w:rPr>
                <w:rFonts w:ascii="Arial" w:cs="Arial" w:eastAsia="Arial" w:hAnsi="Arial"/>
                <w:sz w:val="14"/>
                <w:szCs w:val="14"/>
                <w:color w:val="auto"/>
              </w:rPr>
              <w:t>2,775,334</w:t>
            </w:r>
          </w:p>
        </w:tc>
        <w:tc>
          <w:tcPr>
            <w:tcW w:w="100" w:type="dxa"/>
            <w:vAlign w:val="bottom"/>
            <w:tcBorders>
              <w:right w:val="single" w:sz="8" w:color="E5E6E6"/>
            </w:tcBorders>
          </w:tcPr>
          <w:p>
            <w:pPr>
              <w:spacing w:after="0"/>
              <w:rPr>
                <w:sz w:val="16"/>
                <w:szCs w:val="16"/>
                <w:color w:val="auto"/>
              </w:rPr>
            </w:pPr>
          </w:p>
        </w:tc>
        <w:tc>
          <w:tcPr>
            <w:tcW w:w="1360" w:type="dxa"/>
            <w:vAlign w:val="bottom"/>
            <w:tcBorders>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(493,722)</w:t>
            </w:r>
          </w:p>
        </w:tc>
        <w:tc>
          <w:tcPr>
            <w:tcW w:w="120" w:type="dxa"/>
            <w:vAlign w:val="bottom"/>
            <w:tcBorders>
              <w:right w:val="single" w:sz="8" w:color="E5E6E6"/>
            </w:tcBorders>
          </w:tcPr>
          <w:p>
            <w:pPr>
              <w:spacing w:after="0"/>
              <w:rPr>
                <w:sz w:val="16"/>
                <w:szCs w:val="16"/>
                <w:color w:val="auto"/>
              </w:rPr>
            </w:pPr>
          </w:p>
        </w:tc>
        <w:tc>
          <w:tcPr>
            <w:tcW w:w="1360" w:type="dxa"/>
            <w:vAlign w:val="bottom"/>
            <w:tcBorders>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(135,219)</w:t>
            </w:r>
          </w:p>
        </w:tc>
        <w:tc>
          <w:tcPr>
            <w:tcW w:w="100" w:type="dxa"/>
            <w:vAlign w:val="bottom"/>
            <w:tcBorders>
              <w:right w:val="single" w:sz="8" w:color="E5E6E6"/>
            </w:tcBorders>
          </w:tcPr>
          <w:p>
            <w:pPr>
              <w:spacing w:after="0"/>
              <w:rPr>
                <w:sz w:val="16"/>
                <w:szCs w:val="16"/>
                <w:color w:val="auto"/>
              </w:rPr>
            </w:pPr>
          </w:p>
        </w:tc>
        <w:tc>
          <w:tcPr>
            <w:tcW w:w="1400" w:type="dxa"/>
            <w:vAlign w:val="bottom"/>
            <w:tcBorders>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(1,348,510)</w:t>
            </w:r>
          </w:p>
        </w:tc>
        <w:tc>
          <w:tcPr>
            <w:tcW w:w="120" w:type="dxa"/>
            <w:vAlign w:val="bottom"/>
            <w:tcBorders>
              <w:right w:val="single" w:sz="8" w:color="E5E6E6"/>
            </w:tcBorders>
            <w:shd w:val="clear" w:color="auto" w:fill="E5E6E6"/>
          </w:tcPr>
          <w:p>
            <w:pPr>
              <w:spacing w:after="0"/>
              <w:rPr>
                <w:sz w:val="16"/>
                <w:szCs w:val="16"/>
                <w:color w:val="auto"/>
              </w:rPr>
            </w:pPr>
          </w:p>
        </w:tc>
        <w:tc>
          <w:tcPr>
            <w:tcW w:w="1420" w:type="dxa"/>
            <w:vAlign w:val="bottom"/>
            <w:tcBorders>
              <w:bottom w:val="single" w:sz="8" w:color="939599"/>
            </w:tcBorders>
            <w:shd w:val="clear" w:color="auto" w:fill="E5E6E6"/>
          </w:tcPr>
          <w:p>
            <w:pPr>
              <w:jc w:val="right"/>
              <w:ind w:right="12"/>
              <w:spacing w:after="0"/>
              <w:rPr>
                <w:sz w:val="20"/>
                <w:szCs w:val="20"/>
                <w:color w:val="auto"/>
              </w:rPr>
            </w:pPr>
            <w:r>
              <w:rPr>
                <w:rFonts w:ascii="Arial" w:cs="Arial" w:eastAsia="Arial" w:hAnsi="Arial"/>
                <w:sz w:val="14"/>
                <w:szCs w:val="14"/>
                <w:color w:val="auto"/>
              </w:rPr>
              <w:t>1,682,437</w:t>
            </w:r>
          </w:p>
        </w:tc>
        <w:tc>
          <w:tcPr>
            <w:tcW w:w="0" w:type="dxa"/>
            <w:vAlign w:val="bottom"/>
          </w:tcPr>
          <w:p>
            <w:pPr>
              <w:spacing w:after="0"/>
              <w:rPr>
                <w:sz w:val="1"/>
                <w:szCs w:val="1"/>
                <w:color w:val="auto"/>
              </w:rPr>
            </w:pPr>
          </w:p>
        </w:tc>
      </w:tr>
      <w:tr>
        <w:trPr>
          <w:trHeight w:val="196"/>
        </w:trPr>
        <w:tc>
          <w:tcPr>
            <w:tcW w:w="840" w:type="dxa"/>
            <w:vAlign w:val="bottom"/>
            <w:tcBorders>
              <w:bottom w:val="single" w:sz="8" w:color="939599"/>
            </w:tcBorders>
          </w:tcPr>
          <w:p>
            <w:pPr>
              <w:ind w:left="60"/>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7"/>
                <w:szCs w:val="17"/>
                <w:color w:val="auto"/>
              </w:rPr>
            </w:pPr>
          </w:p>
        </w:tc>
        <w:tc>
          <w:tcPr>
            <w:tcW w:w="1340" w:type="dxa"/>
            <w:vAlign w:val="bottom"/>
            <w:tcBorders>
              <w:bottom w:val="single" w:sz="8" w:color="939599"/>
            </w:tcBorders>
          </w:tcPr>
          <w:p>
            <w:pPr>
              <w:jc w:val="right"/>
              <w:spacing w:after="0"/>
              <w:rPr>
                <w:sz w:val="20"/>
                <w:szCs w:val="20"/>
                <w:color w:val="auto"/>
              </w:rPr>
            </w:pPr>
            <w:r>
              <w:rPr>
                <w:rFonts w:ascii="Arial" w:cs="Arial" w:eastAsia="Arial" w:hAnsi="Arial"/>
                <w:sz w:val="14"/>
                <w:szCs w:val="14"/>
                <w:color w:val="auto"/>
              </w:rPr>
              <w:t>4,346,386</w:t>
            </w:r>
          </w:p>
        </w:tc>
        <w:tc>
          <w:tcPr>
            <w:tcW w:w="120" w:type="dxa"/>
            <w:vAlign w:val="bottom"/>
          </w:tcPr>
          <w:p>
            <w:pPr>
              <w:spacing w:after="0"/>
              <w:rPr>
                <w:sz w:val="17"/>
                <w:szCs w:val="17"/>
                <w:color w:val="auto"/>
              </w:rPr>
            </w:pPr>
          </w:p>
        </w:tc>
        <w:tc>
          <w:tcPr>
            <w:tcW w:w="1360" w:type="dxa"/>
            <w:vAlign w:val="bottom"/>
            <w:tcBorders>
              <w:bottom w:val="single" w:sz="8" w:color="939599"/>
            </w:tcBorders>
          </w:tcPr>
          <w:p>
            <w:pPr>
              <w:jc w:val="right"/>
              <w:spacing w:after="0"/>
              <w:rPr>
                <w:sz w:val="20"/>
                <w:szCs w:val="20"/>
                <w:color w:val="auto"/>
              </w:rPr>
            </w:pPr>
            <w:r>
              <w:rPr>
                <w:rFonts w:ascii="Arial" w:cs="Arial" w:eastAsia="Arial" w:hAnsi="Arial"/>
                <w:sz w:val="14"/>
                <w:szCs w:val="14"/>
                <w:color w:val="auto"/>
              </w:rPr>
              <w:t>(3,274,792)</w:t>
            </w:r>
          </w:p>
        </w:tc>
        <w:tc>
          <w:tcPr>
            <w:tcW w:w="120" w:type="dxa"/>
            <w:vAlign w:val="bottom"/>
          </w:tcPr>
          <w:p>
            <w:pPr>
              <w:spacing w:after="0"/>
              <w:rPr>
                <w:sz w:val="17"/>
                <w:szCs w:val="17"/>
                <w:color w:val="auto"/>
              </w:rPr>
            </w:pPr>
          </w:p>
        </w:tc>
        <w:tc>
          <w:tcPr>
            <w:tcW w:w="1360" w:type="dxa"/>
            <w:vAlign w:val="bottom"/>
            <w:tcBorders>
              <w:bottom w:val="single" w:sz="8" w:color="939599"/>
            </w:tcBorders>
          </w:tcPr>
          <w:p>
            <w:pPr>
              <w:jc w:val="right"/>
              <w:ind w:right="13"/>
              <w:spacing w:after="0"/>
              <w:rPr>
                <w:sz w:val="20"/>
                <w:szCs w:val="20"/>
                <w:color w:val="auto"/>
              </w:rPr>
            </w:pPr>
            <w:r>
              <w:rPr>
                <w:rFonts w:ascii="Arial" w:cs="Arial" w:eastAsia="Arial" w:hAnsi="Arial"/>
                <w:sz w:val="14"/>
                <w:szCs w:val="14"/>
                <w:color w:val="auto"/>
              </w:rPr>
              <w:t>3,168,489</w:t>
            </w:r>
          </w:p>
        </w:tc>
        <w:tc>
          <w:tcPr>
            <w:tcW w:w="100" w:type="dxa"/>
            <w:vAlign w:val="bottom"/>
          </w:tcPr>
          <w:p>
            <w:pPr>
              <w:spacing w:after="0"/>
              <w:rPr>
                <w:sz w:val="17"/>
                <w:szCs w:val="17"/>
                <w:color w:val="auto"/>
              </w:rPr>
            </w:pPr>
          </w:p>
        </w:tc>
        <w:tc>
          <w:tcPr>
            <w:tcW w:w="1360" w:type="dxa"/>
            <w:vAlign w:val="bottom"/>
            <w:tcBorders>
              <w:bottom w:val="single" w:sz="8" w:color="939599"/>
            </w:tcBorders>
          </w:tcPr>
          <w:p>
            <w:pPr>
              <w:jc w:val="right"/>
              <w:spacing w:after="0"/>
              <w:rPr>
                <w:sz w:val="20"/>
                <w:szCs w:val="20"/>
                <w:color w:val="auto"/>
              </w:rPr>
            </w:pPr>
            <w:r>
              <w:rPr>
                <w:rFonts w:ascii="Arial" w:cs="Arial" w:eastAsia="Arial" w:hAnsi="Arial"/>
                <w:sz w:val="14"/>
                <w:szCs w:val="14"/>
                <w:color w:val="auto"/>
              </w:rPr>
              <w:t>(473,958)</w:t>
            </w:r>
          </w:p>
        </w:tc>
        <w:tc>
          <w:tcPr>
            <w:tcW w:w="120" w:type="dxa"/>
            <w:vAlign w:val="bottom"/>
          </w:tcPr>
          <w:p>
            <w:pPr>
              <w:spacing w:after="0"/>
              <w:rPr>
                <w:sz w:val="17"/>
                <w:szCs w:val="17"/>
                <w:color w:val="auto"/>
              </w:rPr>
            </w:pPr>
          </w:p>
        </w:tc>
        <w:tc>
          <w:tcPr>
            <w:tcW w:w="1360" w:type="dxa"/>
            <w:vAlign w:val="bottom"/>
            <w:tcBorders>
              <w:bottom w:val="single" w:sz="8" w:color="939599"/>
            </w:tcBorders>
          </w:tcPr>
          <w:p>
            <w:pPr>
              <w:jc w:val="right"/>
              <w:ind w:right="15"/>
              <w:spacing w:after="0"/>
              <w:rPr>
                <w:sz w:val="20"/>
                <w:szCs w:val="20"/>
                <w:color w:val="auto"/>
              </w:rPr>
            </w:pPr>
            <w:r>
              <w:rPr>
                <w:rFonts w:ascii="Arial" w:cs="Arial" w:eastAsia="Arial" w:hAnsi="Arial"/>
                <w:sz w:val="14"/>
                <w:szCs w:val="14"/>
                <w:color w:val="auto"/>
              </w:rPr>
              <w:t>42,607</w:t>
            </w:r>
          </w:p>
        </w:tc>
        <w:tc>
          <w:tcPr>
            <w:tcW w:w="100" w:type="dxa"/>
            <w:vAlign w:val="bottom"/>
          </w:tcPr>
          <w:p>
            <w:pPr>
              <w:spacing w:after="0"/>
              <w:rPr>
                <w:sz w:val="17"/>
                <w:szCs w:val="17"/>
                <w:color w:val="auto"/>
              </w:rPr>
            </w:pPr>
          </w:p>
        </w:tc>
        <w:tc>
          <w:tcPr>
            <w:tcW w:w="1400" w:type="dxa"/>
            <w:vAlign w:val="bottom"/>
            <w:tcBorders>
              <w:bottom w:val="single" w:sz="8" w:color="939599"/>
            </w:tcBorders>
          </w:tcPr>
          <w:p>
            <w:pPr>
              <w:ind w:left="120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E5E6E6"/>
            </w:tcBorders>
          </w:tcPr>
          <w:p>
            <w:pPr>
              <w:spacing w:after="0"/>
              <w:rPr>
                <w:sz w:val="17"/>
                <w:szCs w:val="17"/>
                <w:color w:val="auto"/>
              </w:rPr>
            </w:pPr>
          </w:p>
        </w:tc>
        <w:tc>
          <w:tcPr>
            <w:tcW w:w="1420" w:type="dxa"/>
            <w:vAlign w:val="bottom"/>
            <w:tcBorders>
              <w:bottom w:val="single" w:sz="8" w:color="939599"/>
            </w:tcBorders>
          </w:tcPr>
          <w:p>
            <w:pPr>
              <w:jc w:val="right"/>
              <w:ind w:right="12"/>
              <w:spacing w:after="0"/>
              <w:rPr>
                <w:sz w:val="20"/>
                <w:szCs w:val="20"/>
                <w:color w:val="auto"/>
              </w:rPr>
            </w:pPr>
            <w:r>
              <w:rPr>
                <w:rFonts w:ascii="Arial" w:cs="Arial" w:eastAsia="Arial" w:hAnsi="Arial"/>
                <w:sz w:val="14"/>
                <w:szCs w:val="14"/>
                <w:color w:val="auto"/>
              </w:rPr>
              <w:t>3,808,732</w:t>
            </w:r>
          </w:p>
        </w:tc>
        <w:tc>
          <w:tcPr>
            <w:tcW w:w="0" w:type="dxa"/>
            <w:vAlign w:val="bottom"/>
          </w:tcPr>
          <w:p>
            <w:pPr>
              <w:spacing w:after="0"/>
              <w:rPr>
                <w:sz w:val="1"/>
                <w:szCs w:val="1"/>
                <w:color w:val="auto"/>
              </w:rPr>
            </w:pPr>
          </w:p>
        </w:tc>
      </w:tr>
      <w:tr>
        <w:trPr>
          <w:trHeight w:val="196"/>
        </w:trPr>
        <w:tc>
          <w:tcPr>
            <w:tcW w:w="840" w:type="dxa"/>
            <w:vAlign w:val="bottom"/>
            <w:tcBorders>
              <w:bottom w:val="single" w:sz="8" w:color="939599"/>
            </w:tcBorders>
            <w:shd w:val="clear" w:color="auto" w:fill="E5E6E6"/>
          </w:tcPr>
          <w:p>
            <w:pPr>
              <w:ind w:left="60"/>
              <w:spacing w:after="0"/>
              <w:rPr>
                <w:sz w:val="20"/>
                <w:szCs w:val="20"/>
                <w:color w:val="auto"/>
              </w:rPr>
            </w:pPr>
            <w:r>
              <w:rPr>
                <w:rFonts w:ascii="Arial" w:cs="Arial" w:eastAsia="Arial" w:hAnsi="Arial"/>
                <w:sz w:val="14"/>
                <w:szCs w:val="14"/>
                <w:color w:val="auto"/>
              </w:rPr>
              <w:t>2022</w:t>
            </w:r>
          </w:p>
        </w:tc>
        <w:tc>
          <w:tcPr>
            <w:tcW w:w="100" w:type="dxa"/>
            <w:vAlign w:val="bottom"/>
            <w:tcBorders>
              <w:right w:val="single" w:sz="8" w:color="E5E6E6"/>
            </w:tcBorders>
          </w:tcPr>
          <w:p>
            <w:pPr>
              <w:spacing w:after="0"/>
              <w:rPr>
                <w:sz w:val="17"/>
                <w:szCs w:val="17"/>
                <w:color w:val="auto"/>
              </w:rPr>
            </w:pPr>
          </w:p>
        </w:tc>
        <w:tc>
          <w:tcPr>
            <w:tcW w:w="1340" w:type="dxa"/>
            <w:vAlign w:val="bottom"/>
            <w:tcBorders>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3,923,918</w:t>
            </w:r>
          </w:p>
        </w:tc>
        <w:tc>
          <w:tcPr>
            <w:tcW w:w="120" w:type="dxa"/>
            <w:vAlign w:val="bottom"/>
            <w:tcBorders>
              <w:right w:val="single" w:sz="8" w:color="E5E6E6"/>
            </w:tcBorders>
          </w:tcPr>
          <w:p>
            <w:pPr>
              <w:spacing w:after="0"/>
              <w:rPr>
                <w:sz w:val="17"/>
                <w:szCs w:val="17"/>
                <w:color w:val="auto"/>
              </w:rPr>
            </w:pPr>
          </w:p>
        </w:tc>
        <w:tc>
          <w:tcPr>
            <w:tcW w:w="1360" w:type="dxa"/>
            <w:vAlign w:val="bottom"/>
            <w:tcBorders>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(2,874,881)</w:t>
            </w:r>
          </w:p>
        </w:tc>
        <w:tc>
          <w:tcPr>
            <w:tcW w:w="120" w:type="dxa"/>
            <w:vAlign w:val="bottom"/>
            <w:tcBorders>
              <w:right w:val="single" w:sz="8" w:color="E5E6E6"/>
            </w:tcBorders>
          </w:tcPr>
          <w:p>
            <w:pPr>
              <w:spacing w:after="0"/>
              <w:rPr>
                <w:sz w:val="17"/>
                <w:szCs w:val="17"/>
                <w:color w:val="auto"/>
              </w:rPr>
            </w:pPr>
          </w:p>
        </w:tc>
        <w:tc>
          <w:tcPr>
            <w:tcW w:w="1360" w:type="dxa"/>
            <w:vAlign w:val="bottom"/>
            <w:tcBorders>
              <w:bottom w:val="single" w:sz="8" w:color="939599"/>
            </w:tcBorders>
            <w:shd w:val="clear" w:color="auto" w:fill="E5E6E6"/>
          </w:tcPr>
          <w:p>
            <w:pPr>
              <w:jc w:val="right"/>
              <w:ind w:right="13"/>
              <w:spacing w:after="0"/>
              <w:rPr>
                <w:sz w:val="20"/>
                <w:szCs w:val="20"/>
                <w:color w:val="auto"/>
              </w:rPr>
            </w:pPr>
            <w:r>
              <w:rPr>
                <w:rFonts w:ascii="Arial" w:cs="Arial" w:eastAsia="Arial" w:hAnsi="Arial"/>
                <w:sz w:val="14"/>
                <w:szCs w:val="14"/>
                <w:color w:val="auto"/>
              </w:rPr>
              <w:t>2,766,660</w:t>
            </w:r>
          </w:p>
        </w:tc>
        <w:tc>
          <w:tcPr>
            <w:tcW w:w="100" w:type="dxa"/>
            <w:vAlign w:val="bottom"/>
            <w:tcBorders>
              <w:right w:val="single" w:sz="8" w:color="E6E7E8"/>
            </w:tcBorders>
          </w:tcPr>
          <w:p>
            <w:pPr>
              <w:spacing w:after="0"/>
              <w:rPr>
                <w:sz w:val="17"/>
                <w:szCs w:val="17"/>
                <w:color w:val="auto"/>
              </w:rPr>
            </w:pPr>
          </w:p>
        </w:tc>
        <w:tc>
          <w:tcPr>
            <w:tcW w:w="1360" w:type="dxa"/>
            <w:vAlign w:val="bottom"/>
            <w:tcBorders>
              <w:bottom w:val="single" w:sz="8" w:color="939599"/>
            </w:tcBorders>
            <w:shd w:val="clear" w:color="auto" w:fill="E6E7E8"/>
          </w:tcPr>
          <w:p>
            <w:pPr>
              <w:jc w:val="right"/>
              <w:spacing w:after="0"/>
              <w:rPr>
                <w:sz w:val="20"/>
                <w:szCs w:val="20"/>
                <w:color w:val="auto"/>
              </w:rPr>
            </w:pPr>
            <w:r>
              <w:rPr>
                <w:rFonts w:ascii="Arial" w:cs="Arial" w:eastAsia="Arial" w:hAnsi="Arial"/>
                <w:sz w:val="14"/>
                <w:szCs w:val="14"/>
                <w:color w:val="auto"/>
              </w:rPr>
              <w:t>(756,083)</w:t>
            </w:r>
          </w:p>
        </w:tc>
        <w:tc>
          <w:tcPr>
            <w:tcW w:w="120" w:type="dxa"/>
            <w:vAlign w:val="bottom"/>
            <w:tcBorders>
              <w:right w:val="single" w:sz="8" w:color="E5E6E6"/>
            </w:tcBorders>
          </w:tcPr>
          <w:p>
            <w:pPr>
              <w:spacing w:after="0"/>
              <w:rPr>
                <w:sz w:val="17"/>
                <w:szCs w:val="17"/>
                <w:color w:val="auto"/>
              </w:rPr>
            </w:pPr>
          </w:p>
        </w:tc>
        <w:tc>
          <w:tcPr>
            <w:tcW w:w="1360" w:type="dxa"/>
            <w:vAlign w:val="bottom"/>
            <w:tcBorders>
              <w:bottom w:val="single" w:sz="8" w:color="939599"/>
            </w:tcBorders>
            <w:shd w:val="clear" w:color="auto" w:fill="E5E6E6"/>
          </w:tcPr>
          <w:p>
            <w:pPr>
              <w:jc w:val="right"/>
              <w:spacing w:after="0"/>
              <w:rPr>
                <w:sz w:val="20"/>
                <w:szCs w:val="20"/>
                <w:color w:val="auto"/>
              </w:rPr>
            </w:pPr>
            <w:r>
              <w:rPr>
                <w:rFonts w:ascii="Arial" w:cs="Arial" w:eastAsia="Arial" w:hAnsi="Arial"/>
                <w:sz w:val="14"/>
                <w:szCs w:val="14"/>
                <w:color w:val="auto"/>
              </w:rPr>
              <w:t>(435,884)</w:t>
            </w:r>
          </w:p>
        </w:tc>
        <w:tc>
          <w:tcPr>
            <w:tcW w:w="100" w:type="dxa"/>
            <w:vAlign w:val="bottom"/>
            <w:tcBorders>
              <w:right w:val="single" w:sz="8" w:color="E5E6E6"/>
            </w:tcBorders>
          </w:tcPr>
          <w:p>
            <w:pPr>
              <w:spacing w:after="0"/>
              <w:rPr>
                <w:sz w:val="17"/>
                <w:szCs w:val="17"/>
                <w:color w:val="auto"/>
              </w:rPr>
            </w:pPr>
          </w:p>
        </w:tc>
        <w:tc>
          <w:tcPr>
            <w:tcW w:w="1400" w:type="dxa"/>
            <w:vAlign w:val="bottom"/>
            <w:tcBorders>
              <w:bottom w:val="single" w:sz="8" w:color="939599"/>
            </w:tcBorders>
            <w:shd w:val="clear" w:color="auto" w:fill="E5E6E6"/>
          </w:tcPr>
          <w:p>
            <w:pPr>
              <w:ind w:left="1200"/>
              <w:spacing w:after="0"/>
              <w:rPr>
                <w:sz w:val="20"/>
                <w:szCs w:val="20"/>
                <w:color w:val="auto"/>
              </w:rPr>
            </w:pPr>
            <w:r>
              <w:rPr>
                <w:rFonts w:ascii="Arial" w:cs="Arial" w:eastAsia="Arial" w:hAnsi="Arial"/>
                <w:sz w:val="14"/>
                <w:szCs w:val="14"/>
                <w:color w:val="auto"/>
              </w:rPr>
              <w:t>—</w:t>
            </w:r>
          </w:p>
        </w:tc>
        <w:tc>
          <w:tcPr>
            <w:tcW w:w="120" w:type="dxa"/>
            <w:vAlign w:val="bottom"/>
            <w:tcBorders>
              <w:right w:val="single" w:sz="8" w:color="E5E6E6"/>
            </w:tcBorders>
            <w:shd w:val="clear" w:color="auto" w:fill="E5E6E6"/>
          </w:tcPr>
          <w:p>
            <w:pPr>
              <w:spacing w:after="0"/>
              <w:rPr>
                <w:sz w:val="17"/>
                <w:szCs w:val="17"/>
                <w:color w:val="auto"/>
              </w:rPr>
            </w:pPr>
          </w:p>
        </w:tc>
        <w:tc>
          <w:tcPr>
            <w:tcW w:w="1420" w:type="dxa"/>
            <w:vAlign w:val="bottom"/>
            <w:tcBorders>
              <w:bottom w:val="single" w:sz="8" w:color="939599"/>
            </w:tcBorders>
            <w:shd w:val="clear" w:color="auto" w:fill="E5E6E6"/>
          </w:tcPr>
          <w:p>
            <w:pPr>
              <w:jc w:val="right"/>
              <w:ind w:right="12"/>
              <w:spacing w:after="0"/>
              <w:rPr>
                <w:sz w:val="20"/>
                <w:szCs w:val="20"/>
                <w:color w:val="auto"/>
              </w:rPr>
            </w:pPr>
            <w:r>
              <w:rPr>
                <w:rFonts w:ascii="Arial" w:cs="Arial" w:eastAsia="Arial" w:hAnsi="Arial"/>
                <w:sz w:val="14"/>
                <w:szCs w:val="14"/>
                <w:color w:val="auto"/>
              </w:rPr>
              <w:t>2,623,730</w:t>
            </w:r>
          </w:p>
        </w:tc>
        <w:tc>
          <w:tcPr>
            <w:tcW w:w="0" w:type="dxa"/>
            <w:vAlign w:val="bottom"/>
          </w:tcPr>
          <w:p>
            <w:pPr>
              <w:spacing w:after="0"/>
              <w:rPr>
                <w:sz w:val="1"/>
                <w:szCs w:val="1"/>
                <w:color w:val="auto"/>
              </w:rPr>
            </w:pPr>
          </w:p>
        </w:tc>
      </w:tr>
      <w:tr>
        <w:trPr>
          <w:trHeight w:val="196"/>
        </w:trPr>
        <w:tc>
          <w:tcPr>
            <w:tcW w:w="840" w:type="dxa"/>
            <w:vAlign w:val="bottom"/>
          </w:tcPr>
          <w:p>
            <w:pPr>
              <w:ind w:left="60"/>
              <w:spacing w:after="0"/>
              <w:rPr>
                <w:sz w:val="20"/>
                <w:szCs w:val="20"/>
                <w:color w:val="auto"/>
              </w:rPr>
            </w:pPr>
            <w:r>
              <w:rPr>
                <w:rFonts w:ascii="Arial" w:cs="Arial" w:eastAsia="Arial" w:hAnsi="Arial"/>
                <w:sz w:val="14"/>
                <w:szCs w:val="14"/>
                <w:color w:val="auto"/>
              </w:rPr>
              <w:t>2021</w:t>
            </w:r>
          </w:p>
        </w:tc>
        <w:tc>
          <w:tcPr>
            <w:tcW w:w="1440" w:type="dxa"/>
            <w:vAlign w:val="bottom"/>
            <w:gridSpan w:val="2"/>
          </w:tcPr>
          <w:p>
            <w:pPr>
              <w:jc w:val="right"/>
              <w:spacing w:after="0"/>
              <w:rPr>
                <w:sz w:val="20"/>
                <w:szCs w:val="20"/>
                <w:color w:val="auto"/>
              </w:rPr>
            </w:pPr>
            <w:r>
              <w:rPr>
                <w:rFonts w:ascii="Arial" w:cs="Arial" w:eastAsia="Arial" w:hAnsi="Arial"/>
                <w:sz w:val="14"/>
                <w:szCs w:val="14"/>
                <w:color w:val="auto"/>
              </w:rPr>
              <w:t>3,450,115</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(2,399,993)</w:t>
            </w:r>
          </w:p>
        </w:tc>
        <w:tc>
          <w:tcPr>
            <w:tcW w:w="1480" w:type="dxa"/>
            <w:vAlign w:val="bottom"/>
            <w:gridSpan w:val="2"/>
          </w:tcPr>
          <w:p>
            <w:pPr>
              <w:jc w:val="right"/>
              <w:ind w:right="13"/>
              <w:spacing w:after="0"/>
              <w:rPr>
                <w:sz w:val="20"/>
                <w:szCs w:val="20"/>
                <w:color w:val="auto"/>
              </w:rPr>
            </w:pPr>
            <w:r>
              <w:rPr>
                <w:rFonts w:ascii="Arial" w:cs="Arial" w:eastAsia="Arial" w:hAnsi="Arial"/>
                <w:sz w:val="14"/>
                <w:szCs w:val="14"/>
                <w:color w:val="auto"/>
              </w:rPr>
              <w:t>3,074,268</w:t>
            </w:r>
          </w:p>
        </w:tc>
        <w:tc>
          <w:tcPr>
            <w:tcW w:w="1460" w:type="dxa"/>
            <w:vAlign w:val="bottom"/>
            <w:gridSpan w:val="2"/>
          </w:tcPr>
          <w:p>
            <w:pPr>
              <w:jc w:val="right"/>
              <w:spacing w:after="0"/>
              <w:rPr>
                <w:sz w:val="20"/>
                <w:szCs w:val="20"/>
                <w:color w:val="auto"/>
              </w:rPr>
            </w:pPr>
            <w:r>
              <w:rPr>
                <w:rFonts w:ascii="Arial" w:cs="Arial" w:eastAsia="Arial" w:hAnsi="Arial"/>
                <w:sz w:val="14"/>
                <w:szCs w:val="14"/>
                <w:color w:val="auto"/>
              </w:rPr>
              <w:t>509,712</w:t>
            </w:r>
          </w:p>
        </w:tc>
        <w:tc>
          <w:tcPr>
            <w:tcW w:w="1480" w:type="dxa"/>
            <w:vAlign w:val="bottom"/>
            <w:gridSpan w:val="2"/>
          </w:tcPr>
          <w:p>
            <w:pPr>
              <w:jc w:val="right"/>
              <w:spacing w:after="0"/>
              <w:rPr>
                <w:sz w:val="20"/>
                <w:szCs w:val="20"/>
                <w:color w:val="auto"/>
              </w:rPr>
            </w:pPr>
            <w:r>
              <w:rPr>
                <w:rFonts w:ascii="Arial" w:cs="Arial" w:eastAsia="Arial" w:hAnsi="Arial"/>
                <w:sz w:val="14"/>
                <w:szCs w:val="14"/>
                <w:color w:val="auto"/>
              </w:rPr>
              <w:t>(174,527)</w:t>
            </w:r>
          </w:p>
        </w:tc>
        <w:tc>
          <w:tcPr>
            <w:tcW w:w="100" w:type="dxa"/>
            <w:vAlign w:val="bottom"/>
          </w:tcPr>
          <w:p>
            <w:pPr>
              <w:spacing w:after="0"/>
              <w:rPr>
                <w:sz w:val="17"/>
                <w:szCs w:val="17"/>
                <w:color w:val="auto"/>
              </w:rPr>
            </w:pPr>
          </w:p>
        </w:tc>
        <w:tc>
          <w:tcPr>
            <w:tcW w:w="1400" w:type="dxa"/>
            <w:vAlign w:val="bottom"/>
          </w:tcPr>
          <w:p>
            <w:pPr>
              <w:ind w:left="1200"/>
              <w:spacing w:after="0"/>
              <w:rPr>
                <w:sz w:val="20"/>
                <w:szCs w:val="20"/>
                <w:color w:val="auto"/>
              </w:rPr>
            </w:pPr>
            <w:r>
              <w:rPr>
                <w:rFonts w:ascii="Arial" w:cs="Arial" w:eastAsia="Arial" w:hAnsi="Arial"/>
                <w:sz w:val="14"/>
                <w:szCs w:val="14"/>
                <w:color w:val="auto"/>
              </w:rPr>
              <w:t>—</w:t>
            </w:r>
          </w:p>
        </w:tc>
        <w:tc>
          <w:tcPr>
            <w:tcW w:w="1540" w:type="dxa"/>
            <w:vAlign w:val="bottom"/>
            <w:gridSpan w:val="2"/>
          </w:tcPr>
          <w:p>
            <w:pPr>
              <w:jc w:val="right"/>
              <w:ind w:right="12"/>
              <w:spacing w:after="0"/>
              <w:rPr>
                <w:sz w:val="20"/>
                <w:szCs w:val="20"/>
                <w:color w:val="auto"/>
              </w:rPr>
            </w:pPr>
            <w:r>
              <w:rPr>
                <w:rFonts w:ascii="Arial" w:cs="Arial" w:eastAsia="Arial" w:hAnsi="Arial"/>
                <w:sz w:val="14"/>
                <w:szCs w:val="14"/>
                <w:color w:val="auto"/>
              </w:rPr>
              <w:t>4,459,575</w:t>
            </w:r>
          </w:p>
        </w:tc>
        <w:tc>
          <w:tcPr>
            <w:tcW w:w="0" w:type="dxa"/>
            <w:vAlign w:val="bottom"/>
          </w:tcPr>
          <w:p>
            <w:pPr>
              <w:spacing w:after="0"/>
              <w:rPr>
                <w:sz w:val="1"/>
                <w:szCs w:val="1"/>
                <w:color w:val="auto"/>
              </w:rPr>
            </w:pPr>
          </w:p>
        </w:tc>
      </w:tr>
      <w:tr>
        <w:trPr>
          <w:trHeight w:val="196"/>
        </w:trPr>
        <w:tc>
          <w:tcPr>
            <w:tcW w:w="840" w:type="dxa"/>
            <w:vAlign w:val="bottom"/>
            <w:tcBorders>
              <w:top w:val="single" w:sz="8" w:color="939599"/>
              <w:bottom w:val="single" w:sz="8" w:color="929292"/>
            </w:tcBorders>
            <w:shd w:val="clear" w:color="auto" w:fill="E5E6E6"/>
          </w:tcPr>
          <w:p>
            <w:pPr>
              <w:ind w:left="60"/>
              <w:spacing w:after="0"/>
              <w:rPr>
                <w:sz w:val="20"/>
                <w:szCs w:val="20"/>
                <w:color w:val="auto"/>
              </w:rPr>
            </w:pPr>
            <w:r>
              <w:rPr>
                <w:rFonts w:ascii="Arial" w:cs="Arial" w:eastAsia="Arial" w:hAnsi="Arial"/>
                <w:sz w:val="14"/>
                <w:szCs w:val="14"/>
                <w:color w:val="auto"/>
              </w:rPr>
              <w:t>2020</w:t>
            </w:r>
          </w:p>
        </w:tc>
        <w:tc>
          <w:tcPr>
            <w:tcW w:w="100" w:type="dxa"/>
            <w:vAlign w:val="bottom"/>
            <w:tcBorders>
              <w:right w:val="single" w:sz="8" w:color="E5E6E6"/>
            </w:tcBorders>
          </w:tcPr>
          <w:p>
            <w:pPr>
              <w:spacing w:after="0"/>
              <w:rPr>
                <w:sz w:val="17"/>
                <w:szCs w:val="17"/>
                <w:color w:val="auto"/>
              </w:rPr>
            </w:pPr>
          </w:p>
        </w:tc>
        <w:tc>
          <w:tcPr>
            <w:tcW w:w="1340" w:type="dxa"/>
            <w:vAlign w:val="bottom"/>
            <w:tcBorders>
              <w:top w:val="single" w:sz="8" w:color="939599"/>
              <w:bottom w:val="single" w:sz="8" w:color="929292"/>
            </w:tcBorders>
            <w:shd w:val="clear" w:color="auto" w:fill="E5E6E6"/>
          </w:tcPr>
          <w:p>
            <w:pPr>
              <w:jc w:val="right"/>
              <w:spacing w:after="0"/>
              <w:rPr>
                <w:sz w:val="20"/>
                <w:szCs w:val="20"/>
                <w:color w:val="auto"/>
              </w:rPr>
            </w:pPr>
            <w:r>
              <w:rPr>
                <w:rFonts w:ascii="Arial" w:cs="Arial" w:eastAsia="Arial" w:hAnsi="Arial"/>
                <w:sz w:val="14"/>
                <w:szCs w:val="14"/>
                <w:color w:val="auto"/>
              </w:rPr>
              <w:t>3,303,750</w:t>
            </w:r>
          </w:p>
        </w:tc>
        <w:tc>
          <w:tcPr>
            <w:tcW w:w="120" w:type="dxa"/>
            <w:vAlign w:val="bottom"/>
            <w:tcBorders>
              <w:right w:val="single" w:sz="8" w:color="E5E6E6"/>
            </w:tcBorders>
          </w:tcPr>
          <w:p>
            <w:pPr>
              <w:spacing w:after="0"/>
              <w:rPr>
                <w:sz w:val="17"/>
                <w:szCs w:val="17"/>
                <w:color w:val="auto"/>
              </w:rPr>
            </w:pPr>
          </w:p>
        </w:tc>
        <w:tc>
          <w:tcPr>
            <w:tcW w:w="1360" w:type="dxa"/>
            <w:vAlign w:val="bottom"/>
            <w:tcBorders>
              <w:top w:val="single" w:sz="8" w:color="939599"/>
              <w:bottom w:val="single" w:sz="8" w:color="929292"/>
            </w:tcBorders>
            <w:shd w:val="clear" w:color="auto" w:fill="E5E6E6"/>
          </w:tcPr>
          <w:p>
            <w:pPr>
              <w:jc w:val="right"/>
              <w:spacing w:after="0"/>
              <w:rPr>
                <w:sz w:val="20"/>
                <w:szCs w:val="20"/>
                <w:color w:val="auto"/>
              </w:rPr>
            </w:pPr>
            <w:r>
              <w:rPr>
                <w:rFonts w:ascii="Arial" w:cs="Arial" w:eastAsia="Arial" w:hAnsi="Arial"/>
                <w:sz w:val="14"/>
                <w:szCs w:val="14"/>
                <w:color w:val="auto"/>
              </w:rPr>
              <w:t>(2,286,236)</w:t>
            </w:r>
          </w:p>
        </w:tc>
        <w:tc>
          <w:tcPr>
            <w:tcW w:w="120" w:type="dxa"/>
            <w:vAlign w:val="bottom"/>
            <w:tcBorders>
              <w:right w:val="single" w:sz="8" w:color="E5E6E6"/>
            </w:tcBorders>
          </w:tcPr>
          <w:p>
            <w:pPr>
              <w:spacing w:after="0"/>
              <w:rPr>
                <w:sz w:val="17"/>
                <w:szCs w:val="17"/>
                <w:color w:val="auto"/>
              </w:rPr>
            </w:pPr>
          </w:p>
        </w:tc>
        <w:tc>
          <w:tcPr>
            <w:tcW w:w="1360" w:type="dxa"/>
            <w:vAlign w:val="bottom"/>
            <w:tcBorders>
              <w:top w:val="single" w:sz="8" w:color="939599"/>
              <w:bottom w:val="single" w:sz="8" w:color="929292"/>
            </w:tcBorders>
            <w:shd w:val="clear" w:color="auto" w:fill="E5E6E6"/>
          </w:tcPr>
          <w:p>
            <w:pPr>
              <w:jc w:val="right"/>
              <w:ind w:right="13"/>
              <w:spacing w:after="0"/>
              <w:rPr>
                <w:sz w:val="20"/>
                <w:szCs w:val="20"/>
                <w:color w:val="auto"/>
              </w:rPr>
            </w:pPr>
            <w:r>
              <w:rPr>
                <w:rFonts w:ascii="Arial" w:cs="Arial" w:eastAsia="Arial" w:hAnsi="Arial"/>
                <w:sz w:val="14"/>
                <w:szCs w:val="14"/>
                <w:color w:val="auto"/>
              </w:rPr>
              <w:t>2,404,204</w:t>
            </w:r>
          </w:p>
        </w:tc>
        <w:tc>
          <w:tcPr>
            <w:tcW w:w="100" w:type="dxa"/>
            <w:vAlign w:val="bottom"/>
            <w:tcBorders>
              <w:right w:val="single" w:sz="8" w:color="E5E6E6"/>
            </w:tcBorders>
          </w:tcPr>
          <w:p>
            <w:pPr>
              <w:spacing w:after="0"/>
              <w:rPr>
                <w:sz w:val="17"/>
                <w:szCs w:val="17"/>
                <w:color w:val="auto"/>
              </w:rPr>
            </w:pPr>
          </w:p>
        </w:tc>
        <w:tc>
          <w:tcPr>
            <w:tcW w:w="1360" w:type="dxa"/>
            <w:vAlign w:val="bottom"/>
            <w:tcBorders>
              <w:top w:val="single" w:sz="8" w:color="939599"/>
              <w:bottom w:val="single" w:sz="8" w:color="929292"/>
            </w:tcBorders>
            <w:shd w:val="clear" w:color="auto" w:fill="E5E6E6"/>
          </w:tcPr>
          <w:p>
            <w:pPr>
              <w:jc w:val="right"/>
              <w:spacing w:after="0"/>
              <w:rPr>
                <w:sz w:val="20"/>
                <w:szCs w:val="20"/>
                <w:color w:val="auto"/>
              </w:rPr>
            </w:pPr>
            <w:r>
              <w:rPr>
                <w:rFonts w:ascii="Arial" w:cs="Arial" w:eastAsia="Arial" w:hAnsi="Arial"/>
                <w:sz w:val="14"/>
                <w:szCs w:val="14"/>
                <w:color w:val="auto"/>
              </w:rPr>
              <w:t>57,229</w:t>
            </w:r>
          </w:p>
        </w:tc>
        <w:tc>
          <w:tcPr>
            <w:tcW w:w="120" w:type="dxa"/>
            <w:vAlign w:val="bottom"/>
            <w:tcBorders>
              <w:right w:val="single" w:sz="8" w:color="E5E6E6"/>
            </w:tcBorders>
          </w:tcPr>
          <w:p>
            <w:pPr>
              <w:spacing w:after="0"/>
              <w:rPr>
                <w:sz w:val="17"/>
                <w:szCs w:val="17"/>
                <w:color w:val="auto"/>
              </w:rPr>
            </w:pPr>
          </w:p>
        </w:tc>
        <w:tc>
          <w:tcPr>
            <w:tcW w:w="1360" w:type="dxa"/>
            <w:vAlign w:val="bottom"/>
            <w:tcBorders>
              <w:top w:val="single" w:sz="8" w:color="939599"/>
              <w:bottom w:val="single" w:sz="8" w:color="929292"/>
            </w:tcBorders>
            <w:shd w:val="clear" w:color="auto" w:fill="E5E6E6"/>
          </w:tcPr>
          <w:p>
            <w:pPr>
              <w:jc w:val="right"/>
              <w:ind w:right="15"/>
              <w:spacing w:after="0"/>
              <w:rPr>
                <w:sz w:val="20"/>
                <w:szCs w:val="20"/>
                <w:color w:val="auto"/>
              </w:rPr>
            </w:pPr>
            <w:r>
              <w:rPr>
                <w:rFonts w:ascii="Arial" w:cs="Arial" w:eastAsia="Arial" w:hAnsi="Arial"/>
                <w:sz w:val="14"/>
                <w:szCs w:val="14"/>
                <w:color w:val="auto"/>
              </w:rPr>
              <w:t>550,765</w:t>
            </w:r>
          </w:p>
        </w:tc>
        <w:tc>
          <w:tcPr>
            <w:tcW w:w="100" w:type="dxa"/>
            <w:vAlign w:val="bottom"/>
            <w:tcBorders>
              <w:right w:val="single" w:sz="8" w:color="E5E6E6"/>
            </w:tcBorders>
          </w:tcPr>
          <w:p>
            <w:pPr>
              <w:spacing w:after="0"/>
              <w:rPr>
                <w:sz w:val="17"/>
                <w:szCs w:val="17"/>
                <w:color w:val="auto"/>
              </w:rPr>
            </w:pPr>
          </w:p>
        </w:tc>
        <w:tc>
          <w:tcPr>
            <w:tcW w:w="1400" w:type="dxa"/>
            <w:vAlign w:val="bottom"/>
            <w:tcBorders>
              <w:top w:val="single" w:sz="8" w:color="939599"/>
              <w:bottom w:val="single" w:sz="8" w:color="929292"/>
            </w:tcBorders>
            <w:shd w:val="clear" w:color="auto" w:fill="E5E6E6"/>
          </w:tcPr>
          <w:p>
            <w:pPr>
              <w:ind w:left="1200"/>
              <w:spacing w:after="0"/>
              <w:rPr>
                <w:sz w:val="20"/>
                <w:szCs w:val="20"/>
                <w:color w:val="auto"/>
              </w:rPr>
            </w:pPr>
            <w:r>
              <w:rPr>
                <w:rFonts w:ascii="Arial" w:cs="Arial" w:eastAsia="Arial" w:hAnsi="Arial"/>
                <w:sz w:val="14"/>
                <w:szCs w:val="14"/>
                <w:color w:val="auto"/>
              </w:rPr>
              <w:t>—</w:t>
            </w:r>
          </w:p>
        </w:tc>
        <w:tc>
          <w:tcPr>
            <w:tcW w:w="120" w:type="dxa"/>
            <w:vAlign w:val="bottom"/>
            <w:tcBorders>
              <w:top w:val="single" w:sz="8" w:color="E5E6E6"/>
              <w:right w:val="single" w:sz="8" w:color="E6E7E8"/>
            </w:tcBorders>
            <w:shd w:val="clear" w:color="auto" w:fill="E5E6E6"/>
          </w:tcPr>
          <w:p>
            <w:pPr>
              <w:spacing w:after="0"/>
              <w:rPr>
                <w:sz w:val="17"/>
                <w:szCs w:val="17"/>
                <w:color w:val="auto"/>
              </w:rPr>
            </w:pPr>
          </w:p>
        </w:tc>
        <w:tc>
          <w:tcPr>
            <w:tcW w:w="1420" w:type="dxa"/>
            <w:vAlign w:val="bottom"/>
            <w:tcBorders>
              <w:top w:val="single" w:sz="8" w:color="939599"/>
              <w:bottom w:val="single" w:sz="8" w:color="929292"/>
            </w:tcBorders>
            <w:shd w:val="clear" w:color="auto" w:fill="E6E7E8"/>
          </w:tcPr>
          <w:p>
            <w:pPr>
              <w:jc w:val="right"/>
              <w:ind w:right="12"/>
              <w:spacing w:after="0"/>
              <w:rPr>
                <w:sz w:val="20"/>
                <w:szCs w:val="20"/>
                <w:color w:val="auto"/>
              </w:rPr>
            </w:pPr>
            <w:r>
              <w:rPr>
                <w:rFonts w:ascii="Arial" w:cs="Arial" w:eastAsia="Arial" w:hAnsi="Arial"/>
                <w:sz w:val="14"/>
                <w:szCs w:val="14"/>
                <w:color w:val="auto"/>
              </w:rPr>
              <w:t>4,029,712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42</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Executive Compensation Tables</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right="920"/>
        <w:spacing w:after="0" w:line="298" w:lineRule="auto"/>
        <w:rPr>
          <w:sz w:val="20"/>
          <w:szCs w:val="20"/>
          <w:color w:val="auto"/>
        </w:rPr>
      </w:pPr>
      <w:r>
        <w:rPr>
          <w:rFonts w:ascii="Arial" w:cs="Arial" w:eastAsia="Arial" w:hAnsi="Arial"/>
          <w:sz w:val="25"/>
          <w:szCs w:val="25"/>
          <w:b w:val="1"/>
          <w:bCs w:val="1"/>
          <w:color w:val="auto"/>
        </w:rPr>
        <w:t>Description of Certain Relationships between Information Presented in the Pay versus Performance Table</w:t>
      </w:r>
    </w:p>
    <w:p>
      <w:pPr>
        <w:spacing w:after="0" w:line="12" w:lineRule="exact"/>
        <w:rPr>
          <w:sz w:val="20"/>
          <w:szCs w:val="20"/>
          <w:color w:val="auto"/>
        </w:rPr>
      </w:pPr>
    </w:p>
    <w:p>
      <w:pPr>
        <w:jc w:val="both"/>
        <w:ind w:right="80"/>
        <w:spacing w:after="0" w:line="275" w:lineRule="auto"/>
        <w:rPr>
          <w:sz w:val="20"/>
          <w:szCs w:val="20"/>
          <w:color w:val="auto"/>
        </w:rPr>
      </w:pPr>
      <w:r>
        <w:rPr>
          <w:rFonts w:ascii="Arial" w:cs="Arial" w:eastAsia="Arial" w:hAnsi="Arial"/>
          <w:sz w:val="16"/>
          <w:szCs w:val="16"/>
          <w:color w:val="auto"/>
        </w:rPr>
        <w:t>In accordance with SEC rules, the Company is providing the following charts to show the relationship between the CAP for Mr. Bidzos and the average CAP for our other NEOs in comparison to the TSR for Verisign, the TSR for the S&amp;P 500 Information Technology Sector Index, our net income and our operating income, respectively, over the 5 year timeframe: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wp:posOffset>
            </wp:positionH>
            <wp:positionV relativeFrom="paragraph">
              <wp:posOffset>44450</wp:posOffset>
            </wp:positionV>
            <wp:extent cx="5915025" cy="38830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915025" cy="3883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Financial Performance Measures</w:t>
      </w:r>
    </w:p>
    <w:p>
      <w:pPr>
        <w:spacing w:after="0" w:line="141"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The following table sets forth the most important financial performance measures that were used in determining the NEOs compensation during the last fiscal year, as further described in the “Compensation Discussion and Analysis” section of this Proxy Statement.</w:t>
      </w:r>
    </w:p>
    <w:p>
      <w:pPr>
        <w:spacing w:after="0" w:line="84" w:lineRule="exact"/>
        <w:rPr>
          <w:sz w:val="20"/>
          <w:szCs w:val="20"/>
          <w:color w:val="auto"/>
        </w:rPr>
      </w:pPr>
    </w:p>
    <w:p>
      <w:pPr>
        <w:ind w:left="1740"/>
        <w:spacing w:after="0"/>
        <w:rPr>
          <w:sz w:val="20"/>
          <w:szCs w:val="20"/>
          <w:color w:val="auto"/>
        </w:rPr>
      </w:pPr>
      <w:r>
        <w:rPr>
          <w:rFonts w:ascii="Arial" w:cs="Arial" w:eastAsia="Arial" w:hAnsi="Arial"/>
          <w:sz w:val="13"/>
          <w:szCs w:val="13"/>
          <w:b w:val="1"/>
          <w:bCs w:val="1"/>
          <w:color w:val="auto"/>
        </w:rPr>
        <w:t>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250317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503170"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50317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CAGR of Operating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5031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503170" cy="1371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2503170" cy="137160"/>
                    </a:xfrm>
                    <a:prstGeom prst="rect">
                      <a:avLst/>
                    </a:prstGeom>
                    <a:noFill/>
                  </pic:spPr>
                </pic:pic>
              </a:graphicData>
            </a:graphic>
          </wp:anchor>
        </w:drawing>
      </w:r>
    </w:p>
    <w:p>
      <w:pPr>
        <w:spacing w:after="0" w:line="35"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Relative TSR vs. S&amp;P 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250317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200" w:lineRule="exact"/>
        <w:rPr>
          <w:sz w:val="20"/>
          <w:szCs w:val="20"/>
          <w:color w:val="auto"/>
        </w:rPr>
      </w:pPr>
    </w:p>
    <w:p>
      <w:pPr>
        <w:spacing w:after="0" w:line="240"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59"/>
          <w:szCs w:val="59"/>
          <w:color w:val="004A98"/>
        </w:rPr>
        <w:t>Compensation of Directors</w:t>
      </w:r>
    </w:p>
    <w:p>
      <w:pPr>
        <w:spacing w:after="0" w:line="335" w:lineRule="exact"/>
        <w:rPr>
          <w:sz w:val="20"/>
          <w:szCs w:val="20"/>
          <w:color w:val="auto"/>
        </w:rPr>
      </w:pPr>
    </w:p>
    <w:p>
      <w:pPr>
        <w:ind w:right="380"/>
        <w:spacing w:after="0" w:line="265" w:lineRule="auto"/>
        <w:rPr>
          <w:sz w:val="20"/>
          <w:szCs w:val="20"/>
          <w:color w:val="auto"/>
        </w:rPr>
      </w:pPr>
      <w:r>
        <w:rPr>
          <w:rFonts w:ascii="Arial" w:cs="Arial" w:eastAsia="Arial" w:hAnsi="Arial"/>
          <w:sz w:val="16"/>
          <w:szCs w:val="16"/>
          <w:color w:val="auto"/>
        </w:rPr>
        <w:t>This section provides information regarding our compensation policies for non-employee directors and amounts earned and securities awarded to these directors in 2024. Mr. Bidzos is our Executive Chairman, President and Chief Executive Officer. As an employee of our Company, Mr. Bidzos does not participate in our compensation program for non-employee directors, and he is compensated as an executive officer of our Company. Mr. Bidzos’ compensation is described in “Executive Compensation” elsewhere in this Proxy Statement.</w:t>
      </w:r>
    </w:p>
    <w:p>
      <w:pPr>
        <w:spacing w:after="0" w:line="265" w:lineRule="exact"/>
        <w:rPr>
          <w:sz w:val="20"/>
          <w:szCs w:val="20"/>
          <w:color w:val="auto"/>
        </w:rPr>
      </w:pPr>
    </w:p>
    <w:p>
      <w:pPr>
        <w:ind w:right="1320"/>
        <w:spacing w:after="0" w:line="295" w:lineRule="auto"/>
        <w:rPr>
          <w:sz w:val="20"/>
          <w:szCs w:val="20"/>
          <w:color w:val="auto"/>
        </w:rPr>
      </w:pPr>
      <w:r>
        <w:rPr>
          <w:rFonts w:ascii="Arial" w:cs="Arial" w:eastAsia="Arial" w:hAnsi="Arial"/>
          <w:sz w:val="32"/>
          <w:szCs w:val="32"/>
          <w:b w:val="1"/>
          <w:bCs w:val="1"/>
          <w:color w:val="004A98"/>
        </w:rPr>
        <w:t>Non-Employee Director Retainer Fees and Equity Compensation Information</w:t>
      </w:r>
    </w:p>
    <w:p>
      <w:pPr>
        <w:spacing w:after="0" w:line="3"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On July 23, 2024, the Compensation Committee met to review our overall non-employee director compensation program. As part of this review, the Compensation Committee received a report of competitive market data and compensation practices prepared by FW Cook for the same peer group it used to benchmark executive compensation. For information about the peer group, see “Executive Compensation—Compensation Discussion and Analysis” elsewhere in this Proxy Statement. The Compensation Committee sets director compensation levels at or near the market median relative to directors at companies in the peer group so that directors are paid competitively for their time commitment and responsibilities. Providing a competitive compensation package is important because it enables us to attract and retain highly qualified directors who are critical to our long-term success. Following the July 2024 review, including consideration of the recommendations made by FW Cook, the Compensation Committee determined that it was in the best interests of our Company and our stockholders (i) to increase the annual cash retainer for each non-employee director from $45,000 to $50,000; and (ii) to continue to make an annual equity award grant to each director of $250,000 (made solely in the form of RSUs), which vest immediately upon grant. Historically, new directors are granted an equity award equal to the pro rata amount of such annual equity award, the amount of which is determined based on the date of such new director’s appointment or election to the Board. Directors are subject to our stock retention policy as described in “Stock Ownership Information—Stock Ownership Policies.”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color w:val="auto"/>
        </w:rPr>
        <w:t>Non-employee directors received annual cash retainer fees for 2024 as follows:</w:t>
      </w:r>
    </w:p>
    <w:p>
      <w:pPr>
        <w:spacing w:after="0" w:line="150"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ANNUAL CASH RETAINER</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440" w:type="dxa"/>
            <w:vAlign w:val="bottom"/>
            <w:tcBorders>
              <w:top w:val="single" w:sz="8" w:color="auto"/>
              <w:bottom w:val="single" w:sz="8" w:color="939598"/>
            </w:tcBorders>
            <w:shd w:val="clear" w:color="auto" w:fill="E6E7E8"/>
          </w:tcPr>
          <w:p>
            <w:pPr>
              <w:ind w:left="20"/>
              <w:spacing w:after="0"/>
              <w:rPr>
                <w:sz w:val="20"/>
                <w:szCs w:val="20"/>
                <w:color w:val="auto"/>
              </w:rPr>
            </w:pPr>
            <w:r>
              <w:rPr>
                <w:rFonts w:ascii="Arial" w:cs="Arial" w:eastAsia="Arial" w:hAnsi="Arial"/>
                <w:sz w:val="16"/>
                <w:szCs w:val="16"/>
                <w:color w:val="auto"/>
              </w:rPr>
              <w:t>Non-Employee Director</w:t>
            </w:r>
          </w:p>
        </w:tc>
        <w:tc>
          <w:tcPr>
            <w:tcW w:w="100" w:type="dxa"/>
            <w:vAlign w:val="bottom"/>
            <w:tcBorders>
              <w:top w:val="single" w:sz="8" w:color="auto"/>
              <w:bottom w:val="single" w:sz="8" w:color="939598"/>
              <w:right w:val="single" w:sz="8" w:color="E6E7E8"/>
            </w:tcBorders>
            <w:shd w:val="clear" w:color="auto" w:fill="E6E7E8"/>
          </w:tcPr>
          <w:p>
            <w:pPr>
              <w:spacing w:after="0"/>
              <w:rPr>
                <w:sz w:val="18"/>
                <w:szCs w:val="18"/>
                <w:color w:val="auto"/>
              </w:rPr>
            </w:pPr>
          </w:p>
        </w:tc>
        <w:tc>
          <w:tcPr>
            <w:tcW w:w="1520" w:type="dxa"/>
            <w:vAlign w:val="bottom"/>
            <w:tcBorders>
              <w:top w:val="single" w:sz="8" w:color="auto"/>
              <w:bottom w:val="single" w:sz="8" w:color="939598"/>
            </w:tcBorders>
            <w:shd w:val="clear" w:color="auto" w:fill="E6E7E8"/>
          </w:tcPr>
          <w:p>
            <w:pPr>
              <w:spacing w:after="0"/>
              <w:rPr>
                <w:sz w:val="18"/>
                <w:szCs w:val="18"/>
                <w:color w:val="auto"/>
              </w:rPr>
            </w:pPr>
          </w:p>
        </w:tc>
        <w:tc>
          <w:tcPr>
            <w:tcW w:w="1180" w:type="dxa"/>
            <w:vAlign w:val="bottom"/>
            <w:tcBorders>
              <w:top w:val="single" w:sz="8" w:color="auto"/>
              <w:bottom w:val="single" w:sz="8" w:color="939598"/>
            </w:tcBorders>
            <w:gridSpan w:val="2"/>
            <w:shd w:val="clear" w:color="auto" w:fill="E6E7E8"/>
          </w:tcPr>
          <w:p>
            <w:pPr>
              <w:jc w:val="right"/>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355"/>
        </w:trPr>
        <w:tc>
          <w:tcPr>
            <w:tcW w:w="8440" w:type="dxa"/>
            <w:vAlign w:val="bottom"/>
            <w:tcBorders>
              <w:bottom w:val="single" w:sz="8" w:color="050505"/>
            </w:tcBorders>
          </w:tcPr>
          <w:p>
            <w:pPr>
              <w:ind w:left="20"/>
              <w:spacing w:after="0"/>
              <w:rPr>
                <w:sz w:val="20"/>
                <w:szCs w:val="20"/>
                <w:color w:val="auto"/>
              </w:rPr>
            </w:pPr>
            <w:r>
              <w:rPr>
                <w:rFonts w:ascii="Arial" w:cs="Arial" w:eastAsia="Arial" w:hAnsi="Arial"/>
                <w:sz w:val="13"/>
                <w:szCs w:val="13"/>
                <w:b w:val="1"/>
                <w:bCs w:val="1"/>
                <w:color w:val="auto"/>
              </w:rPr>
              <w:t>ADDITIONAL CASH RETAINERS</w:t>
            </w:r>
          </w:p>
        </w:tc>
        <w:tc>
          <w:tcPr>
            <w:tcW w:w="100" w:type="dxa"/>
            <w:vAlign w:val="bottom"/>
            <w:tcBorders>
              <w:bottom w:val="single" w:sz="8" w:color="050505"/>
            </w:tcBorders>
          </w:tcPr>
          <w:p>
            <w:pPr>
              <w:spacing w:after="0"/>
              <w:rPr>
                <w:sz w:val="24"/>
                <w:szCs w:val="24"/>
                <w:color w:val="auto"/>
              </w:rPr>
            </w:pPr>
          </w:p>
        </w:tc>
        <w:tc>
          <w:tcPr>
            <w:tcW w:w="1520" w:type="dxa"/>
            <w:vAlign w:val="bottom"/>
            <w:tcBorders>
              <w:bottom w:val="single" w:sz="8" w:color="050505"/>
            </w:tcBorders>
          </w:tcPr>
          <w:p>
            <w:pPr>
              <w:spacing w:after="0"/>
              <w:rPr>
                <w:sz w:val="24"/>
                <w:szCs w:val="24"/>
                <w:color w:val="auto"/>
              </w:rPr>
            </w:pPr>
          </w:p>
        </w:tc>
        <w:tc>
          <w:tcPr>
            <w:tcW w:w="120" w:type="dxa"/>
            <w:vAlign w:val="bottom"/>
            <w:tcBorders>
              <w:bottom w:val="single" w:sz="8" w:color="050505"/>
            </w:tcBorders>
          </w:tcPr>
          <w:p>
            <w:pPr>
              <w:spacing w:after="0"/>
              <w:rPr>
                <w:sz w:val="24"/>
                <w:szCs w:val="24"/>
                <w:color w:val="auto"/>
              </w:rPr>
            </w:pPr>
          </w:p>
        </w:tc>
        <w:tc>
          <w:tcPr>
            <w:tcW w:w="1060" w:type="dxa"/>
            <w:vAlign w:val="bottom"/>
            <w:tcBorders>
              <w:bottom w:val="single" w:sz="8" w:color="050505"/>
            </w:tcBorders>
          </w:tcPr>
          <w:p>
            <w:pPr>
              <w:spacing w:after="0"/>
              <w:rPr>
                <w:sz w:val="24"/>
                <w:szCs w:val="24"/>
                <w:color w:val="auto"/>
              </w:rPr>
            </w:pPr>
          </w:p>
        </w:tc>
        <w:tc>
          <w:tcPr>
            <w:tcW w:w="0" w:type="dxa"/>
            <w:vAlign w:val="bottom"/>
          </w:tcPr>
          <w:p>
            <w:pPr>
              <w:spacing w:after="0"/>
              <w:rPr>
                <w:sz w:val="1"/>
                <w:szCs w:val="1"/>
                <w:color w:val="auto"/>
              </w:rPr>
            </w:pPr>
          </w:p>
        </w:tc>
      </w:tr>
      <w:tr>
        <w:trPr>
          <w:trHeight w:val="322"/>
        </w:trPr>
        <w:tc>
          <w:tcPr>
            <w:tcW w:w="8440" w:type="dxa"/>
            <w:vAlign w:val="bottom"/>
            <w:tcBorders>
              <w:bottom w:val="single" w:sz="8" w:color="939598"/>
            </w:tcBorders>
            <w:shd w:val="clear" w:color="auto" w:fill="E6E7E8"/>
          </w:tcPr>
          <w:p>
            <w:pPr>
              <w:ind w:left="20"/>
              <w:spacing w:after="0"/>
              <w:rPr>
                <w:sz w:val="20"/>
                <w:szCs w:val="20"/>
                <w:color w:val="auto"/>
              </w:rPr>
            </w:pPr>
            <w:r>
              <w:rPr>
                <w:rFonts w:ascii="Arial" w:cs="Arial" w:eastAsia="Arial" w:hAnsi="Arial"/>
                <w:sz w:val="16"/>
                <w:szCs w:val="16"/>
                <w:color w:val="auto"/>
              </w:rPr>
              <w:t xml:space="preserve">Non-Executive Chairman of the Board </w:t>
            </w:r>
            <w:r>
              <w:rPr>
                <w:rFonts w:ascii="Arial" w:cs="Arial" w:eastAsia="Arial" w:hAnsi="Arial"/>
                <w:sz w:val="21"/>
                <w:szCs w:val="21"/>
                <w:color w:val="auto"/>
                <w:vertAlign w:val="superscript"/>
              </w:rPr>
              <w:t>(1)</w:t>
            </w:r>
          </w:p>
        </w:tc>
        <w:tc>
          <w:tcPr>
            <w:tcW w:w="100" w:type="dxa"/>
            <w:vAlign w:val="bottom"/>
            <w:tcBorders>
              <w:bottom w:val="single" w:sz="8" w:color="939598"/>
              <w:right w:val="single" w:sz="8" w:color="E6E7E8"/>
            </w:tcBorders>
            <w:shd w:val="clear" w:color="auto" w:fill="E6E7E8"/>
          </w:tcPr>
          <w:p>
            <w:pPr>
              <w:spacing w:after="0"/>
              <w:rPr>
                <w:sz w:val="24"/>
                <w:szCs w:val="24"/>
                <w:color w:val="auto"/>
              </w:rPr>
            </w:pPr>
          </w:p>
        </w:tc>
        <w:tc>
          <w:tcPr>
            <w:tcW w:w="1520" w:type="dxa"/>
            <w:vAlign w:val="bottom"/>
            <w:tcBorders>
              <w:bottom w:val="single" w:sz="8" w:color="939598"/>
            </w:tcBorders>
            <w:shd w:val="clear" w:color="auto" w:fill="E6E7E8"/>
          </w:tcPr>
          <w:p>
            <w:pPr>
              <w:spacing w:after="0"/>
              <w:rPr>
                <w:sz w:val="24"/>
                <w:szCs w:val="24"/>
                <w:color w:val="auto"/>
              </w:rPr>
            </w:pPr>
          </w:p>
        </w:tc>
        <w:tc>
          <w:tcPr>
            <w:tcW w:w="1180" w:type="dxa"/>
            <w:vAlign w:val="bottom"/>
            <w:tcBorders>
              <w:bottom w:val="single" w:sz="8" w:color="939598"/>
            </w:tcBorders>
            <w:gridSpan w:val="2"/>
            <w:shd w:val="clear" w:color="auto" w:fill="E6E7E8"/>
          </w:tcPr>
          <w:p>
            <w:pPr>
              <w:jc w:val="right"/>
              <w:ind w:right="3"/>
              <w:spacing w:after="0"/>
              <w:rPr>
                <w:sz w:val="20"/>
                <w:szCs w:val="20"/>
                <w:color w:val="auto"/>
              </w:rPr>
            </w:pPr>
            <w:r>
              <w:rPr>
                <w:rFonts w:ascii="Arial" w:cs="Arial" w:eastAsia="Arial" w:hAnsi="Arial"/>
                <w:sz w:val="16"/>
                <w:szCs w:val="16"/>
                <w:color w:val="auto"/>
              </w:rPr>
              <w:t>$100,000</w:t>
            </w:r>
          </w:p>
        </w:tc>
        <w:tc>
          <w:tcPr>
            <w:tcW w:w="0" w:type="dxa"/>
            <w:vAlign w:val="bottom"/>
          </w:tcPr>
          <w:p>
            <w:pPr>
              <w:spacing w:after="0"/>
              <w:rPr>
                <w:sz w:val="1"/>
                <w:szCs w:val="1"/>
                <w:color w:val="auto"/>
              </w:rPr>
            </w:pPr>
          </w:p>
        </w:tc>
      </w:tr>
      <w:tr>
        <w:trPr>
          <w:trHeight w:val="209"/>
        </w:trPr>
        <w:tc>
          <w:tcPr>
            <w:tcW w:w="844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Lead Independent Director</w:t>
            </w:r>
          </w:p>
        </w:tc>
        <w:tc>
          <w:tcPr>
            <w:tcW w:w="100" w:type="dxa"/>
            <w:vAlign w:val="bottom"/>
            <w:tcBorders>
              <w:bottom w:val="single" w:sz="8" w:color="939598"/>
            </w:tcBorders>
          </w:tcPr>
          <w:p>
            <w:pPr>
              <w:spacing w:after="0"/>
              <w:rPr>
                <w:sz w:val="18"/>
                <w:szCs w:val="18"/>
                <w:color w:val="auto"/>
              </w:rPr>
            </w:pPr>
          </w:p>
        </w:tc>
        <w:tc>
          <w:tcPr>
            <w:tcW w:w="1520" w:type="dxa"/>
            <w:vAlign w:val="bottom"/>
            <w:tcBorders>
              <w:bottom w:val="single" w:sz="8" w:color="939598"/>
            </w:tcBorders>
          </w:tcPr>
          <w:p>
            <w:pPr>
              <w:spacing w:after="0"/>
              <w:rPr>
                <w:sz w:val="18"/>
                <w:szCs w:val="18"/>
                <w:color w:val="auto"/>
              </w:rPr>
            </w:pPr>
          </w:p>
        </w:tc>
        <w:tc>
          <w:tcPr>
            <w:tcW w:w="1180" w:type="dxa"/>
            <w:vAlign w:val="bottom"/>
            <w:tcBorders>
              <w:bottom w:val="single" w:sz="8" w:color="939598"/>
            </w:tcBorders>
            <w:gridSpan w:val="2"/>
          </w:tcPr>
          <w:p>
            <w:pPr>
              <w:jc w:val="right"/>
              <w:ind w:right="3"/>
              <w:spacing w:after="0"/>
              <w:rPr>
                <w:sz w:val="20"/>
                <w:szCs w:val="20"/>
                <w:color w:val="auto"/>
              </w:rPr>
            </w:pPr>
            <w:r>
              <w:rPr>
                <w:rFonts w:ascii="Arial" w:cs="Arial" w:eastAsia="Arial" w:hAnsi="Arial"/>
                <w:sz w:val="16"/>
                <w:szCs w:val="16"/>
                <w:color w:val="auto"/>
              </w:rPr>
              <w:t>$50,000</w:t>
            </w:r>
          </w:p>
        </w:tc>
        <w:tc>
          <w:tcPr>
            <w:tcW w:w="0" w:type="dxa"/>
            <w:vAlign w:val="bottom"/>
          </w:tcPr>
          <w:p>
            <w:pPr>
              <w:spacing w:after="0"/>
              <w:rPr>
                <w:sz w:val="1"/>
                <w:szCs w:val="1"/>
                <w:color w:val="auto"/>
              </w:rPr>
            </w:pPr>
          </w:p>
        </w:tc>
      </w:tr>
      <w:tr>
        <w:trPr>
          <w:trHeight w:val="250"/>
        </w:trPr>
        <w:tc>
          <w:tcPr>
            <w:tcW w:w="8440" w:type="dxa"/>
            <w:vAlign w:val="bottom"/>
            <w:tcBorders>
              <w:bottom w:val="single" w:sz="8" w:color="939598"/>
            </w:tcBorders>
            <w:shd w:val="clear" w:color="auto" w:fill="E6E7E8"/>
          </w:tcPr>
          <w:p>
            <w:pPr>
              <w:ind w:left="20"/>
              <w:spacing w:after="0"/>
              <w:rPr>
                <w:sz w:val="20"/>
                <w:szCs w:val="20"/>
                <w:color w:val="auto"/>
              </w:rPr>
            </w:pPr>
            <w:r>
              <w:rPr>
                <w:rFonts w:ascii="Arial" w:cs="Arial" w:eastAsia="Arial" w:hAnsi="Arial"/>
                <w:sz w:val="16"/>
                <w:szCs w:val="16"/>
                <w:color w:val="auto"/>
              </w:rPr>
              <w:t>Safety and Security Council Liaison</w:t>
            </w:r>
          </w:p>
        </w:tc>
        <w:tc>
          <w:tcPr>
            <w:tcW w:w="100" w:type="dxa"/>
            <w:vAlign w:val="bottom"/>
            <w:tcBorders>
              <w:bottom w:val="single" w:sz="8" w:color="939598"/>
              <w:right w:val="single" w:sz="8" w:color="E6E7E8"/>
            </w:tcBorders>
            <w:shd w:val="clear" w:color="auto" w:fill="E6E7E8"/>
          </w:tcPr>
          <w:p>
            <w:pPr>
              <w:spacing w:after="0"/>
              <w:rPr>
                <w:sz w:val="21"/>
                <w:szCs w:val="21"/>
                <w:color w:val="auto"/>
              </w:rPr>
            </w:pPr>
          </w:p>
        </w:tc>
        <w:tc>
          <w:tcPr>
            <w:tcW w:w="1520" w:type="dxa"/>
            <w:vAlign w:val="bottom"/>
            <w:tcBorders>
              <w:bottom w:val="single" w:sz="8" w:color="939598"/>
            </w:tcBorders>
            <w:shd w:val="clear" w:color="auto" w:fill="E6E7E8"/>
          </w:tcPr>
          <w:p>
            <w:pPr>
              <w:spacing w:after="0"/>
              <w:rPr>
                <w:sz w:val="21"/>
                <w:szCs w:val="21"/>
                <w:color w:val="auto"/>
              </w:rPr>
            </w:pPr>
          </w:p>
        </w:tc>
        <w:tc>
          <w:tcPr>
            <w:tcW w:w="1180" w:type="dxa"/>
            <w:vAlign w:val="bottom"/>
            <w:tcBorders>
              <w:bottom w:val="single" w:sz="8" w:color="939598"/>
            </w:tcBorders>
            <w:gridSpan w:val="2"/>
            <w:shd w:val="clear" w:color="auto" w:fill="E6E7E8"/>
          </w:tcPr>
          <w:p>
            <w:pPr>
              <w:jc w:val="right"/>
              <w:ind w:right="3"/>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184"/>
        </w:trPr>
        <w:tc>
          <w:tcPr>
            <w:tcW w:w="844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ADDITIONAL CASH RETAINERS FOR COMMITTEE SERVICE</w:t>
            </w:r>
          </w:p>
        </w:tc>
        <w:tc>
          <w:tcPr>
            <w:tcW w:w="100" w:type="dxa"/>
            <w:vAlign w:val="bottom"/>
          </w:tcPr>
          <w:p>
            <w:pPr>
              <w:spacing w:after="0"/>
              <w:rPr>
                <w:sz w:val="15"/>
                <w:szCs w:val="15"/>
                <w:color w:val="auto"/>
              </w:rPr>
            </w:pPr>
          </w:p>
        </w:tc>
        <w:tc>
          <w:tcPr>
            <w:tcW w:w="1520" w:type="dxa"/>
            <w:vAlign w:val="bottom"/>
            <w:vMerge w:val="restart"/>
          </w:tcPr>
          <w:p>
            <w:pPr>
              <w:jc w:val="right"/>
              <w:spacing w:after="0"/>
              <w:rPr>
                <w:sz w:val="20"/>
                <w:szCs w:val="20"/>
                <w:color w:val="auto"/>
              </w:rPr>
            </w:pPr>
            <w:r>
              <w:rPr>
                <w:rFonts w:ascii="Arial" w:cs="Arial" w:eastAsia="Arial" w:hAnsi="Arial"/>
                <w:sz w:val="13"/>
                <w:szCs w:val="13"/>
                <w:b w:val="1"/>
                <w:bCs w:val="1"/>
                <w:color w:val="auto"/>
              </w:rPr>
              <w:t>CHAIRPERSON</w:t>
            </w:r>
            <w:r>
              <w:rPr>
                <w:rFonts w:ascii="Arial" w:cs="Arial" w:eastAsia="Arial" w:hAnsi="Arial"/>
                <w:sz w:val="16"/>
                <w:szCs w:val="16"/>
                <w:b w:val="1"/>
                <w:bCs w:val="1"/>
                <w:color w:val="auto"/>
                <w:vertAlign w:val="superscript"/>
              </w:rPr>
              <w:t>(2)</w:t>
            </w:r>
          </w:p>
        </w:tc>
        <w:tc>
          <w:tcPr>
            <w:tcW w:w="120" w:type="dxa"/>
            <w:vAlign w:val="bottom"/>
          </w:tcPr>
          <w:p>
            <w:pPr>
              <w:spacing w:after="0"/>
              <w:rPr>
                <w:sz w:val="15"/>
                <w:szCs w:val="15"/>
                <w:color w:val="auto"/>
              </w:rPr>
            </w:pPr>
          </w:p>
        </w:tc>
        <w:tc>
          <w:tcPr>
            <w:tcW w:w="1060" w:type="dxa"/>
            <w:vAlign w:val="bottom"/>
            <w:vMerge w:val="restart"/>
          </w:tcPr>
          <w:p>
            <w:pPr>
              <w:jc w:val="right"/>
              <w:ind w:right="3"/>
              <w:spacing w:after="0"/>
              <w:rPr>
                <w:sz w:val="20"/>
                <w:szCs w:val="20"/>
                <w:color w:val="auto"/>
              </w:rPr>
            </w:pPr>
            <w:r>
              <w:rPr>
                <w:rFonts w:ascii="Arial" w:cs="Arial" w:eastAsia="Arial" w:hAnsi="Arial"/>
                <w:sz w:val="13"/>
                <w:szCs w:val="13"/>
                <w:b w:val="1"/>
                <w:bCs w:val="1"/>
                <w:color w:val="auto"/>
              </w:rPr>
              <w:t>MEMBER</w:t>
            </w:r>
          </w:p>
        </w:tc>
        <w:tc>
          <w:tcPr>
            <w:tcW w:w="0" w:type="dxa"/>
            <w:vAlign w:val="bottom"/>
          </w:tcPr>
          <w:p>
            <w:pPr>
              <w:spacing w:after="0"/>
              <w:rPr>
                <w:sz w:val="1"/>
                <w:szCs w:val="1"/>
                <w:color w:val="auto"/>
              </w:rPr>
            </w:pPr>
          </w:p>
        </w:tc>
      </w:tr>
      <w:tr>
        <w:trPr>
          <w:trHeight w:val="180"/>
        </w:trPr>
        <w:tc>
          <w:tcPr>
            <w:tcW w:w="8440" w:type="dxa"/>
            <w:vAlign w:val="bottom"/>
            <w:tcBorders>
              <w:bottom w:val="single" w:sz="8" w:color="auto"/>
            </w:tcBorders>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1520" w:type="dxa"/>
            <w:vAlign w:val="bottom"/>
            <w:tcBorders>
              <w:bottom w:val="single" w:sz="8" w:color="auto"/>
            </w:tcBorders>
            <w:vMerge w:val="continue"/>
          </w:tcPr>
          <w:p>
            <w:pPr>
              <w:spacing w:after="0"/>
              <w:rPr>
                <w:sz w:val="15"/>
                <w:szCs w:val="15"/>
                <w:color w:val="auto"/>
              </w:rPr>
            </w:pPr>
          </w:p>
        </w:tc>
        <w:tc>
          <w:tcPr>
            <w:tcW w:w="120" w:type="dxa"/>
            <w:vAlign w:val="bottom"/>
            <w:tcBorders>
              <w:right w:val="single" w:sz="8" w:color="auto"/>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440" w:type="dxa"/>
            <w:vAlign w:val="bottom"/>
            <w:tcBorders>
              <w:bottom w:val="single" w:sz="8" w:color="939598"/>
            </w:tcBorders>
            <w:shd w:val="clear" w:color="auto" w:fill="E6E7E8"/>
          </w:tcPr>
          <w:p>
            <w:pPr>
              <w:ind w:left="20"/>
              <w:spacing w:after="0"/>
              <w:rPr>
                <w:sz w:val="20"/>
                <w:szCs w:val="20"/>
                <w:color w:val="auto"/>
              </w:rPr>
            </w:pPr>
            <w:r>
              <w:rPr>
                <w:rFonts w:ascii="Arial" w:cs="Arial" w:eastAsia="Arial" w:hAnsi="Arial"/>
                <w:sz w:val="16"/>
                <w:szCs w:val="16"/>
                <w:color w:val="auto"/>
              </w:rPr>
              <w:t>Audit</w:t>
            </w:r>
          </w:p>
        </w:tc>
        <w:tc>
          <w:tcPr>
            <w:tcW w:w="100" w:type="dxa"/>
            <w:vAlign w:val="bottom"/>
            <w:tcBorders>
              <w:right w:val="single" w:sz="8" w:color="E6E7E8"/>
            </w:tcBorders>
          </w:tcPr>
          <w:p>
            <w:pPr>
              <w:spacing w:after="0"/>
              <w:rPr>
                <w:sz w:val="18"/>
                <w:szCs w:val="18"/>
                <w:color w:val="auto"/>
              </w:rPr>
            </w:pPr>
          </w:p>
        </w:tc>
        <w:tc>
          <w:tcPr>
            <w:tcW w:w="15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Borders>
              <w:right w:val="single" w:sz="8" w:color="E6E7E8"/>
            </w:tcBorders>
          </w:tcPr>
          <w:p>
            <w:pPr>
              <w:spacing w:after="0"/>
              <w:rPr>
                <w:sz w:val="18"/>
                <w:szCs w:val="18"/>
                <w:color w:val="auto"/>
              </w:rPr>
            </w:pPr>
          </w:p>
        </w:tc>
        <w:tc>
          <w:tcPr>
            <w:tcW w:w="1060" w:type="dxa"/>
            <w:vAlign w:val="bottom"/>
            <w:tcBorders>
              <w:bottom w:val="single" w:sz="8" w:color="939598"/>
            </w:tcBorders>
            <w:shd w:val="clear" w:color="auto" w:fill="E6E7E8"/>
          </w:tcPr>
          <w:p>
            <w:pPr>
              <w:jc w:val="right"/>
              <w:ind w:right="3"/>
              <w:spacing w:after="0"/>
              <w:rPr>
                <w:sz w:val="20"/>
                <w:szCs w:val="20"/>
                <w:color w:val="auto"/>
              </w:rPr>
            </w:pPr>
            <w:r>
              <w:rPr>
                <w:rFonts w:ascii="Arial" w:cs="Arial" w:eastAsia="Arial" w:hAnsi="Arial"/>
                <w:sz w:val="16"/>
                <w:szCs w:val="16"/>
                <w:color w:val="auto"/>
              </w:rPr>
              <w:t>$25,000</w:t>
            </w:r>
          </w:p>
        </w:tc>
        <w:tc>
          <w:tcPr>
            <w:tcW w:w="0" w:type="dxa"/>
            <w:vAlign w:val="bottom"/>
          </w:tcPr>
          <w:p>
            <w:pPr>
              <w:spacing w:after="0"/>
              <w:rPr>
                <w:sz w:val="1"/>
                <w:szCs w:val="1"/>
                <w:color w:val="auto"/>
              </w:rPr>
            </w:pPr>
          </w:p>
        </w:tc>
      </w:tr>
      <w:tr>
        <w:trPr>
          <w:trHeight w:val="210"/>
        </w:trPr>
        <w:tc>
          <w:tcPr>
            <w:tcW w:w="844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Compensation</w:t>
            </w:r>
          </w:p>
        </w:tc>
        <w:tc>
          <w:tcPr>
            <w:tcW w:w="100" w:type="dxa"/>
            <w:vAlign w:val="bottom"/>
          </w:tcPr>
          <w:p>
            <w:pPr>
              <w:spacing w:after="0"/>
              <w:rPr>
                <w:sz w:val="18"/>
                <w:szCs w:val="18"/>
                <w:color w:val="auto"/>
              </w:rPr>
            </w:pPr>
          </w:p>
        </w:tc>
        <w:tc>
          <w:tcPr>
            <w:tcW w:w="15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18"/>
                <w:szCs w:val="18"/>
                <w:color w:val="auto"/>
              </w:rPr>
            </w:pPr>
          </w:p>
        </w:tc>
        <w:tc>
          <w:tcPr>
            <w:tcW w:w="1060" w:type="dxa"/>
            <w:vAlign w:val="bottom"/>
            <w:tcBorders>
              <w:bottom w:val="single" w:sz="8" w:color="939598"/>
            </w:tcBorders>
          </w:tcPr>
          <w:p>
            <w:pPr>
              <w:jc w:val="right"/>
              <w:ind w:right="3"/>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210"/>
        </w:trPr>
        <w:tc>
          <w:tcPr>
            <w:tcW w:w="8440" w:type="dxa"/>
            <w:vAlign w:val="bottom"/>
            <w:tcBorders>
              <w:bottom w:val="single" w:sz="8" w:color="939598"/>
            </w:tcBorders>
            <w:shd w:val="clear" w:color="auto" w:fill="E6E7E8"/>
          </w:tcPr>
          <w:p>
            <w:pPr>
              <w:ind w:left="20"/>
              <w:spacing w:after="0"/>
              <w:rPr>
                <w:sz w:val="20"/>
                <w:szCs w:val="20"/>
                <w:color w:val="auto"/>
              </w:rPr>
            </w:pPr>
            <w:r>
              <w:rPr>
                <w:rFonts w:ascii="Arial" w:cs="Arial" w:eastAsia="Arial" w:hAnsi="Arial"/>
                <w:sz w:val="16"/>
                <w:szCs w:val="16"/>
                <w:color w:val="auto"/>
              </w:rPr>
              <w:t>Corporate Governance and Nominating</w:t>
            </w:r>
          </w:p>
        </w:tc>
        <w:tc>
          <w:tcPr>
            <w:tcW w:w="100" w:type="dxa"/>
            <w:vAlign w:val="bottom"/>
            <w:tcBorders>
              <w:right w:val="single" w:sz="8" w:color="E6E7E8"/>
            </w:tcBorders>
          </w:tcPr>
          <w:p>
            <w:pPr>
              <w:spacing w:after="0"/>
              <w:rPr>
                <w:sz w:val="18"/>
                <w:szCs w:val="18"/>
                <w:color w:val="auto"/>
              </w:rPr>
            </w:pPr>
          </w:p>
        </w:tc>
        <w:tc>
          <w:tcPr>
            <w:tcW w:w="1520" w:type="dxa"/>
            <w:vAlign w:val="bottom"/>
            <w:tcBorders>
              <w:bottom w:val="single" w:sz="8" w:color="939598"/>
            </w:tcBorders>
            <w:shd w:val="clear" w:color="auto" w:fill="E6E7E8"/>
          </w:tcPr>
          <w:p>
            <w:pPr>
              <w:jc w:val="right"/>
              <w:spacing w:after="0"/>
              <w:rPr>
                <w:sz w:val="20"/>
                <w:szCs w:val="20"/>
                <w:color w:val="auto"/>
              </w:rPr>
            </w:pPr>
            <w:r>
              <w:rPr>
                <w:rFonts w:ascii="Arial" w:cs="Arial" w:eastAsia="Arial" w:hAnsi="Arial"/>
                <w:sz w:val="16"/>
                <w:szCs w:val="16"/>
                <w:color w:val="auto"/>
              </w:rPr>
              <w:t>$15,000</w:t>
            </w:r>
          </w:p>
        </w:tc>
        <w:tc>
          <w:tcPr>
            <w:tcW w:w="120" w:type="dxa"/>
            <w:vAlign w:val="bottom"/>
            <w:tcBorders>
              <w:right w:val="single" w:sz="8" w:color="E6E7E8"/>
            </w:tcBorders>
          </w:tcPr>
          <w:p>
            <w:pPr>
              <w:spacing w:after="0"/>
              <w:rPr>
                <w:sz w:val="18"/>
                <w:szCs w:val="18"/>
                <w:color w:val="auto"/>
              </w:rPr>
            </w:pPr>
          </w:p>
        </w:tc>
        <w:tc>
          <w:tcPr>
            <w:tcW w:w="1060" w:type="dxa"/>
            <w:vAlign w:val="bottom"/>
            <w:tcBorders>
              <w:bottom w:val="single" w:sz="8" w:color="939598"/>
            </w:tcBorders>
            <w:shd w:val="clear" w:color="auto" w:fill="E6E7E8"/>
          </w:tcPr>
          <w:p>
            <w:pPr>
              <w:jc w:val="right"/>
              <w:ind w:right="3"/>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31"/>
        </w:trPr>
        <w:tc>
          <w:tcPr>
            <w:tcW w:w="8440" w:type="dxa"/>
            <w:vAlign w:val="bottom"/>
            <w:tcBorders>
              <w:bottom w:val="single" w:sz="8" w:color="939598"/>
            </w:tcBorders>
          </w:tcPr>
          <w:p>
            <w:pPr>
              <w:ind w:left="20"/>
              <w:spacing w:after="0"/>
              <w:rPr>
                <w:sz w:val="20"/>
                <w:szCs w:val="20"/>
                <w:color w:val="auto"/>
              </w:rPr>
            </w:pPr>
            <w:r>
              <w:rPr>
                <w:rFonts w:ascii="Arial" w:cs="Arial" w:eastAsia="Arial" w:hAnsi="Arial"/>
                <w:sz w:val="16"/>
                <w:szCs w:val="16"/>
                <w:color w:val="auto"/>
              </w:rPr>
              <w:t>Cybersecurity</w:t>
            </w:r>
          </w:p>
        </w:tc>
        <w:tc>
          <w:tcPr>
            <w:tcW w:w="100" w:type="dxa"/>
            <w:vAlign w:val="bottom"/>
          </w:tcPr>
          <w:p>
            <w:pPr>
              <w:spacing w:after="0"/>
              <w:rPr>
                <w:sz w:val="20"/>
                <w:szCs w:val="20"/>
                <w:color w:val="auto"/>
              </w:rPr>
            </w:pPr>
          </w:p>
        </w:tc>
        <w:tc>
          <w:tcPr>
            <w:tcW w:w="1520" w:type="dxa"/>
            <w:vAlign w:val="bottom"/>
            <w:tcBorders>
              <w:bottom w:val="single" w:sz="8" w:color="939598"/>
            </w:tcBorders>
          </w:tcPr>
          <w:p>
            <w:pPr>
              <w:jc w:val="right"/>
              <w:spacing w:after="0"/>
              <w:rPr>
                <w:sz w:val="20"/>
                <w:szCs w:val="20"/>
                <w:color w:val="auto"/>
              </w:rPr>
            </w:pPr>
            <w:r>
              <w:rPr>
                <w:rFonts w:ascii="Arial" w:cs="Arial" w:eastAsia="Arial" w:hAnsi="Arial"/>
                <w:sz w:val="16"/>
                <w:szCs w:val="16"/>
                <w:color w:val="auto"/>
              </w:rPr>
              <w:t>$10,000</w:t>
            </w:r>
          </w:p>
        </w:tc>
        <w:tc>
          <w:tcPr>
            <w:tcW w:w="120" w:type="dxa"/>
            <w:vAlign w:val="bottom"/>
          </w:tcPr>
          <w:p>
            <w:pPr>
              <w:spacing w:after="0"/>
              <w:rPr>
                <w:sz w:val="20"/>
                <w:szCs w:val="20"/>
                <w:color w:val="auto"/>
              </w:rPr>
            </w:pPr>
          </w:p>
        </w:tc>
        <w:tc>
          <w:tcPr>
            <w:tcW w:w="1060" w:type="dxa"/>
            <w:vAlign w:val="bottom"/>
            <w:tcBorders>
              <w:bottom w:val="single" w:sz="8" w:color="939598"/>
            </w:tcBorders>
          </w:tcPr>
          <w:p>
            <w:pPr>
              <w:jc w:val="right"/>
              <w:ind w:right="3"/>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280" w:hanging="272"/>
        <w:spacing w:after="0"/>
        <w:tabs>
          <w:tab w:leader="none" w:pos="280" w:val="left"/>
        </w:tabs>
        <w:numPr>
          <w:ilvl w:val="0"/>
          <w:numId w:val="48"/>
        </w:numPr>
        <w:rPr>
          <w:rFonts w:ascii="Arial" w:cs="Arial" w:eastAsia="Arial" w:hAnsi="Arial"/>
          <w:sz w:val="19"/>
          <w:szCs w:val="19"/>
          <w:color w:val="auto"/>
          <w:vertAlign w:val="superscript"/>
        </w:rPr>
      </w:pPr>
      <w:r>
        <w:rPr>
          <w:rFonts w:ascii="Arial" w:cs="Arial" w:eastAsia="Arial" w:hAnsi="Arial"/>
          <w:sz w:val="14"/>
          <w:szCs w:val="14"/>
          <w:color w:val="auto"/>
        </w:rPr>
        <w:t>The position of “Non-Executive Chairman of the Board” was not held during 2024, and as such no annual retainer fees were paid during this period.</w:t>
      </w:r>
    </w:p>
    <w:p>
      <w:pPr>
        <w:spacing w:after="0" w:line="57" w:lineRule="exact"/>
        <w:rPr>
          <w:rFonts w:ascii="Arial" w:cs="Arial" w:eastAsia="Arial" w:hAnsi="Arial"/>
          <w:sz w:val="19"/>
          <w:szCs w:val="19"/>
          <w:color w:val="auto"/>
          <w:vertAlign w:val="superscript"/>
        </w:rPr>
      </w:pPr>
    </w:p>
    <w:p>
      <w:pPr>
        <w:ind w:left="280" w:hanging="272"/>
        <w:spacing w:after="0" w:line="204" w:lineRule="auto"/>
        <w:tabs>
          <w:tab w:leader="none" w:pos="280" w:val="left"/>
        </w:tabs>
        <w:numPr>
          <w:ilvl w:val="0"/>
          <w:numId w:val="48"/>
        </w:numPr>
        <w:rPr>
          <w:rFonts w:ascii="Arial" w:cs="Arial" w:eastAsia="Arial" w:hAnsi="Arial"/>
          <w:sz w:val="19"/>
          <w:szCs w:val="19"/>
          <w:color w:val="auto"/>
          <w:vertAlign w:val="superscript"/>
        </w:rPr>
      </w:pPr>
      <w:r>
        <w:rPr>
          <w:rFonts w:ascii="Arial" w:cs="Arial" w:eastAsia="Arial" w:hAnsi="Arial"/>
          <w:sz w:val="14"/>
          <w:szCs w:val="14"/>
          <w:color w:val="auto"/>
        </w:rPr>
        <w:t>Chairperson fees are in addition to fees a director receives as a member.</w:t>
      </w:r>
    </w:p>
    <w:p>
      <w:pPr>
        <w:spacing w:after="0" w:line="89" w:lineRule="exact"/>
        <w:rPr>
          <w:sz w:val="20"/>
          <w:szCs w:val="20"/>
          <w:color w:val="auto"/>
        </w:rPr>
      </w:pPr>
    </w:p>
    <w:p>
      <w:pPr>
        <w:spacing w:after="0"/>
        <w:rPr>
          <w:sz w:val="20"/>
          <w:szCs w:val="20"/>
          <w:color w:val="auto"/>
        </w:rPr>
      </w:pPr>
      <w:r>
        <w:rPr>
          <w:rFonts w:ascii="Arial" w:cs="Arial" w:eastAsia="Arial" w:hAnsi="Arial"/>
          <w:sz w:val="16"/>
          <w:szCs w:val="16"/>
          <w:color w:val="auto"/>
        </w:rPr>
        <w:t>Non-employee directors are reimbursed for their expenses incurred in attending meetings.</w:t>
      </w:r>
    </w:p>
    <w:p>
      <w:pPr>
        <w:spacing w:after="0" w:line="113" w:lineRule="exact"/>
        <w:rPr>
          <w:sz w:val="20"/>
          <w:szCs w:val="20"/>
          <w:color w:val="auto"/>
        </w:rPr>
      </w:pPr>
    </w:p>
    <w:p>
      <w:pPr>
        <w:ind w:right="60"/>
        <w:spacing w:after="0" w:line="275" w:lineRule="auto"/>
        <w:rPr>
          <w:sz w:val="20"/>
          <w:szCs w:val="20"/>
          <w:color w:val="auto"/>
        </w:rPr>
      </w:pPr>
      <w:r>
        <w:rPr>
          <w:rFonts w:ascii="Arial" w:cs="Arial" w:eastAsia="Arial" w:hAnsi="Arial"/>
          <w:sz w:val="16"/>
          <w:szCs w:val="16"/>
          <w:color w:val="auto"/>
        </w:rPr>
        <w:t>Our Amended and Restated VeriSign, Inc. 2006 Equity Incentive Plan limits the compensation (including equity and cash awards) paid to any non-employee director in any year to an aggregate dollar value of $600,000, with an exception to allow for up to two times such limit for grants made in the first year of service or first year designated as chairman or lead independent director.</w:t>
      </w:r>
    </w:p>
    <w:p>
      <w:pPr>
        <w:spacing w:after="0" w:line="200" w:lineRule="exact"/>
        <w:rPr>
          <w:sz w:val="20"/>
          <w:szCs w:val="20"/>
          <w:color w:val="auto"/>
        </w:rPr>
      </w:pPr>
    </w:p>
    <w:p>
      <w:pPr>
        <w:spacing w:after="0" w:line="239"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44</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Compensation of Directors</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Non-Employee Director Compensation Table for 2024</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sets forth a summary of compensation information for our non-employee directors for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58"/>
        </w:trPr>
        <w:tc>
          <w:tcPr>
            <w:tcW w:w="7600" w:type="dxa"/>
            <w:vAlign w:val="bottom"/>
          </w:tcPr>
          <w:p>
            <w:pPr>
              <w:spacing w:after="0"/>
              <w:rPr>
                <w:sz w:val="13"/>
                <w:szCs w:val="13"/>
                <w:color w:val="auto"/>
              </w:rPr>
            </w:pPr>
          </w:p>
        </w:tc>
        <w:tc>
          <w:tcPr>
            <w:tcW w:w="120" w:type="dxa"/>
            <w:vAlign w:val="bottom"/>
            <w:tcBorders>
              <w:right w:val="single" w:sz="8" w:color="auto"/>
            </w:tcBorders>
          </w:tcPr>
          <w:p>
            <w:pPr>
              <w:spacing w:after="0"/>
              <w:rPr>
                <w:sz w:val="13"/>
                <w:szCs w:val="13"/>
                <w:color w:val="auto"/>
              </w:rPr>
            </w:pPr>
          </w:p>
        </w:tc>
        <w:tc>
          <w:tcPr>
            <w:tcW w:w="1520" w:type="dxa"/>
            <w:vAlign w:val="bottom"/>
          </w:tcPr>
          <w:p>
            <w:pPr>
              <w:jc w:val="right"/>
              <w:spacing w:after="0"/>
              <w:rPr>
                <w:sz w:val="20"/>
                <w:szCs w:val="20"/>
                <w:color w:val="auto"/>
              </w:rPr>
            </w:pPr>
            <w:r>
              <w:rPr>
                <w:rFonts w:ascii="Arial" w:cs="Arial" w:eastAsia="Arial" w:hAnsi="Arial"/>
                <w:sz w:val="13"/>
                <w:szCs w:val="13"/>
                <w:b w:val="1"/>
                <w:bCs w:val="1"/>
                <w:color w:val="auto"/>
              </w:rPr>
              <w:t>FEES EARNED OR</w:t>
            </w:r>
          </w:p>
        </w:tc>
        <w:tc>
          <w:tcPr>
            <w:tcW w:w="120" w:type="dxa"/>
            <w:vAlign w:val="bottom"/>
            <w:tcBorders>
              <w:right w:val="single" w:sz="8" w:color="auto"/>
            </w:tcBorders>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STOCK</w:t>
            </w:r>
          </w:p>
        </w:tc>
        <w:tc>
          <w:tcPr>
            <w:tcW w:w="120" w:type="dxa"/>
            <w:vAlign w:val="bottom"/>
            <w:tcBorders>
              <w:right w:val="single" w:sz="8" w:color="auto"/>
            </w:tcBorders>
          </w:tcPr>
          <w:p>
            <w:pPr>
              <w:spacing w:after="0"/>
              <w:rPr>
                <w:sz w:val="13"/>
                <w:szCs w:val="13"/>
                <w:color w:val="auto"/>
              </w:rPr>
            </w:pPr>
          </w:p>
        </w:tc>
        <w:tc>
          <w:tcPr>
            <w:tcW w:w="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600" w:type="dxa"/>
            <w:vAlign w:val="bottom"/>
            <w:vMerge w:val="restart"/>
          </w:tcPr>
          <w:p>
            <w:pPr>
              <w:ind w:left="60"/>
              <w:spacing w:after="0"/>
              <w:rPr>
                <w:sz w:val="20"/>
                <w:szCs w:val="20"/>
                <w:color w:val="auto"/>
              </w:rPr>
            </w:pPr>
            <w:r>
              <w:rPr>
                <w:rFonts w:ascii="Arial" w:cs="Arial" w:eastAsia="Arial" w:hAnsi="Arial"/>
                <w:sz w:val="13"/>
                <w:szCs w:val="13"/>
                <w:b w:val="1"/>
                <w:bCs w:val="1"/>
                <w:color w:val="auto"/>
              </w:rPr>
              <w:t>NON-EMPLOYEE DIRECTOR NAME</w:t>
            </w:r>
          </w:p>
        </w:tc>
        <w:tc>
          <w:tcPr>
            <w:tcW w:w="120" w:type="dxa"/>
            <w:vAlign w:val="bottom"/>
            <w:tcBorders>
              <w:right w:val="single" w:sz="8" w:color="auto"/>
            </w:tcBorders>
          </w:tcPr>
          <w:p>
            <w:pPr>
              <w:spacing w:after="0"/>
              <w:rPr>
                <w:sz w:val="14"/>
                <w:szCs w:val="14"/>
                <w:color w:val="auto"/>
              </w:rPr>
            </w:pPr>
          </w:p>
        </w:tc>
        <w:tc>
          <w:tcPr>
            <w:tcW w:w="1520" w:type="dxa"/>
            <w:vAlign w:val="bottom"/>
          </w:tcPr>
          <w:p>
            <w:pPr>
              <w:jc w:val="right"/>
              <w:spacing w:after="0"/>
              <w:rPr>
                <w:sz w:val="20"/>
                <w:szCs w:val="20"/>
                <w:color w:val="auto"/>
              </w:rPr>
            </w:pPr>
            <w:r>
              <w:rPr>
                <w:rFonts w:ascii="Arial" w:cs="Arial" w:eastAsia="Arial" w:hAnsi="Arial"/>
                <w:sz w:val="13"/>
                <w:szCs w:val="13"/>
                <w:b w:val="1"/>
                <w:bCs w:val="1"/>
                <w:color w:val="auto"/>
              </w:rPr>
              <w:t>PAID IN CASH</w:t>
            </w:r>
          </w:p>
        </w:tc>
        <w:tc>
          <w:tcPr>
            <w:tcW w:w="120" w:type="dxa"/>
            <w:vAlign w:val="bottom"/>
            <w:tcBorders>
              <w:right w:val="single" w:sz="8" w:color="auto"/>
            </w:tcBorders>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AWARDS</w:t>
            </w:r>
          </w:p>
        </w:tc>
        <w:tc>
          <w:tcPr>
            <w:tcW w:w="120" w:type="dxa"/>
            <w:vAlign w:val="bottom"/>
            <w:tcBorders>
              <w:right w:val="single" w:sz="8" w:color="auto"/>
            </w:tcBorders>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89"/>
        </w:trPr>
        <w:tc>
          <w:tcPr>
            <w:tcW w:w="7600" w:type="dxa"/>
            <w:vAlign w:val="bottom"/>
            <w:tcBorders>
              <w:bottom w:val="single" w:sz="8" w:color="050505"/>
            </w:tcBorders>
            <w:vMerge w:val="continue"/>
          </w:tcPr>
          <w:p>
            <w:pPr>
              <w:spacing w:after="0"/>
              <w:rPr>
                <w:sz w:val="16"/>
                <w:szCs w:val="16"/>
                <w:color w:val="auto"/>
              </w:rPr>
            </w:pPr>
          </w:p>
        </w:tc>
        <w:tc>
          <w:tcPr>
            <w:tcW w:w="120" w:type="dxa"/>
            <w:vAlign w:val="bottom"/>
            <w:tcBorders>
              <w:right w:val="single" w:sz="8" w:color="auto"/>
            </w:tcBorders>
          </w:tcPr>
          <w:p>
            <w:pPr>
              <w:spacing w:after="0"/>
              <w:rPr>
                <w:sz w:val="16"/>
                <w:szCs w:val="16"/>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(1)</w:t>
            </w:r>
          </w:p>
        </w:tc>
        <w:tc>
          <w:tcPr>
            <w:tcW w:w="120" w:type="dxa"/>
            <w:vAlign w:val="bottom"/>
            <w:tcBorders>
              <w:right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r>
              <w:rPr>
                <w:rFonts w:ascii="Arial" w:cs="Arial" w:eastAsia="Arial" w:hAnsi="Arial"/>
                <w:sz w:val="16"/>
                <w:szCs w:val="16"/>
                <w:b w:val="1"/>
                <w:bCs w:val="1"/>
                <w:color w:val="auto"/>
                <w:vertAlign w:val="superscript"/>
              </w:rPr>
              <w:t>(2)</w:t>
            </w:r>
          </w:p>
        </w:tc>
        <w:tc>
          <w:tcPr>
            <w:tcW w:w="120" w:type="dxa"/>
            <w:vAlign w:val="bottom"/>
            <w:tcBorders>
              <w:right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195"/>
        </w:trPr>
        <w:tc>
          <w:tcPr>
            <w:tcW w:w="7600" w:type="dxa"/>
            <w:vAlign w:val="bottom"/>
          </w:tcPr>
          <w:p>
            <w:pPr>
              <w:ind w:left="60"/>
              <w:spacing w:after="0"/>
              <w:rPr>
                <w:sz w:val="20"/>
                <w:szCs w:val="20"/>
                <w:color w:val="auto"/>
              </w:rPr>
            </w:pPr>
            <w:r>
              <w:rPr>
                <w:rFonts w:ascii="Arial" w:cs="Arial" w:eastAsia="Arial" w:hAnsi="Arial"/>
                <w:sz w:val="14"/>
                <w:szCs w:val="14"/>
                <w:b w:val="1"/>
                <w:bCs w:val="1"/>
                <w:color w:val="004A98"/>
              </w:rPr>
              <w:t>Courtney D. Armstrong</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106,830</w:t>
            </w:r>
          </w:p>
        </w:tc>
        <w:tc>
          <w:tcPr>
            <w:tcW w:w="1000" w:type="dxa"/>
            <w:vAlign w:val="bottom"/>
            <w:gridSpan w:val="2"/>
          </w:tcPr>
          <w:p>
            <w:pPr>
              <w:jc w:val="right"/>
              <w:ind w:right="12"/>
              <w:spacing w:after="0"/>
              <w:rPr>
                <w:sz w:val="20"/>
                <w:szCs w:val="20"/>
                <w:color w:val="auto"/>
              </w:rPr>
            </w:pPr>
            <w:r>
              <w:rPr>
                <w:rFonts w:ascii="Arial" w:cs="Arial" w:eastAsia="Arial" w:hAnsi="Arial"/>
                <w:sz w:val="14"/>
                <w:szCs w:val="14"/>
                <w:color w:val="auto"/>
              </w:rPr>
              <w:t>249,864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356,694</w:t>
            </w:r>
          </w:p>
        </w:tc>
        <w:tc>
          <w:tcPr>
            <w:tcW w:w="0" w:type="dxa"/>
            <w:vAlign w:val="bottom"/>
          </w:tcPr>
          <w:p>
            <w:pPr>
              <w:spacing w:after="0"/>
              <w:rPr>
                <w:sz w:val="1"/>
                <w:szCs w:val="1"/>
                <w:color w:val="auto"/>
              </w:rPr>
            </w:pPr>
          </w:p>
        </w:tc>
      </w:tr>
      <w:tr>
        <w:trPr>
          <w:trHeight w:val="196"/>
        </w:trPr>
        <w:tc>
          <w:tcPr>
            <w:tcW w:w="7600" w:type="dxa"/>
            <w:vAlign w:val="bottom"/>
            <w:tcBorders>
              <w:top w:val="single" w:sz="8" w:color="939598"/>
              <w:bottom w:val="single" w:sz="8" w:color="939598"/>
            </w:tcBorders>
            <w:shd w:val="clear" w:color="auto" w:fill="E6E7E8"/>
          </w:tcPr>
          <w:p>
            <w:pPr>
              <w:ind w:left="60"/>
              <w:spacing w:after="0"/>
              <w:rPr>
                <w:sz w:val="20"/>
                <w:szCs w:val="20"/>
                <w:color w:val="auto"/>
              </w:rPr>
            </w:pPr>
            <w:r>
              <w:rPr>
                <w:rFonts w:ascii="Arial" w:cs="Arial" w:eastAsia="Arial" w:hAnsi="Arial"/>
                <w:sz w:val="14"/>
                <w:szCs w:val="14"/>
                <w:b w:val="1"/>
                <w:bCs w:val="1"/>
                <w:color w:val="004A98"/>
              </w:rPr>
              <w:t>Yehuda Ari Buchalter</w:t>
            </w:r>
          </w:p>
        </w:tc>
        <w:tc>
          <w:tcPr>
            <w:tcW w:w="120" w:type="dxa"/>
            <w:vAlign w:val="bottom"/>
            <w:tcBorders>
              <w:right w:val="single" w:sz="8" w:color="E6E7E8"/>
            </w:tcBorders>
          </w:tcPr>
          <w:p>
            <w:pPr>
              <w:spacing w:after="0"/>
              <w:rPr>
                <w:sz w:val="17"/>
                <w:szCs w:val="17"/>
                <w:color w:val="auto"/>
              </w:rPr>
            </w:pPr>
          </w:p>
        </w:tc>
        <w:tc>
          <w:tcPr>
            <w:tcW w:w="152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118,176</w:t>
            </w:r>
          </w:p>
        </w:tc>
        <w:tc>
          <w:tcPr>
            <w:tcW w:w="120" w:type="dxa"/>
            <w:vAlign w:val="bottom"/>
            <w:tcBorders>
              <w:right w:val="single" w:sz="8" w:color="E6E7E8"/>
            </w:tcBorders>
          </w:tcPr>
          <w:p>
            <w:pPr>
              <w:spacing w:after="0"/>
              <w:rPr>
                <w:sz w:val="17"/>
                <w:szCs w:val="17"/>
                <w:color w:val="auto"/>
              </w:rPr>
            </w:pPr>
          </w:p>
        </w:tc>
        <w:tc>
          <w:tcPr>
            <w:tcW w:w="88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249,864</w:t>
            </w:r>
          </w:p>
        </w:tc>
        <w:tc>
          <w:tcPr>
            <w:tcW w:w="120" w:type="dxa"/>
            <w:vAlign w:val="bottom"/>
            <w:tcBorders>
              <w:right w:val="single" w:sz="8" w:color="E6E7E8"/>
            </w:tcBorders>
          </w:tcPr>
          <w:p>
            <w:pPr>
              <w:spacing w:after="0"/>
              <w:rPr>
                <w:sz w:val="17"/>
                <w:szCs w:val="17"/>
                <w:color w:val="auto"/>
              </w:rPr>
            </w:pPr>
          </w:p>
        </w:tc>
        <w:tc>
          <w:tcPr>
            <w:tcW w:w="88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368,040</w:t>
            </w:r>
          </w:p>
        </w:tc>
        <w:tc>
          <w:tcPr>
            <w:tcW w:w="0" w:type="dxa"/>
            <w:vAlign w:val="bottom"/>
          </w:tcPr>
          <w:p>
            <w:pPr>
              <w:spacing w:after="0"/>
              <w:rPr>
                <w:sz w:val="1"/>
                <w:szCs w:val="1"/>
                <w:color w:val="auto"/>
              </w:rPr>
            </w:pPr>
          </w:p>
        </w:tc>
      </w:tr>
      <w:tr>
        <w:trPr>
          <w:trHeight w:val="196"/>
        </w:trPr>
        <w:tc>
          <w:tcPr>
            <w:tcW w:w="7600" w:type="dxa"/>
            <w:vAlign w:val="bottom"/>
          </w:tcPr>
          <w:p>
            <w:pPr>
              <w:ind w:left="60"/>
              <w:spacing w:after="0"/>
              <w:rPr>
                <w:sz w:val="20"/>
                <w:szCs w:val="20"/>
                <w:color w:val="auto"/>
              </w:rPr>
            </w:pPr>
            <w:r>
              <w:rPr>
                <w:rFonts w:ascii="Arial" w:cs="Arial" w:eastAsia="Arial" w:hAnsi="Arial"/>
                <w:sz w:val="14"/>
                <w:szCs w:val="14"/>
                <w:b w:val="1"/>
                <w:bCs w:val="1"/>
                <w:color w:val="004A98"/>
              </w:rPr>
              <w:t>Kathleen A. Cote</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128,465</w:t>
            </w:r>
          </w:p>
        </w:tc>
        <w:tc>
          <w:tcPr>
            <w:tcW w:w="1000" w:type="dxa"/>
            <w:vAlign w:val="bottom"/>
            <w:gridSpan w:val="2"/>
          </w:tcPr>
          <w:p>
            <w:pPr>
              <w:jc w:val="right"/>
              <w:ind w:right="12"/>
              <w:spacing w:after="0"/>
              <w:rPr>
                <w:sz w:val="20"/>
                <w:szCs w:val="20"/>
                <w:color w:val="auto"/>
              </w:rPr>
            </w:pPr>
            <w:r>
              <w:rPr>
                <w:rFonts w:ascii="Arial" w:cs="Arial" w:eastAsia="Arial" w:hAnsi="Arial"/>
                <w:sz w:val="14"/>
                <w:szCs w:val="14"/>
                <w:color w:val="auto"/>
              </w:rPr>
              <w:t>249,864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378,329</w:t>
            </w:r>
          </w:p>
        </w:tc>
        <w:tc>
          <w:tcPr>
            <w:tcW w:w="0" w:type="dxa"/>
            <w:vAlign w:val="bottom"/>
          </w:tcPr>
          <w:p>
            <w:pPr>
              <w:spacing w:after="0"/>
              <w:rPr>
                <w:sz w:val="1"/>
                <w:szCs w:val="1"/>
                <w:color w:val="auto"/>
              </w:rPr>
            </w:pPr>
          </w:p>
        </w:tc>
      </w:tr>
      <w:tr>
        <w:trPr>
          <w:trHeight w:val="196"/>
        </w:trPr>
        <w:tc>
          <w:tcPr>
            <w:tcW w:w="7600" w:type="dxa"/>
            <w:vAlign w:val="bottom"/>
            <w:tcBorders>
              <w:top w:val="single" w:sz="8" w:color="939598"/>
              <w:bottom w:val="single" w:sz="8" w:color="939598"/>
            </w:tcBorders>
            <w:shd w:val="clear" w:color="auto" w:fill="E6E7E8"/>
          </w:tcPr>
          <w:p>
            <w:pPr>
              <w:ind w:left="60"/>
              <w:spacing w:after="0"/>
              <w:rPr>
                <w:sz w:val="20"/>
                <w:szCs w:val="20"/>
                <w:color w:val="auto"/>
              </w:rPr>
            </w:pPr>
            <w:r>
              <w:rPr>
                <w:rFonts w:ascii="Arial" w:cs="Arial" w:eastAsia="Arial" w:hAnsi="Arial"/>
                <w:sz w:val="14"/>
                <w:szCs w:val="14"/>
                <w:b w:val="1"/>
                <w:bCs w:val="1"/>
                <w:color w:val="004A98"/>
              </w:rPr>
              <w:t>Thomas F. Frist III</w:t>
            </w:r>
          </w:p>
        </w:tc>
        <w:tc>
          <w:tcPr>
            <w:tcW w:w="120" w:type="dxa"/>
            <w:vAlign w:val="bottom"/>
            <w:tcBorders>
              <w:right w:val="single" w:sz="8" w:color="E6E7E8"/>
            </w:tcBorders>
          </w:tcPr>
          <w:p>
            <w:pPr>
              <w:spacing w:after="0"/>
              <w:rPr>
                <w:sz w:val="17"/>
                <w:szCs w:val="17"/>
                <w:color w:val="auto"/>
              </w:rPr>
            </w:pPr>
          </w:p>
        </w:tc>
        <w:tc>
          <w:tcPr>
            <w:tcW w:w="152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88,465</w:t>
            </w:r>
          </w:p>
        </w:tc>
        <w:tc>
          <w:tcPr>
            <w:tcW w:w="120" w:type="dxa"/>
            <w:vAlign w:val="bottom"/>
            <w:tcBorders>
              <w:right w:val="single" w:sz="8" w:color="E6E7E8"/>
            </w:tcBorders>
          </w:tcPr>
          <w:p>
            <w:pPr>
              <w:spacing w:after="0"/>
              <w:rPr>
                <w:sz w:val="17"/>
                <w:szCs w:val="17"/>
                <w:color w:val="auto"/>
              </w:rPr>
            </w:pPr>
          </w:p>
        </w:tc>
        <w:tc>
          <w:tcPr>
            <w:tcW w:w="88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249,864</w:t>
            </w:r>
          </w:p>
        </w:tc>
        <w:tc>
          <w:tcPr>
            <w:tcW w:w="120" w:type="dxa"/>
            <w:vAlign w:val="bottom"/>
            <w:tcBorders>
              <w:right w:val="single" w:sz="8" w:color="E6E7E8"/>
            </w:tcBorders>
          </w:tcPr>
          <w:p>
            <w:pPr>
              <w:spacing w:after="0"/>
              <w:rPr>
                <w:sz w:val="17"/>
                <w:szCs w:val="17"/>
                <w:color w:val="auto"/>
              </w:rPr>
            </w:pPr>
          </w:p>
        </w:tc>
        <w:tc>
          <w:tcPr>
            <w:tcW w:w="88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338,329</w:t>
            </w:r>
          </w:p>
        </w:tc>
        <w:tc>
          <w:tcPr>
            <w:tcW w:w="0" w:type="dxa"/>
            <w:vAlign w:val="bottom"/>
          </w:tcPr>
          <w:p>
            <w:pPr>
              <w:spacing w:after="0"/>
              <w:rPr>
                <w:sz w:val="1"/>
                <w:szCs w:val="1"/>
                <w:color w:val="auto"/>
              </w:rPr>
            </w:pPr>
          </w:p>
        </w:tc>
      </w:tr>
      <w:tr>
        <w:trPr>
          <w:trHeight w:val="196"/>
        </w:trPr>
        <w:tc>
          <w:tcPr>
            <w:tcW w:w="7600" w:type="dxa"/>
            <w:vAlign w:val="bottom"/>
          </w:tcPr>
          <w:p>
            <w:pPr>
              <w:ind w:left="60"/>
              <w:spacing w:after="0"/>
              <w:rPr>
                <w:sz w:val="20"/>
                <w:szCs w:val="20"/>
                <w:color w:val="auto"/>
              </w:rPr>
            </w:pPr>
            <w:r>
              <w:rPr>
                <w:rFonts w:ascii="Arial" w:cs="Arial" w:eastAsia="Arial" w:hAnsi="Arial"/>
                <w:sz w:val="14"/>
                <w:szCs w:val="14"/>
                <w:b w:val="1"/>
                <w:bCs w:val="1"/>
                <w:color w:val="004A98"/>
              </w:rPr>
              <w:t>Jamie S. Gorelick</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78,465</w:t>
            </w:r>
          </w:p>
        </w:tc>
        <w:tc>
          <w:tcPr>
            <w:tcW w:w="1000" w:type="dxa"/>
            <w:vAlign w:val="bottom"/>
            <w:gridSpan w:val="2"/>
          </w:tcPr>
          <w:p>
            <w:pPr>
              <w:jc w:val="right"/>
              <w:ind w:right="12"/>
              <w:spacing w:after="0"/>
              <w:rPr>
                <w:sz w:val="20"/>
                <w:szCs w:val="20"/>
                <w:color w:val="auto"/>
              </w:rPr>
            </w:pPr>
            <w:r>
              <w:rPr>
                <w:rFonts w:ascii="Arial" w:cs="Arial" w:eastAsia="Arial" w:hAnsi="Arial"/>
                <w:sz w:val="14"/>
                <w:szCs w:val="14"/>
                <w:color w:val="auto"/>
              </w:rPr>
              <w:t>249,864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328,329</w:t>
            </w:r>
          </w:p>
        </w:tc>
        <w:tc>
          <w:tcPr>
            <w:tcW w:w="0" w:type="dxa"/>
            <w:vAlign w:val="bottom"/>
          </w:tcPr>
          <w:p>
            <w:pPr>
              <w:spacing w:after="0"/>
              <w:rPr>
                <w:sz w:val="1"/>
                <w:szCs w:val="1"/>
                <w:color w:val="auto"/>
              </w:rPr>
            </w:pPr>
          </w:p>
        </w:tc>
      </w:tr>
      <w:tr>
        <w:trPr>
          <w:trHeight w:val="197"/>
        </w:trPr>
        <w:tc>
          <w:tcPr>
            <w:tcW w:w="7600" w:type="dxa"/>
            <w:vAlign w:val="bottom"/>
            <w:tcBorders>
              <w:top w:val="single" w:sz="8" w:color="939598"/>
              <w:bottom w:val="single" w:sz="8" w:color="939598"/>
            </w:tcBorders>
            <w:shd w:val="clear" w:color="auto" w:fill="E6E7E8"/>
          </w:tcPr>
          <w:p>
            <w:pPr>
              <w:ind w:left="60"/>
              <w:spacing w:after="0" w:line="197" w:lineRule="exact"/>
              <w:rPr>
                <w:sz w:val="20"/>
                <w:szCs w:val="20"/>
                <w:color w:val="auto"/>
              </w:rPr>
            </w:pPr>
            <w:r>
              <w:rPr>
                <w:rFonts w:ascii="Arial" w:cs="Arial" w:eastAsia="Arial" w:hAnsi="Arial"/>
                <w:sz w:val="14"/>
                <w:szCs w:val="14"/>
                <w:b w:val="1"/>
                <w:bCs w:val="1"/>
                <w:color w:val="004A98"/>
              </w:rPr>
              <w:t xml:space="preserve">Debra W. McCann </w:t>
            </w:r>
            <w:r>
              <w:rPr>
                <w:rFonts w:ascii="Arial" w:cs="Arial" w:eastAsia="Arial" w:hAnsi="Arial"/>
                <w:sz w:val="18"/>
                <w:szCs w:val="18"/>
                <w:b w:val="1"/>
                <w:bCs w:val="1"/>
                <w:color w:val="004A98"/>
                <w:vertAlign w:val="superscript"/>
              </w:rPr>
              <w:t>(3)</w:t>
            </w:r>
          </w:p>
        </w:tc>
        <w:tc>
          <w:tcPr>
            <w:tcW w:w="120" w:type="dxa"/>
            <w:vAlign w:val="bottom"/>
            <w:tcBorders>
              <w:right w:val="single" w:sz="8" w:color="E6E7E8"/>
            </w:tcBorders>
          </w:tcPr>
          <w:p>
            <w:pPr>
              <w:spacing w:after="0"/>
              <w:rPr>
                <w:sz w:val="17"/>
                <w:szCs w:val="17"/>
                <w:color w:val="auto"/>
              </w:rPr>
            </w:pPr>
          </w:p>
        </w:tc>
        <w:tc>
          <w:tcPr>
            <w:tcW w:w="152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33,424</w:t>
            </w:r>
          </w:p>
        </w:tc>
        <w:tc>
          <w:tcPr>
            <w:tcW w:w="120" w:type="dxa"/>
            <w:vAlign w:val="bottom"/>
            <w:tcBorders>
              <w:right w:val="single" w:sz="8" w:color="E6E7E8"/>
            </w:tcBorders>
          </w:tcPr>
          <w:p>
            <w:pPr>
              <w:spacing w:after="0"/>
              <w:rPr>
                <w:sz w:val="17"/>
                <w:szCs w:val="17"/>
                <w:color w:val="auto"/>
              </w:rPr>
            </w:pPr>
          </w:p>
        </w:tc>
        <w:tc>
          <w:tcPr>
            <w:tcW w:w="88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187,357</w:t>
            </w:r>
          </w:p>
        </w:tc>
        <w:tc>
          <w:tcPr>
            <w:tcW w:w="120" w:type="dxa"/>
            <w:vAlign w:val="bottom"/>
            <w:tcBorders>
              <w:right w:val="single" w:sz="8" w:color="E6E7E8"/>
            </w:tcBorders>
          </w:tcPr>
          <w:p>
            <w:pPr>
              <w:spacing w:after="0"/>
              <w:rPr>
                <w:sz w:val="17"/>
                <w:szCs w:val="17"/>
                <w:color w:val="auto"/>
              </w:rPr>
            </w:pPr>
          </w:p>
        </w:tc>
        <w:tc>
          <w:tcPr>
            <w:tcW w:w="88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220,781</w:t>
            </w:r>
          </w:p>
        </w:tc>
        <w:tc>
          <w:tcPr>
            <w:tcW w:w="0" w:type="dxa"/>
            <w:vAlign w:val="bottom"/>
          </w:tcPr>
          <w:p>
            <w:pPr>
              <w:spacing w:after="0"/>
              <w:rPr>
                <w:sz w:val="1"/>
                <w:szCs w:val="1"/>
                <w:color w:val="auto"/>
              </w:rPr>
            </w:pPr>
          </w:p>
        </w:tc>
      </w:tr>
      <w:tr>
        <w:trPr>
          <w:trHeight w:val="195"/>
        </w:trPr>
        <w:tc>
          <w:tcPr>
            <w:tcW w:w="7600" w:type="dxa"/>
            <w:vAlign w:val="bottom"/>
          </w:tcPr>
          <w:p>
            <w:pPr>
              <w:ind w:left="60"/>
              <w:spacing w:after="0"/>
              <w:rPr>
                <w:sz w:val="20"/>
                <w:szCs w:val="20"/>
                <w:color w:val="auto"/>
              </w:rPr>
            </w:pPr>
            <w:r>
              <w:rPr>
                <w:rFonts w:ascii="Arial" w:cs="Arial" w:eastAsia="Arial" w:hAnsi="Arial"/>
                <w:sz w:val="14"/>
                <w:szCs w:val="14"/>
                <w:b w:val="1"/>
                <w:bCs w:val="1"/>
                <w:color w:val="004A98"/>
              </w:rPr>
              <w:t>Roger H. Moore</w:t>
            </w:r>
          </w:p>
        </w:tc>
        <w:tc>
          <w:tcPr>
            <w:tcW w:w="1640" w:type="dxa"/>
            <w:vAlign w:val="bottom"/>
            <w:gridSpan w:val="2"/>
          </w:tcPr>
          <w:p>
            <w:pPr>
              <w:jc w:val="right"/>
              <w:spacing w:after="0"/>
              <w:rPr>
                <w:sz w:val="20"/>
                <w:szCs w:val="20"/>
                <w:color w:val="auto"/>
              </w:rPr>
            </w:pPr>
            <w:r>
              <w:rPr>
                <w:rFonts w:ascii="Arial" w:cs="Arial" w:eastAsia="Arial" w:hAnsi="Arial"/>
                <w:sz w:val="14"/>
                <w:szCs w:val="14"/>
                <w:color w:val="auto"/>
              </w:rPr>
              <w:t>128,465</w:t>
            </w:r>
          </w:p>
        </w:tc>
        <w:tc>
          <w:tcPr>
            <w:tcW w:w="1000" w:type="dxa"/>
            <w:vAlign w:val="bottom"/>
            <w:gridSpan w:val="2"/>
          </w:tcPr>
          <w:p>
            <w:pPr>
              <w:jc w:val="right"/>
              <w:ind w:right="12"/>
              <w:spacing w:after="0"/>
              <w:rPr>
                <w:sz w:val="20"/>
                <w:szCs w:val="20"/>
                <w:color w:val="auto"/>
              </w:rPr>
            </w:pPr>
            <w:r>
              <w:rPr>
                <w:rFonts w:ascii="Arial" w:cs="Arial" w:eastAsia="Arial" w:hAnsi="Arial"/>
                <w:sz w:val="14"/>
                <w:szCs w:val="14"/>
                <w:color w:val="auto"/>
              </w:rPr>
              <w:t>249,864</w:t>
            </w:r>
          </w:p>
        </w:tc>
        <w:tc>
          <w:tcPr>
            <w:tcW w:w="1000" w:type="dxa"/>
            <w:vAlign w:val="bottom"/>
            <w:gridSpan w:val="2"/>
          </w:tcPr>
          <w:p>
            <w:pPr>
              <w:jc w:val="right"/>
              <w:spacing w:after="0"/>
              <w:rPr>
                <w:sz w:val="20"/>
                <w:szCs w:val="20"/>
                <w:color w:val="auto"/>
              </w:rPr>
            </w:pPr>
            <w:r>
              <w:rPr>
                <w:rFonts w:ascii="Arial" w:cs="Arial" w:eastAsia="Arial" w:hAnsi="Arial"/>
                <w:sz w:val="14"/>
                <w:szCs w:val="14"/>
                <w:color w:val="auto"/>
              </w:rPr>
              <w:t>378,329</w:t>
            </w:r>
          </w:p>
        </w:tc>
        <w:tc>
          <w:tcPr>
            <w:tcW w:w="0" w:type="dxa"/>
            <w:vAlign w:val="bottom"/>
          </w:tcPr>
          <w:p>
            <w:pPr>
              <w:spacing w:after="0"/>
              <w:rPr>
                <w:sz w:val="1"/>
                <w:szCs w:val="1"/>
                <w:color w:val="auto"/>
              </w:rPr>
            </w:pPr>
          </w:p>
        </w:tc>
      </w:tr>
      <w:tr>
        <w:trPr>
          <w:trHeight w:val="196"/>
        </w:trPr>
        <w:tc>
          <w:tcPr>
            <w:tcW w:w="7600" w:type="dxa"/>
            <w:vAlign w:val="bottom"/>
            <w:tcBorders>
              <w:top w:val="single" w:sz="8" w:color="939598"/>
              <w:bottom w:val="single" w:sz="8" w:color="939598"/>
            </w:tcBorders>
            <w:shd w:val="clear" w:color="auto" w:fill="E6E7E8"/>
          </w:tcPr>
          <w:p>
            <w:pPr>
              <w:ind w:left="60"/>
              <w:spacing w:after="0"/>
              <w:rPr>
                <w:sz w:val="20"/>
                <w:szCs w:val="20"/>
                <w:color w:val="auto"/>
              </w:rPr>
            </w:pPr>
            <w:r>
              <w:rPr>
                <w:rFonts w:ascii="Arial" w:cs="Arial" w:eastAsia="Arial" w:hAnsi="Arial"/>
                <w:sz w:val="14"/>
                <w:szCs w:val="14"/>
                <w:b w:val="1"/>
                <w:bCs w:val="1"/>
                <w:color w:val="004A98"/>
              </w:rPr>
              <w:t>Timothy Tomlinson</w:t>
            </w:r>
          </w:p>
        </w:tc>
        <w:tc>
          <w:tcPr>
            <w:tcW w:w="120" w:type="dxa"/>
            <w:vAlign w:val="bottom"/>
            <w:tcBorders>
              <w:right w:val="single" w:sz="8" w:color="E6E7E8"/>
            </w:tcBorders>
          </w:tcPr>
          <w:p>
            <w:pPr>
              <w:spacing w:after="0"/>
              <w:rPr>
                <w:sz w:val="17"/>
                <w:szCs w:val="17"/>
                <w:color w:val="auto"/>
              </w:rPr>
            </w:pPr>
          </w:p>
        </w:tc>
        <w:tc>
          <w:tcPr>
            <w:tcW w:w="152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138,465</w:t>
            </w:r>
          </w:p>
        </w:tc>
        <w:tc>
          <w:tcPr>
            <w:tcW w:w="120" w:type="dxa"/>
            <w:vAlign w:val="bottom"/>
            <w:tcBorders>
              <w:right w:val="single" w:sz="8" w:color="E6E7E8"/>
            </w:tcBorders>
          </w:tcPr>
          <w:p>
            <w:pPr>
              <w:spacing w:after="0"/>
              <w:rPr>
                <w:sz w:val="17"/>
                <w:szCs w:val="17"/>
                <w:color w:val="auto"/>
              </w:rPr>
            </w:pPr>
          </w:p>
        </w:tc>
        <w:tc>
          <w:tcPr>
            <w:tcW w:w="88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249,864</w:t>
            </w:r>
          </w:p>
        </w:tc>
        <w:tc>
          <w:tcPr>
            <w:tcW w:w="120" w:type="dxa"/>
            <w:vAlign w:val="bottom"/>
            <w:tcBorders>
              <w:right w:val="single" w:sz="8" w:color="E6E7E8"/>
            </w:tcBorders>
          </w:tcPr>
          <w:p>
            <w:pPr>
              <w:spacing w:after="0"/>
              <w:rPr>
                <w:sz w:val="17"/>
                <w:szCs w:val="17"/>
                <w:color w:val="auto"/>
              </w:rPr>
            </w:pPr>
          </w:p>
        </w:tc>
        <w:tc>
          <w:tcPr>
            <w:tcW w:w="880" w:type="dxa"/>
            <w:vAlign w:val="bottom"/>
            <w:tcBorders>
              <w:top w:val="single" w:sz="8" w:color="939598"/>
              <w:bottom w:val="single" w:sz="8" w:color="939598"/>
            </w:tcBorders>
            <w:shd w:val="clear" w:color="auto" w:fill="E6E7E8"/>
          </w:tcPr>
          <w:p>
            <w:pPr>
              <w:jc w:val="right"/>
              <w:spacing w:after="0"/>
              <w:rPr>
                <w:sz w:val="20"/>
                <w:szCs w:val="20"/>
                <w:color w:val="auto"/>
              </w:rPr>
            </w:pPr>
            <w:r>
              <w:rPr>
                <w:rFonts w:ascii="Arial" w:cs="Arial" w:eastAsia="Arial" w:hAnsi="Arial"/>
                <w:sz w:val="14"/>
                <w:szCs w:val="14"/>
                <w:color w:val="auto"/>
              </w:rPr>
              <w:t>388,329</w:t>
            </w:r>
          </w:p>
        </w:tc>
        <w:tc>
          <w:tcPr>
            <w:tcW w:w="0" w:type="dxa"/>
            <w:vAlign w:val="bottom"/>
          </w:tcPr>
          <w:p>
            <w:pPr>
              <w:spacing w:after="0"/>
              <w:rPr>
                <w:sz w:val="1"/>
                <w:szCs w:val="1"/>
                <w:color w:val="auto"/>
              </w:rPr>
            </w:pPr>
          </w:p>
        </w:tc>
      </w:tr>
    </w:tbl>
    <w:p>
      <w:pPr>
        <w:spacing w:after="0" w:line="165" w:lineRule="exact"/>
        <w:rPr>
          <w:sz w:val="20"/>
          <w:szCs w:val="20"/>
          <w:color w:val="auto"/>
        </w:rPr>
      </w:pPr>
    </w:p>
    <w:p>
      <w:pPr>
        <w:ind w:left="280" w:hanging="272"/>
        <w:spacing w:after="0"/>
        <w:tabs>
          <w:tab w:leader="none" w:pos="280"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Amounts shown represent cash retainer fees earned by each director.</w:t>
      </w:r>
    </w:p>
    <w:p>
      <w:pPr>
        <w:spacing w:after="0" w:line="57" w:lineRule="exact"/>
        <w:rPr>
          <w:rFonts w:ascii="Arial" w:cs="Arial" w:eastAsia="Arial" w:hAnsi="Arial"/>
          <w:sz w:val="19"/>
          <w:szCs w:val="19"/>
          <w:color w:val="auto"/>
          <w:vertAlign w:val="superscript"/>
        </w:rPr>
      </w:pPr>
    </w:p>
    <w:p>
      <w:pPr>
        <w:ind w:left="260" w:right="80" w:hanging="252"/>
        <w:spacing w:after="0" w:line="244" w:lineRule="auto"/>
        <w:tabs>
          <w:tab w:leader="none" w:pos="264"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Stock awards consist solely of RSUs which vest immediately upon grant. Amounts shown represent the aggregate grant date fair value computed in accordance with FASB ASC Topic 718 for awards granted in 2024. The grant date fair value of each award granted to each existing non-employee director on July 22, 2024 was $249,864 (consisting of 1,408 RSUs valued at $177.46 per share, which was the closing price per share on the grant date). The grant date fair value for the award granted to Ms. McCann on October 21, 2024 was $187,357 (consisting of 1,001 RSUs valued at $187.17 per share, which was the closing price per share on the grant date). No director held any outstanding awards as of December 31, 2024.</w:t>
      </w:r>
    </w:p>
    <w:p>
      <w:pPr>
        <w:spacing w:after="0" w:line="22"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49"/>
        </w:numPr>
        <w:rPr>
          <w:rFonts w:ascii="Arial" w:cs="Arial" w:eastAsia="Arial" w:hAnsi="Arial"/>
          <w:sz w:val="19"/>
          <w:szCs w:val="19"/>
          <w:color w:val="auto"/>
          <w:vertAlign w:val="superscript"/>
        </w:rPr>
      </w:pPr>
      <w:r>
        <w:rPr>
          <w:rFonts w:ascii="Arial" w:cs="Arial" w:eastAsia="Arial" w:hAnsi="Arial"/>
          <w:sz w:val="14"/>
          <w:szCs w:val="14"/>
          <w:color w:val="auto"/>
        </w:rPr>
        <w:t>Ms. McCann was appointed to the Board on October 21, 2024.</w:t>
      </w:r>
    </w:p>
    <w:p>
      <w:pPr>
        <w:spacing w:after="0" w:line="200" w:lineRule="exact"/>
        <w:rPr>
          <w:sz w:val="20"/>
          <w:szCs w:val="20"/>
          <w:color w:val="auto"/>
        </w:rPr>
      </w:pPr>
    </w:p>
    <w:p>
      <w:pPr>
        <w:spacing w:after="0" w:line="312"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FFFFFF"/>
        </w:rPr>
        <w:t>Proposal No.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362710" cy="14605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362710" cy="146050"/>
                    </a:xfrm>
                    <a:prstGeom prst="rect">
                      <a:avLst/>
                    </a:prstGeom>
                    <a:noFill/>
                  </pic:spPr>
                </pic:pic>
              </a:graphicData>
            </a:graphic>
          </wp:anchor>
        </w:drawing>
      </w:r>
    </w:p>
    <w:p>
      <w:pPr>
        <w:spacing w:after="0" w:line="180" w:lineRule="exact"/>
        <w:rPr>
          <w:sz w:val="20"/>
          <w:szCs w:val="20"/>
          <w:color w:val="auto"/>
        </w:rPr>
      </w:pPr>
    </w:p>
    <w:p>
      <w:pPr>
        <w:ind w:right="440"/>
        <w:spacing w:after="0" w:line="291" w:lineRule="auto"/>
        <w:rPr>
          <w:sz w:val="20"/>
          <w:szCs w:val="20"/>
          <w:color w:val="auto"/>
        </w:rPr>
      </w:pPr>
      <w:r>
        <w:rPr>
          <w:rFonts w:ascii="Arial" w:cs="Arial" w:eastAsia="Arial" w:hAnsi="Arial"/>
          <w:sz w:val="32"/>
          <w:szCs w:val="32"/>
          <w:b w:val="1"/>
          <w:bCs w:val="1"/>
          <w:color w:val="004A98"/>
        </w:rPr>
        <w:t>Ratification of Selection of Independent Registered Public Accounting Firm</w:t>
      </w:r>
    </w:p>
    <w:p>
      <w:pPr>
        <w:spacing w:after="0" w:line="1" w:lineRule="exact"/>
        <w:rPr>
          <w:sz w:val="20"/>
          <w:szCs w:val="20"/>
          <w:color w:val="auto"/>
        </w:rPr>
      </w:pPr>
    </w:p>
    <w:p>
      <w:pPr>
        <w:ind w:right="40"/>
        <w:spacing w:after="0" w:line="265" w:lineRule="auto"/>
        <w:rPr>
          <w:sz w:val="20"/>
          <w:szCs w:val="20"/>
          <w:color w:val="auto"/>
        </w:rPr>
      </w:pPr>
      <w:r>
        <w:rPr>
          <w:rFonts w:ascii="Arial" w:cs="Arial" w:eastAsia="Arial" w:hAnsi="Arial"/>
          <w:sz w:val="16"/>
          <w:szCs w:val="16"/>
          <w:color w:val="auto"/>
        </w:rPr>
        <w:t>The Audit Committee has selected KPMG LLP as our independent registered public accounting firm to perform the audit of our consolidated financial statements for the year ending December 31, 2025, and, as a matter of good corporate governance, our stockholders are being asked to ratify this selection. A representative of KPMG LLP is expected to be available at the Annual Meeting, will have the opportunity to make a statement at the Annual Meeting if he or she desires to do so, and is expected to be available to respond to appropriate questions.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76200</wp:posOffset>
            </wp:positionV>
            <wp:extent cx="7149465" cy="3511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35115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52" w:lineRule="exact"/>
        <w:rPr>
          <w:sz w:val="20"/>
          <w:szCs w:val="20"/>
          <w:color w:val="auto"/>
        </w:rPr>
      </w:pPr>
    </w:p>
    <w:p>
      <w:pPr>
        <w:spacing w:after="0"/>
        <w:rPr>
          <w:sz w:val="20"/>
          <w:szCs w:val="20"/>
          <w:color w:val="auto"/>
        </w:rPr>
      </w:pPr>
      <w:r>
        <w:rPr>
          <w:sz w:val="1"/>
          <w:szCs w:val="1"/>
          <w:color w:val="auto"/>
        </w:rPr>
        <w:drawing>
          <wp:inline distT="0" distB="0" distL="0" distR="0">
            <wp:extent cx="17145" cy="351155"/>
            <wp:effectExtent l="0" t="0" r="0" b="0"/>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7145" cy="351155"/>
                    </a:xfrm>
                    <a:prstGeom prst="rect">
                      <a:avLst/>
                    </a:prstGeom>
                    <a:noFill/>
                    <a:ln>
                      <a:noFill/>
                    </a:ln>
                  </pic:spPr>
                </pic:pic>
              </a:graphicData>
            </a:graphic>
          </wp:inline>
        </w:drawing>
        <w:drawing>
          <wp:inline distT="0" distB="0" distL="0" distR="0">
            <wp:extent cx="257175" cy="257175"/>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257175" cy="257175"/>
                    </a:xfrm>
                    <a:prstGeom prst="rect">
                      <a:avLst/>
                    </a:prstGeom>
                    <a:noFill/>
                    <a:ln>
                      <a:noFill/>
                    </a:ln>
                  </pic:spPr>
                </pic:pic>
              </a:graphicData>
            </a:graphic>
          </wp:inline>
        </w:drawing>
      </w:r>
      <w:r>
        <w:rPr>
          <w:rFonts w:ascii="Arial" w:cs="Arial" w:eastAsia="Arial" w:hAnsi="Arial"/>
          <w:sz w:val="32"/>
          <w:szCs w:val="32"/>
          <w:b w:val="1"/>
          <w:bCs w:val="1"/>
          <w:color w:val="004A98"/>
        </w:rPr>
        <w:t xml:space="preserve"> FOR</w:t>
      </w:r>
    </w:p>
    <w:p>
      <w:pPr>
        <w:spacing w:after="0" w:line="20" w:lineRule="exact"/>
        <w:rPr>
          <w:sz w:val="20"/>
          <w:szCs w:val="20"/>
          <w:color w:val="auto"/>
        </w:rPr>
      </w:pPr>
      <w:r>
        <w:rPr>
          <w:sz w:val="20"/>
          <w:szCs w:val="20"/>
          <w:color w:val="auto"/>
        </w:rPr>
        <w:br w:type="column"/>
      </w:r>
    </w:p>
    <w:p>
      <w:pPr>
        <w:spacing w:after="0" w:line="288"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The Board recommends a vote FOR this proposal.</w:t>
      </w:r>
    </w:p>
    <w:p>
      <w:pPr>
        <w:spacing w:after="0" w:line="381" w:lineRule="exact"/>
        <w:rPr>
          <w:sz w:val="20"/>
          <w:szCs w:val="20"/>
          <w:color w:val="auto"/>
        </w:rPr>
      </w:pPr>
    </w:p>
    <w:p>
      <w:pPr>
        <w:sectPr>
          <w:pgSz w:w="11900" w:h="16838" w:orient="portrait"/>
          <w:cols w:equalWidth="0" w:num="2">
            <w:col w:w="1380" w:space="720"/>
            <w:col w:w="9140"/>
          </w:cols>
          <w:pgMar w:left="320" w:top="122" w:right="339" w:bottom="1440" w:gutter="0" w:footer="0" w:header="0"/>
          <w:type w:val="continuous"/>
        </w:sectPr>
      </w:pPr>
    </w:p>
    <w:p>
      <w:pPr>
        <w:spacing w:after="0" w:line="175"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Principal Accountant Fees and Services</w:t>
      </w:r>
    </w:p>
    <w:p>
      <w:pPr>
        <w:spacing w:after="0" w:line="148" w:lineRule="exact"/>
        <w:rPr>
          <w:sz w:val="20"/>
          <w:szCs w:val="20"/>
          <w:color w:val="auto"/>
        </w:rPr>
      </w:pPr>
    </w:p>
    <w:p>
      <w:pPr>
        <w:jc w:val="both"/>
        <w:ind w:right="20"/>
        <w:spacing w:after="0" w:line="304" w:lineRule="auto"/>
        <w:rPr>
          <w:sz w:val="20"/>
          <w:szCs w:val="20"/>
          <w:color w:val="auto"/>
        </w:rPr>
      </w:pPr>
      <w:r>
        <w:rPr>
          <w:rFonts w:ascii="Arial" w:cs="Arial" w:eastAsia="Arial" w:hAnsi="Arial"/>
          <w:sz w:val="16"/>
          <w:szCs w:val="16"/>
          <w:color w:val="auto"/>
        </w:rPr>
        <w:t>The following table presents fees billed for professional services rendered by KPMG LLP for the audit of our annual consolidated financial statements for the years ended December 31, 2024 and December 31, 2023, and fees billed for other services provided by KPMG LLP, in each of the last two completed years.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800" w:type="dxa"/>
            <w:vAlign w:val="bottom"/>
            <w:tcBorders>
              <w:bottom w:val="single" w:sz="8" w:color="auto"/>
            </w:tcBorders>
          </w:tcPr>
          <w:p>
            <w:pPr>
              <w:spacing w:after="0"/>
              <w:rPr>
                <w:sz w:val="17"/>
                <w:szCs w:val="17"/>
                <w:color w:val="auto"/>
              </w:rPr>
            </w:pPr>
          </w:p>
        </w:tc>
        <w:tc>
          <w:tcPr>
            <w:tcW w:w="7900" w:type="dxa"/>
            <w:vAlign w:val="bottom"/>
            <w:tcBorders>
              <w:bottom w:val="single" w:sz="8" w:color="auto"/>
            </w:tcBorders>
          </w:tcPr>
          <w:p>
            <w:pPr>
              <w:spacing w:after="0"/>
              <w:rPr>
                <w:sz w:val="17"/>
                <w:szCs w:val="17"/>
                <w:color w:val="auto"/>
              </w:rPr>
            </w:pPr>
          </w:p>
        </w:tc>
        <w:tc>
          <w:tcPr>
            <w:tcW w:w="120" w:type="dxa"/>
            <w:vAlign w:val="bottom"/>
            <w:tcBorders>
              <w:right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2024 FEES</w:t>
            </w:r>
          </w:p>
        </w:tc>
        <w:tc>
          <w:tcPr>
            <w:tcW w:w="100" w:type="dxa"/>
            <w:vAlign w:val="bottom"/>
            <w:tcBorders>
              <w:right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2023 FEES</w:t>
            </w:r>
          </w:p>
        </w:tc>
        <w:tc>
          <w:tcPr>
            <w:tcW w:w="0" w:type="dxa"/>
            <w:vAlign w:val="bottom"/>
          </w:tcPr>
          <w:p>
            <w:pPr>
              <w:spacing w:after="0"/>
              <w:rPr>
                <w:sz w:val="1"/>
                <w:szCs w:val="1"/>
                <w:color w:val="auto"/>
              </w:rPr>
            </w:pPr>
          </w:p>
        </w:tc>
      </w:tr>
      <w:tr>
        <w:trPr>
          <w:trHeight w:val="158"/>
        </w:trPr>
        <w:tc>
          <w:tcPr>
            <w:tcW w:w="800" w:type="dxa"/>
            <w:vAlign w:val="bottom"/>
            <w:vMerge w:val="restart"/>
            <w:shd w:val="clear" w:color="auto" w:fill="E6E7E8"/>
          </w:tcPr>
          <w:p>
            <w:pPr>
              <w:ind w:left="20"/>
              <w:spacing w:after="0"/>
              <w:rPr>
                <w:sz w:val="20"/>
                <w:szCs w:val="20"/>
                <w:color w:val="auto"/>
              </w:rPr>
            </w:pPr>
            <w:r>
              <w:rPr>
                <w:rFonts w:ascii="Arial" w:cs="Arial" w:eastAsia="Arial" w:hAnsi="Arial"/>
                <w:sz w:val="16"/>
                <w:szCs w:val="16"/>
                <w:b w:val="1"/>
                <w:bCs w:val="1"/>
                <w:color w:val="004A98"/>
                <w:w w:val="98"/>
                <w:shd w:val="clear" w:color="auto" w:fill="E6E7E8"/>
              </w:rPr>
              <w:t>Audit fees</w:t>
            </w:r>
          </w:p>
        </w:tc>
        <w:tc>
          <w:tcPr>
            <w:tcW w:w="7900" w:type="dxa"/>
            <w:vAlign w:val="bottom"/>
            <w:shd w:val="clear" w:color="auto" w:fill="E6E7E8"/>
          </w:tcPr>
          <w:p>
            <w:pPr>
              <w:jc w:val="right"/>
              <w:ind w:right="7707"/>
              <w:spacing w:after="0"/>
              <w:rPr>
                <w:sz w:val="20"/>
                <w:szCs w:val="20"/>
                <w:color w:val="auto"/>
              </w:rPr>
            </w:pPr>
            <w:r>
              <w:rPr>
                <w:rFonts w:ascii="Arial" w:cs="Arial" w:eastAsia="Arial" w:hAnsi="Arial"/>
                <w:sz w:val="11"/>
                <w:szCs w:val="11"/>
                <w:b w:val="1"/>
                <w:bCs w:val="1"/>
                <w:color w:val="004A98"/>
                <w:w w:val="88"/>
                <w:shd w:val="clear" w:color="auto" w:fill="E6E7E8"/>
              </w:rPr>
              <w:t>(1)</w:t>
            </w:r>
          </w:p>
        </w:tc>
        <w:tc>
          <w:tcPr>
            <w:tcW w:w="120" w:type="dxa"/>
            <w:vAlign w:val="bottom"/>
            <w:tcBorders>
              <w:right w:val="single" w:sz="8" w:color="E6E7E8"/>
            </w:tcBorders>
          </w:tcPr>
          <w:p>
            <w:pPr>
              <w:spacing w:after="0"/>
              <w:rPr>
                <w:sz w:val="13"/>
                <w:szCs w:val="13"/>
                <w:color w:val="auto"/>
              </w:rPr>
            </w:pPr>
          </w:p>
        </w:tc>
        <w:tc>
          <w:tcPr>
            <w:tcW w:w="220" w:type="dxa"/>
            <w:vAlign w:val="bottom"/>
            <w:vMerge w:val="restart"/>
            <w:shd w:val="clear" w:color="auto" w:fill="E6E7E8"/>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vMerge w:val="restart"/>
            <w:shd w:val="clear" w:color="auto" w:fill="E6E7E8"/>
          </w:tcPr>
          <w:p>
            <w:pPr>
              <w:jc w:val="right"/>
              <w:ind w:right="2"/>
              <w:spacing w:after="0"/>
              <w:rPr>
                <w:sz w:val="20"/>
                <w:szCs w:val="20"/>
                <w:color w:val="auto"/>
              </w:rPr>
            </w:pPr>
            <w:r>
              <w:rPr>
                <w:rFonts w:ascii="Arial" w:cs="Arial" w:eastAsia="Arial" w:hAnsi="Arial"/>
                <w:sz w:val="16"/>
                <w:szCs w:val="16"/>
                <w:color w:val="auto"/>
              </w:rPr>
              <w:t>1,815,735</w:t>
            </w:r>
          </w:p>
        </w:tc>
        <w:tc>
          <w:tcPr>
            <w:tcW w:w="100" w:type="dxa"/>
            <w:vAlign w:val="bottom"/>
            <w:tcBorders>
              <w:right w:val="single" w:sz="8" w:color="E6E7E8"/>
            </w:tcBorders>
          </w:tcPr>
          <w:p>
            <w:pPr>
              <w:spacing w:after="0"/>
              <w:rPr>
                <w:sz w:val="13"/>
                <w:szCs w:val="13"/>
                <w:color w:val="auto"/>
              </w:rPr>
            </w:pPr>
          </w:p>
        </w:tc>
        <w:tc>
          <w:tcPr>
            <w:tcW w:w="240" w:type="dxa"/>
            <w:vAlign w:val="bottom"/>
            <w:vMerge w:val="restart"/>
            <w:shd w:val="clear" w:color="auto" w:fill="E6E7E8"/>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vMerge w:val="restart"/>
            <w:shd w:val="clear" w:color="auto" w:fill="E6E7E8"/>
          </w:tcPr>
          <w:p>
            <w:pPr>
              <w:jc w:val="right"/>
              <w:ind w:right="2"/>
              <w:spacing w:after="0"/>
              <w:rPr>
                <w:sz w:val="20"/>
                <w:szCs w:val="20"/>
                <w:color w:val="auto"/>
              </w:rPr>
            </w:pPr>
            <w:r>
              <w:rPr>
                <w:rFonts w:ascii="Arial" w:cs="Arial" w:eastAsia="Arial" w:hAnsi="Arial"/>
                <w:sz w:val="16"/>
                <w:szCs w:val="16"/>
                <w:color w:val="auto"/>
              </w:rPr>
              <w:t>2,021,283</w:t>
            </w:r>
          </w:p>
        </w:tc>
        <w:tc>
          <w:tcPr>
            <w:tcW w:w="0" w:type="dxa"/>
            <w:vAlign w:val="bottom"/>
          </w:tcPr>
          <w:p>
            <w:pPr>
              <w:spacing w:after="0"/>
              <w:rPr>
                <w:sz w:val="1"/>
                <w:szCs w:val="1"/>
                <w:color w:val="auto"/>
              </w:rPr>
            </w:pPr>
          </w:p>
        </w:tc>
      </w:tr>
      <w:tr>
        <w:trPr>
          <w:trHeight w:val="83"/>
        </w:trPr>
        <w:tc>
          <w:tcPr>
            <w:tcW w:w="800" w:type="dxa"/>
            <w:vAlign w:val="bottom"/>
            <w:tcBorders>
              <w:bottom w:val="single" w:sz="8" w:color="E6E7E8"/>
            </w:tcBorders>
            <w:vMerge w:val="continue"/>
            <w:shd w:val="clear" w:color="auto" w:fill="E6E7E8"/>
          </w:tcPr>
          <w:p>
            <w:pPr>
              <w:spacing w:after="0"/>
              <w:rPr>
                <w:sz w:val="7"/>
                <w:szCs w:val="7"/>
                <w:color w:val="auto"/>
              </w:rPr>
            </w:pPr>
          </w:p>
        </w:tc>
        <w:tc>
          <w:tcPr>
            <w:tcW w:w="7900" w:type="dxa"/>
            <w:vAlign w:val="bottom"/>
            <w:tcBorders>
              <w:bottom w:val="single" w:sz="8" w:color="E6E7E8"/>
            </w:tcBorders>
            <w:shd w:val="clear" w:color="auto" w:fill="E6E7E8"/>
          </w:tcPr>
          <w:p>
            <w:pPr>
              <w:spacing w:after="0"/>
              <w:rPr>
                <w:sz w:val="7"/>
                <w:szCs w:val="7"/>
                <w:color w:val="auto"/>
              </w:rPr>
            </w:pPr>
          </w:p>
        </w:tc>
        <w:tc>
          <w:tcPr>
            <w:tcW w:w="120" w:type="dxa"/>
            <w:vAlign w:val="bottom"/>
            <w:tcBorders>
              <w:right w:val="single" w:sz="8" w:color="E6E7E8"/>
            </w:tcBorders>
          </w:tcPr>
          <w:p>
            <w:pPr>
              <w:spacing w:after="0"/>
              <w:rPr>
                <w:sz w:val="7"/>
                <w:szCs w:val="7"/>
                <w:color w:val="auto"/>
              </w:rPr>
            </w:pPr>
          </w:p>
        </w:tc>
        <w:tc>
          <w:tcPr>
            <w:tcW w:w="220" w:type="dxa"/>
            <w:vAlign w:val="bottom"/>
            <w:tcBorders>
              <w:bottom w:val="single" w:sz="8" w:color="E6E7E8"/>
            </w:tcBorders>
            <w:vMerge w:val="continue"/>
            <w:shd w:val="clear" w:color="auto" w:fill="E6E7E8"/>
          </w:tcPr>
          <w:p>
            <w:pPr>
              <w:spacing w:after="0"/>
              <w:rPr>
                <w:sz w:val="7"/>
                <w:szCs w:val="7"/>
                <w:color w:val="auto"/>
              </w:rPr>
            </w:pPr>
          </w:p>
        </w:tc>
        <w:tc>
          <w:tcPr>
            <w:tcW w:w="940" w:type="dxa"/>
            <w:vAlign w:val="bottom"/>
            <w:tcBorders>
              <w:bottom w:val="single" w:sz="8" w:color="E6E7E8"/>
            </w:tcBorders>
            <w:vMerge w:val="continue"/>
            <w:shd w:val="clear" w:color="auto" w:fill="E6E7E8"/>
          </w:tcPr>
          <w:p>
            <w:pPr>
              <w:spacing w:after="0"/>
              <w:rPr>
                <w:sz w:val="7"/>
                <w:szCs w:val="7"/>
                <w:color w:val="auto"/>
              </w:rPr>
            </w:pPr>
          </w:p>
        </w:tc>
        <w:tc>
          <w:tcPr>
            <w:tcW w:w="100" w:type="dxa"/>
            <w:vAlign w:val="bottom"/>
            <w:tcBorders>
              <w:right w:val="single" w:sz="8" w:color="E6E7E8"/>
            </w:tcBorders>
          </w:tcPr>
          <w:p>
            <w:pPr>
              <w:spacing w:after="0"/>
              <w:rPr>
                <w:sz w:val="7"/>
                <w:szCs w:val="7"/>
                <w:color w:val="auto"/>
              </w:rPr>
            </w:pPr>
          </w:p>
        </w:tc>
        <w:tc>
          <w:tcPr>
            <w:tcW w:w="240" w:type="dxa"/>
            <w:vAlign w:val="bottom"/>
            <w:tcBorders>
              <w:bottom w:val="single" w:sz="8" w:color="E6E7E8"/>
            </w:tcBorders>
            <w:vMerge w:val="continue"/>
            <w:shd w:val="clear" w:color="auto" w:fill="E6E7E8"/>
          </w:tcPr>
          <w:p>
            <w:pPr>
              <w:spacing w:after="0"/>
              <w:rPr>
                <w:sz w:val="7"/>
                <w:szCs w:val="7"/>
                <w:color w:val="auto"/>
              </w:rPr>
            </w:pPr>
          </w:p>
        </w:tc>
        <w:tc>
          <w:tcPr>
            <w:tcW w:w="920" w:type="dxa"/>
            <w:vAlign w:val="bottom"/>
            <w:tcBorders>
              <w:bottom w:val="single" w:sz="8" w:color="E6E7E8"/>
            </w:tcBorders>
            <w:vMerge w:val="continue"/>
            <w:shd w:val="clear" w:color="auto" w:fill="E6E7E8"/>
          </w:tcPr>
          <w:p>
            <w:pPr>
              <w:spacing w:after="0"/>
              <w:rPr>
                <w:sz w:val="7"/>
                <w:szCs w:val="7"/>
                <w:color w:val="auto"/>
              </w:rPr>
            </w:pPr>
          </w:p>
        </w:tc>
        <w:tc>
          <w:tcPr>
            <w:tcW w:w="0" w:type="dxa"/>
            <w:vAlign w:val="bottom"/>
          </w:tcPr>
          <w:p>
            <w:pPr>
              <w:spacing w:after="0"/>
              <w:rPr>
                <w:sz w:val="1"/>
                <w:szCs w:val="1"/>
                <w:color w:val="auto"/>
              </w:rPr>
            </w:pPr>
          </w:p>
        </w:tc>
      </w:tr>
      <w:tr>
        <w:trPr>
          <w:trHeight w:val="209"/>
        </w:trPr>
        <w:tc>
          <w:tcPr>
            <w:tcW w:w="8700" w:type="dxa"/>
            <w:vAlign w:val="bottom"/>
            <w:tcBorders>
              <w:top w:val="single" w:sz="8" w:color="939598"/>
              <w:bottom w:val="single" w:sz="8" w:color="939598"/>
            </w:tcBorders>
            <w:gridSpan w:val="2"/>
          </w:tcPr>
          <w:p>
            <w:pPr>
              <w:ind w:left="20"/>
              <w:spacing w:after="0"/>
              <w:rPr>
                <w:sz w:val="20"/>
                <w:szCs w:val="20"/>
                <w:color w:val="auto"/>
              </w:rPr>
            </w:pPr>
            <w:r>
              <w:rPr>
                <w:rFonts w:ascii="Arial" w:cs="Arial" w:eastAsia="Arial" w:hAnsi="Arial"/>
                <w:sz w:val="16"/>
                <w:szCs w:val="16"/>
                <w:b w:val="1"/>
                <w:bCs w:val="1"/>
                <w:color w:val="004A98"/>
              </w:rPr>
              <w:t>Audit-related fees</w:t>
            </w:r>
          </w:p>
        </w:tc>
        <w:tc>
          <w:tcPr>
            <w:tcW w:w="120" w:type="dxa"/>
            <w:vAlign w:val="bottom"/>
          </w:tcPr>
          <w:p>
            <w:pPr>
              <w:spacing w:after="0"/>
              <w:rPr>
                <w:sz w:val="18"/>
                <w:szCs w:val="18"/>
                <w:color w:val="auto"/>
              </w:rPr>
            </w:pPr>
          </w:p>
        </w:tc>
        <w:tc>
          <w:tcPr>
            <w:tcW w:w="220" w:type="dxa"/>
            <w:vAlign w:val="bottom"/>
            <w:tcBorders>
              <w:top w:val="single" w:sz="8" w:color="939598"/>
              <w:bottom w:val="single" w:sz="8" w:color="939598"/>
            </w:tcBorders>
          </w:tcPr>
          <w:p>
            <w:pPr>
              <w:spacing w:after="0"/>
              <w:rPr>
                <w:sz w:val="18"/>
                <w:szCs w:val="18"/>
                <w:color w:val="auto"/>
              </w:rPr>
            </w:pPr>
          </w:p>
        </w:tc>
        <w:tc>
          <w:tcPr>
            <w:tcW w:w="940" w:type="dxa"/>
            <w:vAlign w:val="bottom"/>
            <w:tcBorders>
              <w:top w:val="single" w:sz="8" w:color="939598"/>
              <w:bottom w:val="single" w:sz="8" w:color="939598"/>
            </w:tcBorders>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240" w:type="dxa"/>
            <w:vAlign w:val="bottom"/>
            <w:tcBorders>
              <w:top w:val="single" w:sz="8" w:color="939598"/>
              <w:bottom w:val="single" w:sz="8" w:color="939598"/>
            </w:tcBorders>
          </w:tcPr>
          <w:p>
            <w:pPr>
              <w:spacing w:after="0"/>
              <w:rPr>
                <w:sz w:val="18"/>
                <w:szCs w:val="18"/>
                <w:color w:val="auto"/>
              </w:rPr>
            </w:pPr>
          </w:p>
        </w:tc>
        <w:tc>
          <w:tcPr>
            <w:tcW w:w="920" w:type="dxa"/>
            <w:vAlign w:val="bottom"/>
            <w:tcBorders>
              <w:top w:val="single" w:sz="8" w:color="939598"/>
              <w:bottom w:val="single" w:sz="8" w:color="939598"/>
            </w:tcBorders>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0"/>
        </w:trPr>
        <w:tc>
          <w:tcPr>
            <w:tcW w:w="8700" w:type="dxa"/>
            <w:vAlign w:val="bottom"/>
            <w:tcBorders>
              <w:bottom w:val="single" w:sz="8" w:color="939598"/>
            </w:tcBorders>
            <w:gridSpan w:val="2"/>
            <w:shd w:val="clear" w:color="auto" w:fill="E6E7E8"/>
          </w:tcPr>
          <w:p>
            <w:pPr>
              <w:ind w:left="20"/>
              <w:spacing w:after="0"/>
              <w:rPr>
                <w:sz w:val="20"/>
                <w:szCs w:val="20"/>
                <w:color w:val="auto"/>
              </w:rPr>
            </w:pPr>
            <w:r>
              <w:rPr>
                <w:rFonts w:ascii="Arial" w:cs="Arial" w:eastAsia="Arial" w:hAnsi="Arial"/>
                <w:sz w:val="16"/>
                <w:szCs w:val="16"/>
                <w:b w:val="1"/>
                <w:bCs w:val="1"/>
                <w:color w:val="004A98"/>
              </w:rPr>
              <w:t>Tax fees</w:t>
            </w:r>
          </w:p>
        </w:tc>
        <w:tc>
          <w:tcPr>
            <w:tcW w:w="120" w:type="dxa"/>
            <w:vAlign w:val="bottom"/>
            <w:tcBorders>
              <w:right w:val="single" w:sz="8" w:color="E6E7E8"/>
            </w:tcBorders>
          </w:tcPr>
          <w:p>
            <w:pPr>
              <w:spacing w:after="0"/>
              <w:rPr>
                <w:sz w:val="18"/>
                <w:szCs w:val="18"/>
                <w:color w:val="auto"/>
              </w:rPr>
            </w:pPr>
          </w:p>
        </w:tc>
        <w:tc>
          <w:tcPr>
            <w:tcW w:w="220" w:type="dxa"/>
            <w:vAlign w:val="bottom"/>
            <w:tcBorders>
              <w:bottom w:val="single" w:sz="8" w:color="939598"/>
            </w:tcBorders>
            <w:shd w:val="clear" w:color="auto" w:fill="E6E7E8"/>
          </w:tcPr>
          <w:p>
            <w:pPr>
              <w:spacing w:after="0"/>
              <w:rPr>
                <w:sz w:val="18"/>
                <w:szCs w:val="18"/>
                <w:color w:val="auto"/>
              </w:rPr>
            </w:pPr>
          </w:p>
        </w:tc>
        <w:tc>
          <w:tcPr>
            <w:tcW w:w="940" w:type="dxa"/>
            <w:vAlign w:val="bottom"/>
            <w:tcBorders>
              <w:bottom w:val="single" w:sz="8" w:color="939598"/>
            </w:tcBorders>
            <w:shd w:val="clear" w:color="auto" w:fill="E6E7E8"/>
          </w:tcPr>
          <w:p>
            <w:pPr>
              <w:jc w:val="right"/>
              <w:ind w:right="2"/>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E6E7E8"/>
            </w:tcBorders>
          </w:tcPr>
          <w:p>
            <w:pPr>
              <w:spacing w:after="0"/>
              <w:rPr>
                <w:sz w:val="18"/>
                <w:szCs w:val="18"/>
                <w:color w:val="auto"/>
              </w:rPr>
            </w:pPr>
          </w:p>
        </w:tc>
        <w:tc>
          <w:tcPr>
            <w:tcW w:w="240" w:type="dxa"/>
            <w:vAlign w:val="bottom"/>
            <w:tcBorders>
              <w:bottom w:val="single" w:sz="8" w:color="939598"/>
            </w:tcBorders>
            <w:shd w:val="clear" w:color="auto" w:fill="E6E7E8"/>
          </w:tcPr>
          <w:p>
            <w:pPr>
              <w:spacing w:after="0"/>
              <w:rPr>
                <w:sz w:val="18"/>
                <w:szCs w:val="18"/>
                <w:color w:val="auto"/>
              </w:rPr>
            </w:pPr>
          </w:p>
        </w:tc>
        <w:tc>
          <w:tcPr>
            <w:tcW w:w="920" w:type="dxa"/>
            <w:vAlign w:val="bottom"/>
            <w:tcBorders>
              <w:bottom w:val="single" w:sz="8" w:color="939598"/>
            </w:tcBorders>
            <w:shd w:val="clear" w:color="auto" w:fill="E6E7E8"/>
          </w:tcPr>
          <w:p>
            <w:pPr>
              <w:jc w:val="right"/>
              <w:ind w:right="2"/>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8700" w:type="dxa"/>
            <w:vAlign w:val="bottom"/>
            <w:tcBorders>
              <w:bottom w:val="single" w:sz="8" w:color="939598"/>
            </w:tcBorders>
            <w:gridSpan w:val="2"/>
          </w:tcPr>
          <w:p>
            <w:pPr>
              <w:ind w:left="20"/>
              <w:spacing w:after="0" w:line="210" w:lineRule="exact"/>
              <w:rPr>
                <w:sz w:val="20"/>
                <w:szCs w:val="20"/>
                <w:color w:val="auto"/>
              </w:rPr>
            </w:pPr>
            <w:r>
              <w:rPr>
                <w:rFonts w:ascii="Arial" w:cs="Arial" w:eastAsia="Arial" w:hAnsi="Arial"/>
                <w:sz w:val="16"/>
                <w:szCs w:val="16"/>
                <w:b w:val="1"/>
                <w:bCs w:val="1"/>
                <w:color w:val="004A98"/>
              </w:rPr>
              <w:t>All other fees</w:t>
            </w:r>
            <w:r>
              <w:rPr>
                <w:rFonts w:ascii="Arial" w:cs="Arial" w:eastAsia="Arial" w:hAnsi="Arial"/>
                <w:sz w:val="21"/>
                <w:szCs w:val="21"/>
                <w:b w:val="1"/>
                <w:bCs w:val="1"/>
                <w:color w:val="004A98"/>
                <w:vertAlign w:val="superscript"/>
              </w:rPr>
              <w:t>(2)</w:t>
            </w:r>
          </w:p>
        </w:tc>
        <w:tc>
          <w:tcPr>
            <w:tcW w:w="120" w:type="dxa"/>
            <w:vAlign w:val="bottom"/>
          </w:tcPr>
          <w:p>
            <w:pPr>
              <w:spacing w:after="0"/>
              <w:rPr>
                <w:sz w:val="18"/>
                <w:szCs w:val="18"/>
                <w:color w:val="auto"/>
              </w:rPr>
            </w:pPr>
          </w:p>
        </w:tc>
        <w:tc>
          <w:tcPr>
            <w:tcW w:w="220" w:type="dxa"/>
            <w:vAlign w:val="bottom"/>
            <w:tcBorders>
              <w:bottom w:val="single" w:sz="8" w:color="939598"/>
            </w:tcBorders>
          </w:tcPr>
          <w:p>
            <w:pPr>
              <w:spacing w:after="0"/>
              <w:rPr>
                <w:sz w:val="18"/>
                <w:szCs w:val="18"/>
                <w:color w:val="auto"/>
              </w:rPr>
            </w:pPr>
          </w:p>
        </w:tc>
        <w:tc>
          <w:tcPr>
            <w:tcW w:w="940" w:type="dxa"/>
            <w:vAlign w:val="bottom"/>
            <w:tcBorders>
              <w:bottom w:val="single" w:sz="8" w:color="939598"/>
            </w:tcBorders>
          </w:tcPr>
          <w:p>
            <w:pPr>
              <w:jc w:val="right"/>
              <w:ind w:right="2"/>
              <w:spacing w:after="0"/>
              <w:rPr>
                <w:sz w:val="20"/>
                <w:szCs w:val="20"/>
                <w:color w:val="auto"/>
              </w:rPr>
            </w:pPr>
            <w:r>
              <w:rPr>
                <w:rFonts w:ascii="Arial" w:cs="Arial" w:eastAsia="Arial" w:hAnsi="Arial"/>
                <w:sz w:val="16"/>
                <w:szCs w:val="16"/>
                <w:color w:val="auto"/>
              </w:rPr>
              <w:t>18,000</w:t>
            </w:r>
          </w:p>
        </w:tc>
        <w:tc>
          <w:tcPr>
            <w:tcW w:w="100" w:type="dxa"/>
            <w:vAlign w:val="bottom"/>
          </w:tcPr>
          <w:p>
            <w:pPr>
              <w:spacing w:after="0"/>
              <w:rPr>
                <w:sz w:val="18"/>
                <w:szCs w:val="18"/>
                <w:color w:val="auto"/>
              </w:rPr>
            </w:pPr>
          </w:p>
        </w:tc>
        <w:tc>
          <w:tcPr>
            <w:tcW w:w="240" w:type="dxa"/>
            <w:vAlign w:val="bottom"/>
            <w:tcBorders>
              <w:bottom w:val="single" w:sz="8" w:color="939598"/>
            </w:tcBorders>
          </w:tcPr>
          <w:p>
            <w:pPr>
              <w:spacing w:after="0"/>
              <w:rPr>
                <w:sz w:val="18"/>
                <w:szCs w:val="18"/>
                <w:color w:val="auto"/>
              </w:rPr>
            </w:pPr>
          </w:p>
        </w:tc>
        <w:tc>
          <w:tcPr>
            <w:tcW w:w="920" w:type="dxa"/>
            <w:vAlign w:val="bottom"/>
            <w:tcBorders>
              <w:bottom w:val="single" w:sz="8" w:color="939598"/>
            </w:tcBorders>
          </w:tcPr>
          <w:p>
            <w:pPr>
              <w:jc w:val="right"/>
              <w:ind w:right="2"/>
              <w:spacing w:after="0"/>
              <w:rPr>
                <w:sz w:val="20"/>
                <w:szCs w:val="20"/>
                <w:color w:val="auto"/>
              </w:rPr>
            </w:pPr>
            <w:r>
              <w:rPr>
                <w:rFonts w:ascii="Arial" w:cs="Arial" w:eastAsia="Arial" w:hAnsi="Arial"/>
                <w:sz w:val="16"/>
                <w:szCs w:val="16"/>
                <w:color w:val="auto"/>
              </w:rPr>
              <w:t>18,000</w:t>
            </w:r>
          </w:p>
        </w:tc>
        <w:tc>
          <w:tcPr>
            <w:tcW w:w="0" w:type="dxa"/>
            <w:vAlign w:val="bottom"/>
          </w:tcPr>
          <w:p>
            <w:pPr>
              <w:spacing w:after="0"/>
              <w:rPr>
                <w:sz w:val="1"/>
                <w:szCs w:val="1"/>
                <w:color w:val="auto"/>
              </w:rPr>
            </w:pPr>
          </w:p>
        </w:tc>
      </w:tr>
      <w:tr>
        <w:trPr>
          <w:trHeight w:val="209"/>
        </w:trPr>
        <w:tc>
          <w:tcPr>
            <w:tcW w:w="8700" w:type="dxa"/>
            <w:vAlign w:val="bottom"/>
            <w:tcBorders>
              <w:bottom w:val="single" w:sz="8" w:color="939598"/>
            </w:tcBorders>
            <w:gridSpan w:val="2"/>
            <w:shd w:val="clear" w:color="auto" w:fill="E6E7E8"/>
          </w:tcPr>
          <w:p>
            <w:pPr>
              <w:ind w:left="20"/>
              <w:spacing w:after="0"/>
              <w:rPr>
                <w:sz w:val="20"/>
                <w:szCs w:val="20"/>
                <w:color w:val="auto"/>
              </w:rPr>
            </w:pPr>
            <w:r>
              <w:rPr>
                <w:rFonts w:ascii="Arial" w:cs="Arial" w:eastAsia="Arial" w:hAnsi="Arial"/>
                <w:sz w:val="16"/>
                <w:szCs w:val="16"/>
                <w:b w:val="1"/>
                <w:bCs w:val="1"/>
                <w:color w:val="004A98"/>
              </w:rPr>
              <w:t>Total fees</w:t>
            </w:r>
          </w:p>
        </w:tc>
        <w:tc>
          <w:tcPr>
            <w:tcW w:w="120" w:type="dxa"/>
            <w:vAlign w:val="bottom"/>
            <w:tcBorders>
              <w:right w:val="single" w:sz="8" w:color="E6E7E8"/>
            </w:tcBorders>
          </w:tcPr>
          <w:p>
            <w:pPr>
              <w:spacing w:after="0"/>
              <w:rPr>
                <w:sz w:val="18"/>
                <w:szCs w:val="18"/>
                <w:color w:val="auto"/>
              </w:rPr>
            </w:pPr>
          </w:p>
        </w:tc>
        <w:tc>
          <w:tcPr>
            <w:tcW w:w="220" w:type="dxa"/>
            <w:vAlign w:val="bottom"/>
            <w:tcBorders>
              <w:bottom w:val="single" w:sz="8" w:color="939598"/>
            </w:tcBorders>
            <w:shd w:val="clear" w:color="auto" w:fill="E6E7E8"/>
          </w:tcPr>
          <w:p>
            <w:pPr>
              <w:jc w:val="right"/>
              <w:ind w:right="6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939598"/>
            </w:tcBorders>
            <w:shd w:val="clear" w:color="auto" w:fill="E6E7E8"/>
          </w:tcPr>
          <w:p>
            <w:pPr>
              <w:jc w:val="right"/>
              <w:ind w:right="2"/>
              <w:spacing w:after="0"/>
              <w:rPr>
                <w:sz w:val="20"/>
                <w:szCs w:val="20"/>
                <w:color w:val="auto"/>
              </w:rPr>
            </w:pPr>
            <w:r>
              <w:rPr>
                <w:rFonts w:ascii="Arial" w:cs="Arial" w:eastAsia="Arial" w:hAnsi="Arial"/>
                <w:sz w:val="16"/>
                <w:szCs w:val="16"/>
                <w:color w:val="auto"/>
              </w:rPr>
              <w:t>1,833,735</w:t>
            </w:r>
          </w:p>
        </w:tc>
        <w:tc>
          <w:tcPr>
            <w:tcW w:w="100" w:type="dxa"/>
            <w:vAlign w:val="bottom"/>
            <w:tcBorders>
              <w:right w:val="single" w:sz="8" w:color="E6E7E8"/>
            </w:tcBorders>
          </w:tcPr>
          <w:p>
            <w:pPr>
              <w:spacing w:after="0"/>
              <w:rPr>
                <w:sz w:val="18"/>
                <w:szCs w:val="18"/>
                <w:color w:val="auto"/>
              </w:rPr>
            </w:pPr>
          </w:p>
        </w:tc>
        <w:tc>
          <w:tcPr>
            <w:tcW w:w="240" w:type="dxa"/>
            <w:vAlign w:val="bottom"/>
            <w:tcBorders>
              <w:bottom w:val="single" w:sz="8" w:color="939598"/>
            </w:tcBorders>
            <w:shd w:val="clear" w:color="auto" w:fill="E6E7E8"/>
          </w:tcPr>
          <w:p>
            <w:pPr>
              <w:jc w:val="right"/>
              <w:ind w:right="59"/>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939598"/>
            </w:tcBorders>
            <w:shd w:val="clear" w:color="auto" w:fill="E6E7E8"/>
          </w:tcPr>
          <w:p>
            <w:pPr>
              <w:jc w:val="right"/>
              <w:ind w:right="2"/>
              <w:spacing w:after="0"/>
              <w:rPr>
                <w:sz w:val="20"/>
                <w:szCs w:val="20"/>
                <w:color w:val="auto"/>
              </w:rPr>
            </w:pPr>
            <w:r>
              <w:rPr>
                <w:rFonts w:ascii="Arial" w:cs="Arial" w:eastAsia="Arial" w:hAnsi="Arial"/>
                <w:sz w:val="16"/>
                <w:szCs w:val="16"/>
                <w:color w:val="auto"/>
              </w:rPr>
              <w:t>2,039,283</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left="260" w:right="80" w:hanging="252"/>
        <w:spacing w:after="0"/>
        <w:tabs>
          <w:tab w:leader="none" w:pos="264" w:val="left"/>
        </w:tabs>
        <w:numPr>
          <w:ilvl w:val="0"/>
          <w:numId w:val="50"/>
        </w:numPr>
        <w:rPr>
          <w:rFonts w:ascii="Arial" w:cs="Arial" w:eastAsia="Arial" w:hAnsi="Arial"/>
          <w:sz w:val="19"/>
          <w:szCs w:val="19"/>
          <w:color w:val="auto"/>
          <w:vertAlign w:val="superscript"/>
        </w:rPr>
      </w:pPr>
      <w:r>
        <w:rPr>
          <w:rFonts w:ascii="Arial" w:cs="Arial" w:eastAsia="Arial" w:hAnsi="Arial"/>
          <w:sz w:val="14"/>
          <w:szCs w:val="14"/>
          <w:color w:val="auto"/>
        </w:rPr>
        <w:t>Audit fees consist of fees for the integrated audit of the annual financial statements included in our Annual Reports on Form 10-K, the review of the interim financial statements included in our Quarterly Reports on Form 10-Q, and other professional services provided in connection with statutory and regulatory filings or engagements for those years.</w:t>
      </w:r>
    </w:p>
    <w:p>
      <w:pPr>
        <w:spacing w:after="0" w:line="201"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50"/>
        </w:numPr>
        <w:rPr>
          <w:rFonts w:ascii="Arial" w:cs="Arial" w:eastAsia="Arial" w:hAnsi="Arial"/>
          <w:sz w:val="9"/>
          <w:szCs w:val="9"/>
          <w:color w:val="auto"/>
        </w:rPr>
      </w:pPr>
      <w:r>
        <w:rPr>
          <w:rFonts w:ascii="Arial" w:cs="Arial" w:eastAsia="Arial" w:hAnsi="Arial"/>
          <w:sz w:val="14"/>
          <w:szCs w:val="14"/>
          <w:color w:val="auto"/>
        </w:rPr>
        <w:t>All other fees consist of registration fees for three employees to participate in a KPMG leadership program.</w:t>
      </w:r>
    </w:p>
    <w:p>
      <w:pPr>
        <w:spacing w:after="0" w:line="318" w:lineRule="exact"/>
        <w:rPr>
          <w:sz w:val="20"/>
          <w:szCs w:val="20"/>
          <w:color w:val="auto"/>
        </w:rPr>
      </w:pPr>
    </w:p>
    <w:p>
      <w:pPr>
        <w:ind w:right="260"/>
        <w:spacing w:after="0" w:line="295" w:lineRule="auto"/>
        <w:rPr>
          <w:sz w:val="20"/>
          <w:szCs w:val="20"/>
          <w:color w:val="auto"/>
        </w:rPr>
      </w:pPr>
      <w:r>
        <w:rPr>
          <w:rFonts w:ascii="Arial" w:cs="Arial" w:eastAsia="Arial" w:hAnsi="Arial"/>
          <w:sz w:val="32"/>
          <w:szCs w:val="32"/>
          <w:b w:val="1"/>
          <w:bCs w:val="1"/>
          <w:color w:val="004A98"/>
        </w:rPr>
        <w:t>Policy on Audit Committee Pre-Approval of Audit and Permissible Non-Audit Services of Independent Auditors</w:t>
      </w:r>
    </w:p>
    <w:p>
      <w:pPr>
        <w:spacing w:after="0" w:line="3" w:lineRule="exact"/>
        <w:rPr>
          <w:sz w:val="20"/>
          <w:szCs w:val="20"/>
          <w:color w:val="auto"/>
        </w:rPr>
      </w:pPr>
    </w:p>
    <w:p>
      <w:pPr>
        <w:ind w:right="60"/>
        <w:spacing w:after="0" w:line="259" w:lineRule="auto"/>
        <w:rPr>
          <w:sz w:val="20"/>
          <w:szCs w:val="20"/>
          <w:color w:val="auto"/>
        </w:rPr>
      </w:pPr>
      <w:r>
        <w:rPr>
          <w:rFonts w:ascii="Arial" w:cs="Arial" w:eastAsia="Arial" w:hAnsi="Arial"/>
          <w:sz w:val="16"/>
          <w:szCs w:val="16"/>
          <w:color w:val="auto"/>
        </w:rPr>
        <w:t>Pursuant to the Audit Committee’s Charter and the Policy for Pre-Approval of Audit and Non-Audit Services, the Audit Committee, or a designated member of the Audit Committee, pre-approved all audit and permissible non-audit services provided by the independent registered public accounting firm described above. The Audit Committee has adopted a policy for the pre-approval of services provided by the Independent Auditors. These services included audit services, audit-related services, tax services and other services. Any pre-approval is detailed as to the particular service or category of services and is generally subject to a specific budget. The independent registered public accounting firm and Management are required to periodically report to the Audit Committee regarding the extent of services provided by the independent registered public accounting firm in accordance with this pre-approval, and the fees for the services performed to date.</w:t>
      </w:r>
    </w:p>
    <w:p>
      <w:pPr>
        <w:spacing w:after="0" w:line="200" w:lineRule="exact"/>
        <w:rPr>
          <w:sz w:val="20"/>
          <w:szCs w:val="20"/>
          <w:color w:val="auto"/>
        </w:rPr>
      </w:pPr>
    </w:p>
    <w:p>
      <w:pPr>
        <w:spacing w:after="0" w:line="251"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46</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9" w:name="page50"/>
    <w:bookmarkEnd w:id="4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Report of the Audit Committee</w:t>
      </w: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Report of the Audit Committee</w:t>
      </w:r>
    </w:p>
    <w:p>
      <w:pPr>
        <w:spacing w:after="0" w:line="148" w:lineRule="exact"/>
        <w:rPr>
          <w:sz w:val="20"/>
          <w:szCs w:val="20"/>
          <w:color w:val="auto"/>
        </w:rPr>
      </w:pPr>
    </w:p>
    <w:p>
      <w:pPr>
        <w:ind w:right="120"/>
        <w:spacing w:after="0" w:line="275" w:lineRule="auto"/>
        <w:rPr>
          <w:sz w:val="20"/>
          <w:szCs w:val="20"/>
          <w:color w:val="auto"/>
        </w:rPr>
      </w:pPr>
      <w:r>
        <w:rPr>
          <w:rFonts w:ascii="Arial" w:cs="Arial" w:eastAsia="Arial" w:hAnsi="Arial"/>
          <w:sz w:val="16"/>
          <w:szCs w:val="16"/>
          <w:color w:val="auto"/>
        </w:rPr>
        <w:t>The Audit Committee is composed of four directors who meet the independence and experience requirements of the listing rules of The Nasdaq Stock Market. The Audit Committee operates under a written charter adopted by the board of directors (the “Board”) of VeriSign, Inc. (“Verisign”). The members of the Audit Committee are Mr. Tomlinson (Chairperson), Mr. Armstrong, Ms. Cote, and Ms. McCann. The Audit Committee met five times during 2024.</w:t>
      </w:r>
    </w:p>
    <w:p>
      <w:pPr>
        <w:spacing w:after="0" w:line="56"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Management is responsible for the preparation, presentation, and integrity of Verisign’s financial statements, accounting, and financial reporting principles and internal controls and processes designed to provide reasonable assurance regarding the reliability of financial reporting and the preparation of financial statements for external purposes in accordance with accounting standards and applicable laws and regulations. The independent registered public accounting firm, KPMG LLP (“KPMG”), is responsible for performing an independent audit of Verisign’s consolidated financial statements and the effectiveness of Verisign’s internal control over financial reporting in accordance with standards of the Public Company Accounting Oversight Board (United States) (“PCAOB”) and for issuing reports thereon.</w:t>
      </w:r>
    </w:p>
    <w:p>
      <w:pPr>
        <w:spacing w:after="0" w:line="68" w:lineRule="exact"/>
        <w:rPr>
          <w:sz w:val="20"/>
          <w:szCs w:val="20"/>
          <w:color w:val="auto"/>
        </w:rPr>
      </w:pPr>
    </w:p>
    <w:p>
      <w:pPr>
        <w:ind w:right="60"/>
        <w:spacing w:after="0" w:line="256" w:lineRule="auto"/>
        <w:rPr>
          <w:sz w:val="20"/>
          <w:szCs w:val="20"/>
          <w:color w:val="auto"/>
        </w:rPr>
      </w:pPr>
      <w:r>
        <w:rPr>
          <w:rFonts w:ascii="Arial" w:cs="Arial" w:eastAsia="Arial" w:hAnsi="Arial"/>
          <w:sz w:val="16"/>
          <w:szCs w:val="16"/>
          <w:color w:val="auto"/>
        </w:rPr>
        <w:t>The Audit Committee is responsible for oversight of Verisign’s accounting and financial reporting processes. The Audit Committee is also responsible for the appointment, compensation, and oversight of Verisign’s independent registered public accounting firm, including (i) annually evaluating the independent registered public accounting firm’s qualifications and performance, (ii) annually reviewing and confirming the independent registered public accounting firm’s independence, (iii) reviewing and approving the planned scope of the annual audit, (iv) overseeing the audit work of the independent registered public accounting firm, (v) reviewing and pre-approving any non-audit services that may be performed by the independent registered public accounting firm, which are considered in the evaluation of the independent registered public accounting firm’s independence, (vi) annually reviewing with Management and the independent registered public accounting firm the adequacy of Verisign’s internal control over financial reporting, (vii) annually reviewing Verisign’s critical accounting policies, and the application of accounting principles, and (viii) overseeing the conduct of the annual audit, including the oversight of the resolution of any issues identified by the independent registered public accounting firm. In evaluating the independent registered public accounting firm’s qualifications and performance and considering the independent registered public accounting firm for appointment, the Audit Committee considers the firm’s quality of engagement services, as well as the engagement team’s quality of audit services (including their knowledge, skills, and experience), the firm’s global capabilities and technical resources, the reasonableness of its fees, its communications with the Audit Committee, its independence, objectivity, and professional skepticism, its knowledge of Verisign, and its tenure as Verisign’s independent registered public accounting firm as well as regulatory reviews of the firm and the firm’s responses thereto. As part of this evaluation, the Audit Committee considers information provided by the firm as well as from Management, including from the Chief Financial Officer, Controller, and Head of Internal Audit.</w:t>
      </w:r>
    </w:p>
    <w:p>
      <w:pPr>
        <w:spacing w:after="0" w:line="80" w:lineRule="exact"/>
        <w:rPr>
          <w:sz w:val="20"/>
          <w:szCs w:val="20"/>
          <w:color w:val="auto"/>
        </w:rPr>
      </w:pPr>
    </w:p>
    <w:p>
      <w:pPr>
        <w:ind w:right="80"/>
        <w:spacing w:after="0" w:line="265" w:lineRule="auto"/>
        <w:rPr>
          <w:sz w:val="20"/>
          <w:szCs w:val="20"/>
          <w:color w:val="auto"/>
        </w:rPr>
      </w:pPr>
      <w:r>
        <w:rPr>
          <w:rFonts w:ascii="Arial" w:cs="Arial" w:eastAsia="Arial" w:hAnsi="Arial"/>
          <w:sz w:val="16"/>
          <w:szCs w:val="16"/>
          <w:color w:val="auto"/>
        </w:rPr>
        <w:t>To consider the independence of Verisign’s independent registered public accountant, the Audit Committee has received from KPMG the written disclosures and the letter required by applicable requirements of the PCAOB regarding KPMG’s communications with the Audit Committee concerning independence, and the Audit Committee has discussed with KPMG their independence. In addition, the Audit Committee follows the applicable laws, rules, and regulations regarding the rotation of audit partners, including Rule 2-01 of Regulation S-X. The Audit Committee is involved in the selection of the audit partner when a rotational change is required.</w:t>
      </w:r>
    </w:p>
    <w:p>
      <w:pPr>
        <w:spacing w:after="0" w:line="64"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During 2024, the Audit Committee met privately with KPMG to discuss the results of the audit, evaluations by the independent registered public accounting firm of Verisign’s internal control over financial reporting, and the quality of Verisign’s financial reporting. In addition, in connection with its regularly scheduled meetings, the Audit Committee met privately with each of Verisign’s Chief Financial Officer, General Counsel and Compliance Officer, and Head of Internal Audit to discuss various legal, accounting, auditing, and internal control over financial reporting matters.</w:t>
      </w:r>
    </w:p>
    <w:p>
      <w:pPr>
        <w:spacing w:after="0" w:line="78"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The Audit Committee has reviewed and discussed the audited consolidated financial statements contained in Verisign’s Annual Report on Form 10-K for the year ended December 31, 2024 with Management. This review included a discussion of the accounting principles, reasonableness of significant judgments, and clarity of disclosures in the consolidated financial statements. Management represented to the Audit Committee that Verisign’s consolidated financial statements were prepared in accordance with accounting principles generally accepted in the United States of America and the Audit Committee has reviewed and discussed the consolidated financial statements with KPMG.</w:t>
      </w:r>
    </w:p>
    <w:p>
      <w:pPr>
        <w:spacing w:after="0" w:line="83"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The Audit Committee has discussed with KPMG the matters required to be discussed by the applicable requirements of the PCAOB and the Securities and Exchange Commission (the “SEC”).</w:t>
      </w:r>
    </w:p>
    <w:p>
      <w:pPr>
        <w:spacing w:after="0" w:line="48" w:lineRule="exact"/>
        <w:rPr>
          <w:sz w:val="20"/>
          <w:szCs w:val="20"/>
          <w:color w:val="auto"/>
        </w:rPr>
      </w:pPr>
    </w:p>
    <w:p>
      <w:pPr>
        <w:ind w:right="780"/>
        <w:spacing w:after="0" w:line="304" w:lineRule="auto"/>
        <w:rPr>
          <w:sz w:val="20"/>
          <w:szCs w:val="20"/>
          <w:color w:val="auto"/>
        </w:rPr>
      </w:pPr>
      <w:r>
        <w:rPr>
          <w:rFonts w:ascii="Arial" w:cs="Arial" w:eastAsia="Arial" w:hAnsi="Arial"/>
          <w:sz w:val="16"/>
          <w:szCs w:val="16"/>
          <w:color w:val="auto"/>
        </w:rPr>
        <w:t>Based upon the review and discussions referred to above, the Audit Committee recommended to the Board that the audited consolidated financial statements be included in Verisign’s Annual Report on Form 10-K for the year ended December 31, 2024, for filing with the SEC.</w:t>
      </w:r>
    </w:p>
    <w:p>
      <w:pPr>
        <w:spacing w:after="0" w:line="87" w:lineRule="exact"/>
        <w:rPr>
          <w:sz w:val="20"/>
          <w:szCs w:val="20"/>
          <w:color w:val="auto"/>
        </w:rPr>
      </w:pPr>
    </w:p>
    <w:p>
      <w:pPr>
        <w:ind w:left="6160"/>
        <w:spacing w:after="0"/>
        <w:rPr>
          <w:sz w:val="20"/>
          <w:szCs w:val="20"/>
          <w:color w:val="auto"/>
        </w:rPr>
      </w:pPr>
      <w:r>
        <w:rPr>
          <w:rFonts w:ascii="Arial" w:cs="Arial" w:eastAsia="Arial" w:hAnsi="Arial"/>
          <w:sz w:val="16"/>
          <w:szCs w:val="16"/>
          <w:color w:val="auto"/>
        </w:rPr>
        <w:t>This report is submitted by the Audit Committee</w:t>
      </w:r>
    </w:p>
    <w:p>
      <w:pPr>
        <w:spacing w:after="0" w:line="149"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004A98"/>
        </w:rPr>
        <w:t xml:space="preserve">Timothy Tomlinson </w:t>
      </w:r>
      <w:r>
        <w:rPr>
          <w:rFonts w:ascii="Arial" w:cs="Arial" w:eastAsia="Arial" w:hAnsi="Arial"/>
          <w:sz w:val="18"/>
          <w:szCs w:val="18"/>
          <w:color w:val="000000"/>
        </w:rPr>
        <w:t>(Chairperson)</w:t>
      </w:r>
    </w:p>
    <w:p>
      <w:pPr>
        <w:spacing w:after="0" w:line="50"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004A98"/>
        </w:rPr>
        <w:t>Courtney D. Armstrong</w:t>
      </w:r>
    </w:p>
    <w:p>
      <w:pPr>
        <w:spacing w:after="0" w:line="50"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004A98"/>
        </w:rPr>
        <w:t>Kathleen A. Cote</w:t>
      </w:r>
    </w:p>
    <w:p>
      <w:pPr>
        <w:spacing w:after="0" w:line="50"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004A98"/>
        </w:rPr>
        <w:t>Debra W. McCann</w:t>
      </w:r>
    </w:p>
    <w:p>
      <w:pPr>
        <w:spacing w:after="0" w:line="343"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38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FFFFFF"/>
        </w:rPr>
        <w:t>Proposal No.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362710" cy="1454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362710" cy="145415"/>
                    </a:xfrm>
                    <a:prstGeom prst="rect">
                      <a:avLst/>
                    </a:prstGeom>
                    <a:noFill/>
                  </pic:spPr>
                </pic:pic>
              </a:graphicData>
            </a:graphic>
          </wp:anchor>
        </w:drawing>
      </w:r>
    </w:p>
    <w:p>
      <w:pPr>
        <w:spacing w:after="0" w:line="396" w:lineRule="exact"/>
        <w:rPr>
          <w:sz w:val="20"/>
          <w:szCs w:val="20"/>
          <w:color w:val="auto"/>
        </w:rPr>
      </w:pPr>
    </w:p>
    <w:p>
      <w:pPr>
        <w:jc w:val="both"/>
        <w:ind w:right="580"/>
        <w:spacing w:after="0" w:line="276" w:lineRule="auto"/>
        <w:rPr>
          <w:sz w:val="20"/>
          <w:szCs w:val="20"/>
          <w:color w:val="auto"/>
        </w:rPr>
      </w:pPr>
      <w:r>
        <w:rPr>
          <w:rFonts w:ascii="Arial" w:cs="Arial" w:eastAsia="Arial" w:hAnsi="Arial"/>
          <w:sz w:val="32"/>
          <w:szCs w:val="32"/>
          <w:b w:val="1"/>
          <w:bCs w:val="1"/>
          <w:color w:val="004A98"/>
        </w:rPr>
        <w:t>Approval of an Amendment to the Company’s Restated Certificate of Incorporation to Limit the Liability of Certain Officers as Permitted by Delaware Law.</w:t>
      </w:r>
    </w:p>
    <w:p>
      <w:pPr>
        <w:spacing w:after="0" w:line="245"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In 2022, the State of Delaware, where the Company is incorporated, enacted legislation that expands exculpation protection to officers, thereby enabling companies to eliminate the monetary liability of certain officers in certain circumstances, similar to, but more limited than, the protection already afforded to directors under our Restated Certificate of Incorporation (the “Certificate”). Consistent with the update to Delaware law, we are seeking stockholder approval to amend Article Eight, Section A of the Certificate to limit the liability of certain officers in certain limited circumstances as permitted by Delaware law (the “Proposed Amendments”). While the Proposed Amendments also include conforming changes to the existing exculpation provision related to directors of the Company set forth in Article Eight, Section A of the Certificate, the current exculpation protections available to the directors remain unchanged as a result of the Proposed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163195</wp:posOffset>
            </wp:positionV>
            <wp:extent cx="7149465" cy="3517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351790"/>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189" w:lineRule="exact"/>
        <w:rPr>
          <w:sz w:val="20"/>
          <w:szCs w:val="20"/>
          <w:color w:val="auto"/>
        </w:rPr>
      </w:pPr>
    </w:p>
    <w:p>
      <w:pPr>
        <w:spacing w:after="0"/>
        <w:rPr>
          <w:sz w:val="20"/>
          <w:szCs w:val="20"/>
          <w:color w:val="auto"/>
        </w:rPr>
      </w:pPr>
      <w:r>
        <w:rPr>
          <w:sz w:val="1"/>
          <w:szCs w:val="1"/>
          <w:color w:val="auto"/>
        </w:rPr>
        <w:drawing>
          <wp:inline distT="0" distB="0" distL="0" distR="0">
            <wp:extent cx="17145" cy="351790"/>
            <wp:effectExtent l="0" t="0" r="0" b="0"/>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7145" cy="351790"/>
                    </a:xfrm>
                    <a:prstGeom prst="rect">
                      <a:avLst/>
                    </a:prstGeom>
                    <a:noFill/>
                    <a:ln>
                      <a:noFill/>
                    </a:ln>
                  </pic:spPr>
                </pic:pic>
              </a:graphicData>
            </a:graphic>
          </wp:inline>
        </w:drawing>
        <w:drawing>
          <wp:inline distT="0" distB="0" distL="0" distR="0">
            <wp:extent cx="257175" cy="257175"/>
            <wp:effectExtent l="0" t="0" r="0" b="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257175" cy="257175"/>
                    </a:xfrm>
                    <a:prstGeom prst="rect">
                      <a:avLst/>
                    </a:prstGeom>
                    <a:noFill/>
                    <a:ln>
                      <a:noFill/>
                    </a:ln>
                  </pic:spPr>
                </pic:pic>
              </a:graphicData>
            </a:graphic>
          </wp:inline>
        </w:drawing>
      </w:r>
      <w:r>
        <w:rPr>
          <w:rFonts w:ascii="Arial" w:cs="Arial" w:eastAsia="Arial" w:hAnsi="Arial"/>
          <w:sz w:val="32"/>
          <w:szCs w:val="32"/>
          <w:b w:val="1"/>
          <w:bCs w:val="1"/>
          <w:color w:val="004A98"/>
        </w:rPr>
        <w:t xml:space="preserve"> FOR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6"/>
          <w:szCs w:val="16"/>
          <w:b w:val="1"/>
          <w:bCs w:val="1"/>
          <w:color w:val="004A98"/>
        </w:rPr>
        <w:t>The Board recommends a vote FOR this proposal.</w:t>
      </w:r>
    </w:p>
    <w:p>
      <w:pPr>
        <w:spacing w:after="0" w:line="381" w:lineRule="exact"/>
        <w:rPr>
          <w:sz w:val="20"/>
          <w:szCs w:val="20"/>
          <w:color w:val="auto"/>
        </w:rPr>
      </w:pPr>
    </w:p>
    <w:p>
      <w:pPr>
        <w:sectPr>
          <w:pgSz w:w="11900" w:h="16838" w:orient="portrait"/>
          <w:cols w:equalWidth="0" w:num="2">
            <w:col w:w="1380" w:space="720"/>
            <w:col w:w="9140"/>
          </w:cols>
          <w:pgMar w:left="320" w:top="122" w:right="339" w:bottom="1440" w:gutter="0" w:footer="0" w:header="0"/>
          <w:type w:val="continuous"/>
        </w:sectPr>
      </w:pPr>
    </w:p>
    <w:p>
      <w:pPr>
        <w:spacing w:after="0" w:line="109" w:lineRule="exact"/>
        <w:rPr>
          <w:sz w:val="20"/>
          <w:szCs w:val="20"/>
          <w:color w:val="auto"/>
        </w:rPr>
      </w:pPr>
    </w:p>
    <w:p>
      <w:pPr>
        <w:spacing w:after="0"/>
        <w:rPr>
          <w:sz w:val="20"/>
          <w:szCs w:val="20"/>
          <w:color w:val="auto"/>
        </w:rPr>
      </w:pPr>
      <w:r>
        <w:rPr>
          <w:rFonts w:ascii="Arial" w:cs="Arial" w:eastAsia="Arial" w:hAnsi="Arial"/>
          <w:sz w:val="22"/>
          <w:szCs w:val="22"/>
          <w:b w:val="1"/>
          <w:bCs w:val="1"/>
          <w:color w:val="004A98"/>
        </w:rPr>
        <w:t>Purpose and Effect of the Proposed Amendments</w:t>
      </w:r>
    </w:p>
    <w:p>
      <w:pPr>
        <w:spacing w:after="0" w:line="240" w:lineRule="exact"/>
        <w:rPr>
          <w:sz w:val="20"/>
          <w:szCs w:val="20"/>
          <w:color w:val="auto"/>
        </w:rPr>
      </w:pPr>
    </w:p>
    <w:p>
      <w:pPr>
        <w:ind w:right="20"/>
        <w:spacing w:after="0" w:line="228" w:lineRule="auto"/>
        <w:rPr>
          <w:sz w:val="20"/>
          <w:szCs w:val="20"/>
          <w:color w:val="auto"/>
        </w:rPr>
      </w:pPr>
      <w:r>
        <w:rPr>
          <w:rFonts w:ascii="Arial" w:cs="Arial" w:eastAsia="Arial" w:hAnsi="Arial"/>
          <w:sz w:val="20"/>
          <w:szCs w:val="20"/>
          <w:color w:val="auto"/>
        </w:rPr>
        <w:t>T</w:t>
      </w:r>
      <w:r>
        <w:rPr>
          <w:rFonts w:ascii="Arial" w:cs="Arial" w:eastAsia="Arial" w:hAnsi="Arial"/>
          <w:sz w:val="16"/>
          <w:szCs w:val="16"/>
          <w:color w:val="auto"/>
        </w:rPr>
        <w:t>he Proposed Amendments are a result of the Board’s ongoing review of corporate governance best practices and recent changes in Delaware law. In</w:t>
      </w:r>
      <w:r>
        <w:rPr>
          <w:rFonts w:ascii="Arial" w:cs="Arial" w:eastAsia="Arial" w:hAnsi="Arial"/>
          <w:sz w:val="20"/>
          <w:szCs w:val="20"/>
          <w:color w:val="auto"/>
        </w:rPr>
        <w:t xml:space="preserve"> </w:t>
      </w:r>
      <w:r>
        <w:rPr>
          <w:rFonts w:ascii="Arial" w:cs="Arial" w:eastAsia="Arial" w:hAnsi="Arial"/>
          <w:sz w:val="16"/>
          <w:szCs w:val="16"/>
          <w:color w:val="auto"/>
        </w:rPr>
        <w:t>developing the Proposed Amendments, the Board (including all members of the Corporate Governance and Nominating Committee) carefully considered the implications of amending our Certificate to limit the liability of certain of our officers in limited circumstances as permitted by Delaware law.</w:t>
      </w:r>
    </w:p>
    <w:p>
      <w:pPr>
        <w:spacing w:after="0" w:line="206" w:lineRule="exact"/>
        <w:rPr>
          <w:sz w:val="20"/>
          <w:szCs w:val="20"/>
          <w:color w:val="auto"/>
        </w:rPr>
      </w:pPr>
    </w:p>
    <w:p>
      <w:pPr>
        <w:jc w:val="both"/>
        <w:ind w:right="200"/>
        <w:spacing w:after="0" w:line="257" w:lineRule="auto"/>
        <w:rPr>
          <w:sz w:val="20"/>
          <w:szCs w:val="20"/>
          <w:color w:val="auto"/>
        </w:rPr>
      </w:pPr>
      <w:r>
        <w:rPr>
          <w:rFonts w:ascii="Arial" w:cs="Arial" w:eastAsia="Arial" w:hAnsi="Arial"/>
          <w:sz w:val="16"/>
          <w:szCs w:val="16"/>
          <w:color w:val="auto"/>
        </w:rPr>
        <w:t>In order to better position the Company to attract and retain qualified and experienced officers, the Board believes that it is important to extend exculpation protection to officers, to the fullest extent permitted by Delaware law. In the absence of such protection, such individuals might be deterred from serving as officers due to exposure to personal liability and the risk of incurring substantial expense in defending lawsuits, regardless of merit.</w:t>
      </w:r>
    </w:p>
    <w:p>
      <w:pPr>
        <w:spacing w:after="0" w:line="192" w:lineRule="exact"/>
        <w:rPr>
          <w:sz w:val="20"/>
          <w:szCs w:val="20"/>
          <w:color w:val="auto"/>
        </w:rPr>
      </w:pPr>
    </w:p>
    <w:p>
      <w:pPr>
        <w:ind w:right="220"/>
        <w:spacing w:after="0" w:line="253" w:lineRule="auto"/>
        <w:rPr>
          <w:sz w:val="20"/>
          <w:szCs w:val="20"/>
          <w:color w:val="auto"/>
        </w:rPr>
      </w:pPr>
      <w:r>
        <w:rPr>
          <w:rFonts w:ascii="Arial" w:cs="Arial" w:eastAsia="Arial" w:hAnsi="Arial"/>
          <w:sz w:val="16"/>
          <w:szCs w:val="16"/>
          <w:color w:val="auto"/>
        </w:rPr>
        <w:t>The nature of their role often requires officers to make decisions on crucial matters, frequently in response to time-sensitive opportunities and challenges, which can create substantial risk of opportunistic lawsuits that seek to impose liability with the benefit of hindsight. Aligning the protections available to our officers with those currently available to our directors would empower officers to exercise their business judgment in furtherance of stockholder interests, without the potential distractions posed by the risk of personal liability.</w:t>
      </w:r>
    </w:p>
    <w:p>
      <w:pPr>
        <w:spacing w:after="0" w:line="196"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Board believes that the Proposed Amendments strike the appropriate balance between furthering our goals of attracting and retaining high-quality officers, on the one hand, with promoting stockholder accountability, on the other. Consistent with the General Corporation Law of Delaware (the “DGCL”), the Proposed Amendments would exculpate certain officers only in connection with direct claims brought by stockholders for breaches of the fiduciary duty of care, including class actions, but would not eliminate or limit liability with respect to any of the following:</w:t>
      </w:r>
    </w:p>
    <w:p>
      <w:pPr>
        <w:spacing w:after="0" w:line="212" w:lineRule="exact"/>
        <w:rPr>
          <w:sz w:val="20"/>
          <w:szCs w:val="20"/>
          <w:color w:val="auto"/>
        </w:rPr>
      </w:pPr>
    </w:p>
    <w:p>
      <w:pPr>
        <w:ind w:left="640" w:hanging="308"/>
        <w:spacing w:after="0"/>
        <w:tabs>
          <w:tab w:leader="none" w:pos="640" w:val="left"/>
        </w:tabs>
        <w:numPr>
          <w:ilvl w:val="0"/>
          <w:numId w:val="51"/>
        </w:numPr>
        <w:rPr>
          <w:rFonts w:ascii="Arial" w:cs="Arial" w:eastAsia="Arial" w:hAnsi="Arial"/>
          <w:sz w:val="16"/>
          <w:szCs w:val="16"/>
          <w:color w:val="004A98"/>
        </w:rPr>
      </w:pPr>
      <w:r>
        <w:rPr>
          <w:rFonts w:ascii="Arial" w:cs="Arial" w:eastAsia="Arial" w:hAnsi="Arial"/>
          <w:sz w:val="16"/>
          <w:szCs w:val="16"/>
          <w:color w:val="auto"/>
        </w:rPr>
        <w:t>any claims involving breach of the duty of loyalty to the Company or our stockholders;</w:t>
      </w:r>
    </w:p>
    <w:p>
      <w:pPr>
        <w:spacing w:after="0" w:line="7" w:lineRule="exact"/>
        <w:rPr>
          <w:rFonts w:ascii="Arial" w:cs="Arial" w:eastAsia="Arial" w:hAnsi="Arial"/>
          <w:sz w:val="16"/>
          <w:szCs w:val="16"/>
          <w:color w:val="004A98"/>
        </w:rPr>
      </w:pPr>
    </w:p>
    <w:p>
      <w:pPr>
        <w:ind w:left="640" w:hanging="308"/>
        <w:spacing w:after="0"/>
        <w:tabs>
          <w:tab w:leader="none" w:pos="640" w:val="left"/>
        </w:tabs>
        <w:numPr>
          <w:ilvl w:val="0"/>
          <w:numId w:val="51"/>
        </w:numPr>
        <w:rPr>
          <w:rFonts w:ascii="Arial" w:cs="Arial" w:eastAsia="Arial" w:hAnsi="Arial"/>
          <w:sz w:val="16"/>
          <w:szCs w:val="16"/>
          <w:color w:val="004A98"/>
        </w:rPr>
      </w:pPr>
      <w:r>
        <w:rPr>
          <w:rFonts w:ascii="Arial" w:cs="Arial" w:eastAsia="Arial" w:hAnsi="Arial"/>
          <w:sz w:val="16"/>
          <w:szCs w:val="16"/>
          <w:color w:val="auto"/>
        </w:rPr>
        <w:t>any claims involving acts or omissions not in good faith or which involve intentional misconduct or a knowing violation of law;</w:t>
      </w:r>
    </w:p>
    <w:p>
      <w:pPr>
        <w:spacing w:after="0" w:line="5" w:lineRule="exact"/>
        <w:rPr>
          <w:rFonts w:ascii="Arial" w:cs="Arial" w:eastAsia="Arial" w:hAnsi="Arial"/>
          <w:sz w:val="16"/>
          <w:szCs w:val="16"/>
          <w:color w:val="004A98"/>
        </w:rPr>
      </w:pPr>
    </w:p>
    <w:p>
      <w:pPr>
        <w:ind w:left="640" w:hanging="308"/>
        <w:spacing w:after="0" w:line="228" w:lineRule="auto"/>
        <w:tabs>
          <w:tab w:leader="none" w:pos="640" w:val="left"/>
        </w:tabs>
        <w:numPr>
          <w:ilvl w:val="0"/>
          <w:numId w:val="51"/>
        </w:numPr>
        <w:rPr>
          <w:rFonts w:ascii="Arial" w:cs="Arial" w:eastAsia="Arial" w:hAnsi="Arial"/>
          <w:sz w:val="16"/>
          <w:szCs w:val="16"/>
          <w:color w:val="004A98"/>
        </w:rPr>
      </w:pPr>
      <w:r>
        <w:rPr>
          <w:rFonts w:ascii="Arial" w:cs="Arial" w:eastAsia="Arial" w:hAnsi="Arial"/>
          <w:sz w:val="16"/>
          <w:szCs w:val="16"/>
          <w:color w:val="auto"/>
        </w:rPr>
        <w:t>any claims involving transactions from which the officer derived an improper personal benefit; or</w:t>
      </w:r>
    </w:p>
    <w:p>
      <w:pPr>
        <w:ind w:left="640" w:hanging="308"/>
        <w:spacing w:after="0"/>
        <w:tabs>
          <w:tab w:leader="none" w:pos="640" w:val="left"/>
        </w:tabs>
        <w:numPr>
          <w:ilvl w:val="0"/>
          <w:numId w:val="51"/>
        </w:numPr>
        <w:rPr>
          <w:rFonts w:ascii="Arial" w:cs="Arial" w:eastAsia="Arial" w:hAnsi="Arial"/>
          <w:sz w:val="16"/>
          <w:szCs w:val="16"/>
          <w:color w:val="004A98"/>
        </w:rPr>
      </w:pPr>
      <w:r>
        <w:rPr>
          <w:rFonts w:ascii="Arial" w:cs="Arial" w:eastAsia="Arial" w:hAnsi="Arial"/>
          <w:sz w:val="16"/>
          <w:szCs w:val="16"/>
          <w:color w:val="auto"/>
        </w:rPr>
        <w:t>any claims brought by or in the name of the Company.</w:t>
      </w:r>
    </w:p>
    <w:p>
      <w:pPr>
        <w:spacing w:after="0" w:line="232" w:lineRule="exact"/>
        <w:rPr>
          <w:sz w:val="20"/>
          <w:szCs w:val="20"/>
          <w:color w:val="auto"/>
        </w:rPr>
      </w:pPr>
    </w:p>
    <w:p>
      <w:pPr>
        <w:ind w:right="400"/>
        <w:spacing w:after="0" w:line="268" w:lineRule="auto"/>
        <w:rPr>
          <w:sz w:val="20"/>
          <w:szCs w:val="20"/>
          <w:color w:val="auto"/>
        </w:rPr>
      </w:pPr>
      <w:r>
        <w:rPr>
          <w:rFonts w:ascii="Arial" w:cs="Arial" w:eastAsia="Arial" w:hAnsi="Arial"/>
          <w:sz w:val="16"/>
          <w:szCs w:val="16"/>
          <w:color w:val="auto"/>
        </w:rPr>
        <w:t>In addition, consistent with the provision currently applicable to our directors, the Proposed Amendments provide that if the DGCL is further amended to eliminate or limit the liability of officers, the liability of such officers will be limited or eliminated to the fullest extent permitted by law, as so amended.</w:t>
      </w:r>
    </w:p>
    <w:p>
      <w:pPr>
        <w:spacing w:after="0" w:line="183" w:lineRule="exact"/>
        <w:rPr>
          <w:sz w:val="20"/>
          <w:szCs w:val="20"/>
          <w:color w:val="auto"/>
        </w:rPr>
      </w:pPr>
    </w:p>
    <w:p>
      <w:pPr>
        <w:jc w:val="both"/>
        <w:ind w:right="340"/>
        <w:spacing w:after="0" w:line="247" w:lineRule="auto"/>
        <w:rPr>
          <w:sz w:val="20"/>
          <w:szCs w:val="20"/>
          <w:color w:val="auto"/>
        </w:rPr>
      </w:pPr>
      <w:r>
        <w:rPr>
          <w:rFonts w:ascii="Arial" w:cs="Arial" w:eastAsia="Arial" w:hAnsi="Arial"/>
          <w:sz w:val="16"/>
          <w:szCs w:val="16"/>
          <w:color w:val="auto"/>
        </w:rPr>
        <w:t>In accordance with Delaware law, the Proposed Amendments would only apply to certain officers, namely to a person who (during the course of conduct alleged to be wrongful) (i) is or was serving as our President, Chief Executive Officer, Chief Operating Officer, Chief Financial Officer, Chief Legal Officer, Chief Accounting Officer, Controller or Treasurer, (ii) is or was identified in our public filings with the Securities and Exchange Commission as one of our most highly compensated executive officers, or (iii) has, by written agreement with the Company, consented to be identified as an officer for purposes of accepting service of process in Delaware.</w:t>
      </w:r>
    </w:p>
    <w:p>
      <w:pPr>
        <w:spacing w:after="0" w:line="200" w:lineRule="exact"/>
        <w:rPr>
          <w:sz w:val="20"/>
          <w:szCs w:val="20"/>
          <w:color w:val="auto"/>
        </w:rPr>
      </w:pPr>
    </w:p>
    <w:p>
      <w:pPr>
        <w:spacing w:after="0" w:line="397"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48</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1" w:name="page52"/>
    <w:bookmarkEnd w:id="51"/>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004A98"/>
        </w:rPr>
        <w:t>Proposal No. 4 Officer Exculpation</w:t>
      </w:r>
    </w:p>
    <w:p>
      <w:pPr>
        <w:spacing w:after="0" w:line="208" w:lineRule="exact"/>
        <w:rPr>
          <w:sz w:val="20"/>
          <w:szCs w:val="20"/>
          <w:color w:val="auto"/>
        </w:rPr>
      </w:pPr>
    </w:p>
    <w:p>
      <w:pPr>
        <w:jc w:val="both"/>
        <w:ind w:right="120"/>
        <w:spacing w:after="0" w:line="257" w:lineRule="auto"/>
        <w:rPr>
          <w:sz w:val="20"/>
          <w:szCs w:val="20"/>
          <w:color w:val="auto"/>
        </w:rPr>
      </w:pPr>
      <w:r>
        <w:rPr>
          <w:rFonts w:ascii="Arial" w:cs="Arial" w:eastAsia="Arial" w:hAnsi="Arial"/>
          <w:sz w:val="16"/>
          <w:szCs w:val="16"/>
          <w:color w:val="auto"/>
        </w:rPr>
        <w:t>Taking into account the narrow class and type of claims for which certain officers would be exculpated, the Board believes that the Proposed Amendments benefit the Company and our stockholders by (i) enhancing our ability to attract and retain talented officers and (ii) potentially reducing future litigation costs associated with frivolous lawsuits.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Additional Information</w:t>
      </w:r>
    </w:p>
    <w:p>
      <w:pPr>
        <w:spacing w:after="0" w:line="248" w:lineRule="exact"/>
        <w:rPr>
          <w:sz w:val="20"/>
          <w:szCs w:val="20"/>
          <w:color w:val="auto"/>
        </w:rPr>
      </w:pPr>
    </w:p>
    <w:p>
      <w:pPr>
        <w:ind w:right="540"/>
        <w:spacing w:after="0" w:line="268" w:lineRule="auto"/>
        <w:rPr>
          <w:sz w:val="20"/>
          <w:szCs w:val="20"/>
          <w:color w:val="auto"/>
        </w:rPr>
      </w:pPr>
      <w:r>
        <w:rPr>
          <w:rFonts w:ascii="Arial" w:cs="Arial" w:eastAsia="Arial" w:hAnsi="Arial"/>
          <w:sz w:val="16"/>
          <w:szCs w:val="16"/>
          <w:color w:val="auto"/>
        </w:rPr>
        <w:t>The Board has declared the Proposed Amendments to be advisable and in the best interests of the Company and its stockholders, and is accordingly submitting the proposed amendment to the stockholders for approval.</w:t>
      </w:r>
    </w:p>
    <w:p>
      <w:pPr>
        <w:spacing w:after="0" w:line="197" w:lineRule="exact"/>
        <w:rPr>
          <w:sz w:val="20"/>
          <w:szCs w:val="20"/>
          <w:color w:val="auto"/>
        </w:rPr>
      </w:pPr>
    </w:p>
    <w:p>
      <w:pPr>
        <w:ind w:right="320"/>
        <w:spacing w:after="0" w:line="268" w:lineRule="auto"/>
        <w:rPr>
          <w:sz w:val="20"/>
          <w:szCs w:val="20"/>
          <w:color w:val="auto"/>
        </w:rPr>
      </w:pPr>
      <w:r>
        <w:rPr>
          <w:rFonts w:ascii="Arial" w:cs="Arial" w:eastAsia="Arial" w:hAnsi="Arial"/>
          <w:sz w:val="16"/>
          <w:szCs w:val="16"/>
          <w:color w:val="auto"/>
        </w:rPr>
        <w:t>The general description of the Proposed Amendments set forth above is qualified in its entirety by reference to the text of the Proposed Amendments set forth in Appendix A to these proxy materials, with deletions indicated by strikeouts and additions indicated by underlining.</w:t>
      </w:r>
    </w:p>
    <w:p>
      <w:pPr>
        <w:spacing w:after="0" w:line="197"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Approval of this proposal requires the affirmative vote of holders of a majority of the Company’s outstanding shares of common stock. If approved, the Company’s officers will receive the protections from liability afforded by the Proposed Amendments effective upon the filing of a Certificate of Amendment setting forth the Proposed Amendments with the Secretary of State of the State of Delaware, which the Company intends to do promptly following the Annual Meeting.</w:t>
      </w:r>
    </w:p>
    <w:p>
      <w:pPr>
        <w:spacing w:after="0" w:line="198"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The Board reserves the right to abandon the Proposed Amendments at any time before they become effective, even if it is approved by the stockholders. If our stockholders do not approve the Proposed Amendments, Article Eight, Section A of the Certificate will remain unchanged and the Certificate of Amendment setting forth the Proposed Amendments will not be filed with the Secretary of State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355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1240"/>
          </w:cols>
          <w:pgMar w:left="320" w:top="122" w:right="339" w:bottom="0" w:gutter="0" w:footer="0" w:header="0"/>
        </w:sectPr>
      </w:pPr>
    </w:p>
    <w:bookmarkStart w:id="52" w:name="page53"/>
    <w:bookmarkEnd w:id="52"/>
    <w:p>
      <w:pPr>
        <w:ind w:left="460"/>
        <w:spacing w:after="0"/>
        <w:rPr>
          <w:sz w:val="20"/>
          <w:szCs w:val="20"/>
          <w:color w:val="auto"/>
        </w:rPr>
      </w:pPr>
      <w:r>
        <w:rPr>
          <w:rFonts w:ascii="Arial" w:cs="Arial" w:eastAsia="Arial" w:hAnsi="Arial"/>
          <w:sz w:val="18"/>
          <w:szCs w:val="18"/>
          <w:b w:val="1"/>
          <w:bCs w:val="1"/>
          <w:color w:val="FFFFFF"/>
        </w:rPr>
        <w:t>Proposal No.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1362710" cy="14541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362710" cy="145415"/>
                    </a:xfrm>
                    <a:prstGeom prst="rect">
                      <a:avLst/>
                    </a:prstGeom>
                    <a:noFill/>
                  </pic:spPr>
                </pic:pic>
              </a:graphicData>
            </a:graphic>
          </wp:anchor>
        </w:drawing>
      </w:r>
    </w:p>
    <w:p>
      <w:pPr>
        <w:spacing w:after="0" w:line="342"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Stockholder Proposal Regarding Stockholder Action by Written Consent</w:t>
      </w:r>
    </w:p>
    <w:p>
      <w:pPr>
        <w:spacing w:after="0" w:line="134" w:lineRule="exact"/>
        <w:rPr>
          <w:sz w:val="20"/>
          <w:szCs w:val="20"/>
          <w:color w:val="auto"/>
        </w:rPr>
      </w:pPr>
    </w:p>
    <w:p>
      <w:pPr>
        <w:spacing w:after="0" w:line="261" w:lineRule="auto"/>
        <w:rPr>
          <w:sz w:val="20"/>
          <w:szCs w:val="20"/>
          <w:color w:val="auto"/>
        </w:rPr>
      </w:pPr>
      <w:r>
        <w:rPr>
          <w:rFonts w:ascii="Arial" w:cs="Arial" w:eastAsia="Arial" w:hAnsi="Arial"/>
          <w:sz w:val="16"/>
          <w:szCs w:val="16"/>
          <w:color w:val="auto"/>
        </w:rPr>
        <w:t>John Chevedden has submitted a stockholder proposal for consideration at the Annual Meeting. Mr. Chevedden’s address is 2215 Nelson Avenue, No. 205, Redondo Beach, CA 90278. We have been notified that Mr. Chevedden has continuously owned no fewer than 30 shares of our common stock since November 20, 2021. If properly presented at the Annual Meeting, the Board unanimously recommends a vote “AGAINST” the following proposal. The affirmative vote of the holders of a majority of the shares of our common stock present or represented by proxy and entitled to vote at the Annual Meeting will be required to approve the stockholder proposal. Mr. Chevedden has requested that the proposal set forth in the box below be presented for a vote at the Annual Meeting:</w:t>
      </w:r>
    </w:p>
    <w:p>
      <w:pPr>
        <w:spacing w:after="0" w:line="187"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Proponent’s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40575" cy="462915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0575" cy="4629150"/>
                    </a:xfrm>
                    <a:prstGeom prst="rect">
                      <a:avLst/>
                    </a:prstGeom>
                    <a:noFill/>
                  </pic:spPr>
                </pic:pic>
              </a:graphicData>
            </a:graphic>
          </wp:anchor>
        </w:drawing>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Proposal 5 – Shareholder Right to Act by Written Consent</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0" w:right="100" w:firstLine="567"/>
        <w:spacing w:after="0" w:line="253" w:lineRule="auto"/>
        <w:rPr>
          <w:sz w:val="20"/>
          <w:szCs w:val="20"/>
          <w:color w:val="auto"/>
        </w:rPr>
      </w:pPr>
      <w:r>
        <w:rPr>
          <w:rFonts w:ascii="Arial" w:cs="Arial" w:eastAsia="Arial" w:hAnsi="Arial"/>
          <w:sz w:val="18"/>
          <w:szCs w:val="18"/>
          <w:color w:val="auto"/>
        </w:rPr>
        <w:t>Shareholders request that our board of directors take such steps as may be necessary to permit written consent by shareholders entitled to cast the minimum number of votes that would be necessary to authorize the action at a meeting at which all shareholders entitled to vote thereon were present and voting. This includes shareholder ability to initiate any appropriate topic for written consent.</w:t>
      </w:r>
    </w:p>
    <w:p>
      <w:pPr>
        <w:spacing w:after="0" w:line="196" w:lineRule="exact"/>
        <w:rPr>
          <w:sz w:val="20"/>
          <w:szCs w:val="20"/>
          <w:color w:val="auto"/>
        </w:rPr>
      </w:pPr>
    </w:p>
    <w:p>
      <w:pPr>
        <w:ind w:left="40" w:right="160" w:firstLine="567"/>
        <w:spacing w:after="0" w:line="256" w:lineRule="auto"/>
        <w:rPr>
          <w:sz w:val="20"/>
          <w:szCs w:val="20"/>
          <w:color w:val="auto"/>
        </w:rPr>
      </w:pPr>
      <w:r>
        <w:rPr>
          <w:rFonts w:ascii="Arial" w:cs="Arial" w:eastAsia="Arial" w:hAnsi="Arial"/>
          <w:sz w:val="18"/>
          <w:szCs w:val="18"/>
          <w:color w:val="auto"/>
        </w:rPr>
        <w:t>This proposal won 43% support at the 2020 VeriSign annual meeting at a time that VeriSign stock was not in its current 5-year stock price plateau during a robust stock market.</w:t>
      </w:r>
    </w:p>
    <w:p>
      <w:pPr>
        <w:spacing w:after="0" w:line="193" w:lineRule="exact"/>
        <w:rPr>
          <w:sz w:val="20"/>
          <w:szCs w:val="20"/>
          <w:color w:val="auto"/>
        </w:rPr>
      </w:pPr>
    </w:p>
    <w:p>
      <w:pPr>
        <w:ind w:left="40" w:right="280" w:firstLine="567"/>
        <w:spacing w:after="0" w:line="301" w:lineRule="auto"/>
        <w:rPr>
          <w:sz w:val="20"/>
          <w:szCs w:val="20"/>
          <w:color w:val="auto"/>
        </w:rPr>
      </w:pPr>
      <w:r>
        <w:rPr>
          <w:rFonts w:ascii="Arial" w:cs="Arial" w:eastAsia="Arial" w:hAnsi="Arial"/>
          <w:sz w:val="17"/>
          <w:szCs w:val="17"/>
          <w:color w:val="auto"/>
        </w:rPr>
        <w:t>It is important for shareholders to have a right to act by written consent at a company like VeriSign which has a flawed shareholder right to call for a special shareholder meeting and has 5-years of a relatively stagnant stock price during a robust stock market.</w:t>
      </w:r>
    </w:p>
    <w:p>
      <w:pPr>
        <w:spacing w:after="0" w:line="158" w:lineRule="exact"/>
        <w:rPr>
          <w:sz w:val="20"/>
          <w:szCs w:val="20"/>
          <w:color w:val="auto"/>
        </w:rPr>
      </w:pPr>
    </w:p>
    <w:p>
      <w:pPr>
        <w:ind w:left="40" w:right="60" w:firstLine="567"/>
        <w:spacing w:after="0" w:line="271" w:lineRule="auto"/>
        <w:rPr>
          <w:sz w:val="20"/>
          <w:szCs w:val="20"/>
          <w:color w:val="auto"/>
        </w:rPr>
      </w:pPr>
      <w:r>
        <w:rPr>
          <w:rFonts w:ascii="Arial" w:cs="Arial" w:eastAsia="Arial" w:hAnsi="Arial"/>
          <w:sz w:val="18"/>
          <w:szCs w:val="18"/>
          <w:color w:val="auto"/>
        </w:rPr>
        <w:t>To guard against the VeriSign Board of Directors becoming complacent shareholders need the ability to act by written consent to help the VeriSign adopt new strategies when the need arises.</w:t>
      </w:r>
    </w:p>
    <w:p>
      <w:pPr>
        <w:spacing w:after="0" w:line="14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The best strategies for turning around a company do not necessarily come from a company's existing shareholders.</w:t>
      </w:r>
    </w:p>
    <w:p>
      <w:pPr>
        <w:spacing w:after="0" w:line="239" w:lineRule="exact"/>
        <w:rPr>
          <w:sz w:val="20"/>
          <w:szCs w:val="20"/>
          <w:color w:val="auto"/>
        </w:rPr>
      </w:pPr>
    </w:p>
    <w:p>
      <w:pPr>
        <w:ind w:left="40" w:right="480" w:firstLine="567"/>
        <w:spacing w:after="0" w:line="253" w:lineRule="auto"/>
        <w:rPr>
          <w:sz w:val="20"/>
          <w:szCs w:val="20"/>
          <w:color w:val="auto"/>
        </w:rPr>
      </w:pPr>
      <w:r>
        <w:rPr>
          <w:rFonts w:ascii="Arial" w:cs="Arial" w:eastAsia="Arial" w:hAnsi="Arial"/>
          <w:sz w:val="18"/>
          <w:szCs w:val="18"/>
          <w:color w:val="auto"/>
        </w:rPr>
        <w:t>This proposal is necessary due to the flawed form of a shareholder right to call for a special meeting at VeriSign. If new VeriSign shareholders have a plan to restore growth to VeriSign they have to wait a year for their shares to age before calling for a special shareholder meeting.</w:t>
      </w:r>
    </w:p>
    <w:p>
      <w:pPr>
        <w:spacing w:after="0" w:line="196" w:lineRule="exact"/>
        <w:rPr>
          <w:sz w:val="20"/>
          <w:szCs w:val="20"/>
          <w:color w:val="auto"/>
        </w:rPr>
      </w:pPr>
    </w:p>
    <w:p>
      <w:pPr>
        <w:jc w:val="both"/>
        <w:ind w:left="40" w:right="100" w:firstLine="567"/>
        <w:spacing w:after="0" w:line="271" w:lineRule="auto"/>
        <w:rPr>
          <w:sz w:val="20"/>
          <w:szCs w:val="20"/>
          <w:color w:val="auto"/>
        </w:rPr>
      </w:pPr>
      <w:r>
        <w:rPr>
          <w:rFonts w:ascii="Arial" w:cs="Arial" w:eastAsia="Arial" w:hAnsi="Arial"/>
          <w:sz w:val="18"/>
          <w:szCs w:val="18"/>
          <w:color w:val="auto"/>
        </w:rPr>
        <w:t>Meanwhile the VeriSign Board of Directors can frivolously ignore plans to restore growth to VeriSign from new shareholders because by the time the new shares age the window of opportunity will be gone for the new shareholders.</w:t>
      </w:r>
    </w:p>
    <w:p>
      <w:pPr>
        <w:spacing w:after="0" w:line="181" w:lineRule="exact"/>
        <w:rPr>
          <w:sz w:val="20"/>
          <w:szCs w:val="20"/>
          <w:color w:val="auto"/>
        </w:rPr>
      </w:pPr>
    </w:p>
    <w:p>
      <w:pPr>
        <w:ind w:left="40" w:right="220" w:firstLine="567"/>
        <w:spacing w:after="0" w:line="256" w:lineRule="auto"/>
        <w:rPr>
          <w:sz w:val="20"/>
          <w:szCs w:val="20"/>
          <w:color w:val="auto"/>
        </w:rPr>
      </w:pPr>
      <w:r>
        <w:rPr>
          <w:rFonts w:ascii="Arial" w:cs="Arial" w:eastAsia="Arial" w:hAnsi="Arial"/>
          <w:sz w:val="18"/>
          <w:szCs w:val="18"/>
          <w:color w:val="auto"/>
        </w:rPr>
        <w:t>This is why acting by written consent is important to VeriSign because there is no one-year wait requirement for shareholders to act by written consent.</w:t>
      </w:r>
    </w:p>
    <w:p>
      <w:pPr>
        <w:spacing w:after="0" w:line="193" w:lineRule="exact"/>
        <w:rPr>
          <w:sz w:val="20"/>
          <w:szCs w:val="20"/>
          <w:color w:val="auto"/>
        </w:rPr>
      </w:pPr>
    </w:p>
    <w:p>
      <w:pPr>
        <w:jc w:val="both"/>
        <w:ind w:left="40" w:right="80" w:firstLine="567"/>
        <w:spacing w:after="0" w:line="242" w:lineRule="auto"/>
        <w:rPr>
          <w:sz w:val="20"/>
          <w:szCs w:val="20"/>
          <w:color w:val="auto"/>
        </w:rPr>
      </w:pPr>
      <w:r>
        <w:rPr>
          <w:rFonts w:ascii="Arial" w:cs="Arial" w:eastAsia="Arial" w:hAnsi="Arial"/>
          <w:sz w:val="18"/>
          <w:szCs w:val="18"/>
          <w:color w:val="auto"/>
        </w:rPr>
        <w:t>A shareholder ability to act by written consent would be a welcome incentive for VeriSign Directors to avoid more long-term plateaus in the VeriSign stock price since the continued service of the least qualified VeriSign Directors could be terminated by VeriSign shareholders acting by written consent. This is a good incentive for the VeriSign Directors to have for the benefit of all shareholders.</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Please vote yes:</w:t>
      </w:r>
    </w:p>
    <w:p>
      <w:pPr>
        <w:spacing w:after="0" w:line="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Shareholder Right to Act by Written Consent – Proposal 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50</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7" w:right="3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9"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Proposal No. 5 Stockholder Proposal</w:t>
      </w:r>
    </w:p>
    <w:p>
      <w:pPr>
        <w:spacing w:after="0" w:line="243"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Company Statement and Recommendation</w:t>
      </w:r>
    </w:p>
    <w:p>
      <w:pPr>
        <w:spacing w:after="0" w:line="2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Board recommends a vote “AGAINST” this proposal:</w:t>
      </w:r>
    </w:p>
    <w:p>
      <w:pPr>
        <w:spacing w:after="0" w:line="248" w:lineRule="exact"/>
        <w:rPr>
          <w:sz w:val="20"/>
          <w:szCs w:val="20"/>
          <w:color w:val="auto"/>
        </w:rPr>
      </w:pPr>
    </w:p>
    <w:p>
      <w:pPr>
        <w:ind w:right="360"/>
        <w:spacing w:after="0" w:line="275" w:lineRule="auto"/>
        <w:rPr>
          <w:sz w:val="20"/>
          <w:szCs w:val="20"/>
          <w:color w:val="auto"/>
        </w:rPr>
      </w:pPr>
      <w:r>
        <w:rPr>
          <w:rFonts w:ascii="Arial" w:cs="Arial" w:eastAsia="Arial" w:hAnsi="Arial"/>
          <w:sz w:val="16"/>
          <w:szCs w:val="16"/>
          <w:color w:val="auto"/>
        </w:rPr>
        <w:t>The Board is committed to sound corporate governance policies and practices that promote the long-term interests of all Company stockholders. After carefully reviewing this proposal and in light of our existing policies and practices, the Board believes that adopting the proposal would not be in the best interest of our stockholders and recommends voting “AGAINST” this proposal.</w:t>
      </w:r>
    </w:p>
    <w:p>
      <w:pPr>
        <w:spacing w:after="0" w:line="191"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b w:val="1"/>
          <w:bCs w:val="1"/>
          <w:color w:val="auto"/>
        </w:rPr>
        <w:t xml:space="preserve">Matters Requiring Stockholder Approval Should Be Presented To, and Voted On, By Stockholders At a Meeting Where All Stockholders Can Participate. </w:t>
      </w:r>
      <w:r>
        <w:rPr>
          <w:rFonts w:ascii="Arial" w:cs="Arial" w:eastAsia="Arial" w:hAnsi="Arial"/>
          <w:sz w:val="16"/>
          <w:szCs w:val="16"/>
          <w:color w:val="auto"/>
        </w:rPr>
        <w:t>In order to allow all stockholders equal time and opportunity to consider and act upon any matter requiring stockholder approval, the Board</w:t>
      </w:r>
      <w:r>
        <w:rPr>
          <w:rFonts w:ascii="Arial" w:cs="Arial" w:eastAsia="Arial" w:hAnsi="Arial"/>
          <w:sz w:val="16"/>
          <w:szCs w:val="16"/>
          <w:b w:val="1"/>
          <w:bCs w:val="1"/>
          <w:color w:val="auto"/>
        </w:rPr>
        <w:t xml:space="preserve"> </w:t>
      </w:r>
      <w:r>
        <w:rPr>
          <w:rFonts w:ascii="Arial" w:cs="Arial" w:eastAsia="Arial" w:hAnsi="Arial"/>
          <w:sz w:val="16"/>
          <w:szCs w:val="16"/>
          <w:color w:val="auto"/>
        </w:rPr>
        <w:t>believes that all matters should be presented and considered at an annual or special meeting of stockholders. In contrast, action by written consent thereby can disenfranchise stockholders who do not have the opportunity to vote. Adoption of the written consent right requested by this proposal would permit a small group of stockholders (including those who accumulate a short-term voting position through the borrowing of shares) with no fiduciary duties to other stockholders to initiate action with no prior notice either to other stockholders or to the Company. Any such action would prevent all stockholders from having an opportunity to deliberate in an open and transparent manner, and to consider arguments for and against any action, including Verisign’s position. In addition, a stockholder seeking action by written consent may attempt to solicit the fewest possible stockholders to take action, rather than seeking input from all stockholders, and may rely on consents obtained from some stockholders before other stockholders have had the ability to evaluate a proposal, express their views, and vote. Unlike action by written consent, when stockholders act at a special or annual meeting of stockholders, all stockholders receive advance notice of the meeting and have clearly established times during which they can evaluate the issues, engage with our Company and other stockholders, communicate their views, and vote. Permitting stockholder action by written consent could also lead to substantial confusion and disruption for stockholders, with potentially multiple, even conflicting, written consents being solicited by multiple stockholder groups. Because of these concerns, approximately 68% of the 471 S&amp;P 500 companies surveyed by FactSet either prohibit stockholders to act by written consent or only permit action by unanimous stockholder written consent.</w:t>
      </w:r>
    </w:p>
    <w:p>
      <w:pPr>
        <w:spacing w:after="0" w:line="202" w:lineRule="exact"/>
        <w:rPr>
          <w:sz w:val="20"/>
          <w:szCs w:val="20"/>
          <w:color w:val="auto"/>
        </w:rPr>
      </w:pPr>
    </w:p>
    <w:p>
      <w:pPr>
        <w:ind w:right="20"/>
        <w:spacing w:after="0" w:line="241" w:lineRule="auto"/>
        <w:rPr>
          <w:sz w:val="20"/>
          <w:szCs w:val="20"/>
          <w:color w:val="auto"/>
        </w:rPr>
      </w:pPr>
      <w:r>
        <w:rPr>
          <w:rFonts w:ascii="Arial" w:cs="Arial" w:eastAsia="Arial" w:hAnsi="Arial"/>
          <w:sz w:val="16"/>
          <w:szCs w:val="16"/>
          <w:b w:val="1"/>
          <w:bCs w:val="1"/>
          <w:color w:val="auto"/>
        </w:rPr>
        <w:t xml:space="preserve">Stockholders Owning As Few As 10% of Our Shares Have the Ability to Call a Special Meeting of Stockholders Outside of the Annual Meeting Cycle. </w:t>
      </w:r>
      <w:r>
        <w:rPr>
          <w:rFonts w:ascii="Arial" w:cs="Arial" w:eastAsia="Arial" w:hAnsi="Arial"/>
          <w:sz w:val="16"/>
          <w:szCs w:val="16"/>
          <w:color w:val="auto"/>
        </w:rPr>
        <w:t>In 2021, the Board proactively lowered our special meeting threshold from 25% to 10%. Thus, one or more stockholders owning as few as 10% of our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outstanding common stock may call a special meeting of stockholders. A special meeting permits stockholders, the Board, and Company management to vote on matters in between annual meetings. Unlike action by written consent, a special meeting of stockholders allows all stockholders to participate collectively in a single meeting. The ability for stockholders owning 10% of our outstanding shares to call a special meeting represents a significant right–and one that is significantly more stockholder-friendly than the right at most other S&amp;P 500 companies. Our 10% special meeting threshold is more favorable to stockholders than the special meeting rights at approximately 88% of the 471 S&amp;P 500 companies surveyed by FactSet, and only one of our peers provides its stockholders with a comparable special meeting right. Finally, our Board amended the Bylaws to </w:t>
      </w:r>
      <w:r>
        <w:rPr>
          <w:rFonts w:ascii="Arial" w:cs="Arial" w:eastAsia="Arial" w:hAnsi="Arial"/>
          <w:sz w:val="16"/>
          <w:szCs w:val="16"/>
          <w:i w:val="1"/>
          <w:iCs w:val="1"/>
          <w:color w:val="auto"/>
        </w:rPr>
        <w:t>extend</w:t>
      </w:r>
      <w:r>
        <w:rPr>
          <w:rFonts w:ascii="Arial" w:cs="Arial" w:eastAsia="Arial" w:hAnsi="Arial"/>
          <w:sz w:val="16"/>
          <w:szCs w:val="16"/>
          <w:color w:val="auto"/>
        </w:rPr>
        <w:t xml:space="preserve"> the time during which special meeting requests containing certain items of business can be submitted from 90 to 180 days confirming again the Board’s commitment to maintaining a meaningful and appropriate special meeting right for stockholders.</w:t>
      </w:r>
    </w:p>
    <w:p>
      <w:pPr>
        <w:spacing w:after="0" w:line="231" w:lineRule="exact"/>
        <w:rPr>
          <w:sz w:val="20"/>
          <w:szCs w:val="20"/>
          <w:color w:val="auto"/>
        </w:rPr>
      </w:pPr>
    </w:p>
    <w:p>
      <w:pPr>
        <w:ind w:right="220"/>
        <w:spacing w:after="0" w:line="286" w:lineRule="auto"/>
        <w:rPr>
          <w:sz w:val="20"/>
          <w:szCs w:val="20"/>
          <w:color w:val="auto"/>
        </w:rPr>
      </w:pPr>
      <w:r>
        <w:rPr>
          <w:rFonts w:ascii="Arial" w:cs="Arial" w:eastAsia="Arial" w:hAnsi="Arial"/>
          <w:sz w:val="16"/>
          <w:szCs w:val="16"/>
          <w:b w:val="1"/>
          <w:bCs w:val="1"/>
          <w:color w:val="auto"/>
        </w:rPr>
        <w:t xml:space="preserve">Our Stock Price has Outperformed the S&amp;P 500. </w:t>
      </w:r>
      <w:r>
        <w:rPr>
          <w:rFonts w:ascii="Arial" w:cs="Arial" w:eastAsia="Arial" w:hAnsi="Arial"/>
          <w:sz w:val="16"/>
          <w:szCs w:val="16"/>
          <w:color w:val="auto"/>
        </w:rPr>
        <w:t>The proponent noted the Company’s stock performance as part of his rationale for this proposal. Over</w:t>
      </w:r>
      <w:r>
        <w:rPr>
          <w:rFonts w:ascii="Arial" w:cs="Arial" w:eastAsia="Arial" w:hAnsi="Arial"/>
          <w:sz w:val="16"/>
          <w:szCs w:val="16"/>
          <w:b w:val="1"/>
          <w:bCs w:val="1"/>
          <w:color w:val="auto"/>
        </w:rPr>
        <w:t xml:space="preserve"> </w:t>
      </w:r>
      <w:r>
        <w:rPr>
          <w:rFonts w:ascii="Arial" w:cs="Arial" w:eastAsia="Arial" w:hAnsi="Arial"/>
          <w:sz w:val="16"/>
          <w:szCs w:val="16"/>
          <w:color w:val="auto"/>
        </w:rPr>
        <w:t>the last 12 months the Company's stock price has increased over 26% while the S&amp;P 500 has returned just over 15%.</w:t>
      </w:r>
    </w:p>
    <w:p>
      <w:pPr>
        <w:spacing w:after="0" w:line="196" w:lineRule="exact"/>
        <w:rPr>
          <w:sz w:val="20"/>
          <w:szCs w:val="20"/>
          <w:color w:val="auto"/>
        </w:rPr>
      </w:pPr>
    </w:p>
    <w:p>
      <w:pPr>
        <w:ind w:right="140"/>
        <w:spacing w:after="0" w:line="255" w:lineRule="auto"/>
        <w:rPr>
          <w:sz w:val="20"/>
          <w:szCs w:val="20"/>
          <w:color w:val="auto"/>
        </w:rPr>
      </w:pPr>
      <w:r>
        <w:rPr>
          <w:rFonts w:ascii="Arial" w:cs="Arial" w:eastAsia="Arial" w:hAnsi="Arial"/>
          <w:sz w:val="16"/>
          <w:szCs w:val="16"/>
          <w:b w:val="1"/>
          <w:bCs w:val="1"/>
          <w:color w:val="auto"/>
        </w:rPr>
        <w:t xml:space="preserve">Stockholders Owning 3% of Our Shares Already Have the Ability to Nominate Director Candidates for Election to the Board Through the Company’s Proxy Access Bylaw. </w:t>
      </w:r>
      <w:r>
        <w:rPr>
          <w:rFonts w:ascii="Arial" w:cs="Arial" w:eastAsia="Arial" w:hAnsi="Arial"/>
          <w:sz w:val="16"/>
          <w:szCs w:val="16"/>
          <w:color w:val="auto"/>
        </w:rPr>
        <w:t>In 2016, the Board adopted a market-standard proxy access Bylaw right. This provision allows stockholders owning 3%</w:t>
      </w:r>
      <w:r>
        <w:rPr>
          <w:rFonts w:ascii="Arial" w:cs="Arial" w:eastAsia="Arial" w:hAnsi="Arial"/>
          <w:sz w:val="16"/>
          <w:szCs w:val="16"/>
          <w:b w:val="1"/>
          <w:bCs w:val="1"/>
          <w:color w:val="auto"/>
        </w:rPr>
        <w:t xml:space="preserve"> </w:t>
      </w:r>
      <w:r>
        <w:rPr>
          <w:rFonts w:ascii="Arial" w:cs="Arial" w:eastAsia="Arial" w:hAnsi="Arial"/>
          <w:sz w:val="16"/>
          <w:szCs w:val="16"/>
          <w:color w:val="auto"/>
        </w:rPr>
        <w:t>or more of our outstanding common stock for three years the right to nominate director candidates constituting up to 20% of our Board, and to have those nominees included in our proxy materials. This proxy access right complements the ability of stockholders to call a special meeting to voice their views in a way that is less onerous than taking action by written consent, as requested by the proposal, which would require proposed actions to be approved by holders of at least a majority (or higher if required by Delaware law or our certificate of incorporation) of our outstanding shares.</w:t>
      </w:r>
    </w:p>
    <w:p>
      <w:pPr>
        <w:ind w:right="40"/>
        <w:spacing w:after="0" w:line="267" w:lineRule="auto"/>
        <w:rPr>
          <w:sz w:val="20"/>
          <w:szCs w:val="20"/>
          <w:color w:val="auto"/>
        </w:rPr>
      </w:pPr>
      <w:r>
        <w:rPr>
          <w:rFonts w:ascii="Arial" w:cs="Arial" w:eastAsia="Arial" w:hAnsi="Arial"/>
          <w:sz w:val="16"/>
          <w:szCs w:val="16"/>
          <w:color w:val="auto"/>
        </w:rPr>
        <w:t>The Company’s Other Governance Policies Further Empower Stockholders and Promote Board Accountability. The Board is committed to good corporate governance and has adopted policies and practices that provide our stockholders with additional opportunities to have their voices heard and that encourage effective, independent Board oversight of our management:</w:t>
      </w:r>
    </w:p>
    <w:p>
      <w:pPr>
        <w:spacing w:after="0" w:line="197" w:lineRule="exact"/>
        <w:rPr>
          <w:sz w:val="20"/>
          <w:szCs w:val="20"/>
          <w:color w:val="auto"/>
        </w:rPr>
      </w:pPr>
    </w:p>
    <w:p>
      <w:pPr>
        <w:ind w:left="640" w:hanging="308"/>
        <w:spacing w:after="0"/>
        <w:tabs>
          <w:tab w:leader="none" w:pos="640" w:val="left"/>
        </w:tabs>
        <w:numPr>
          <w:ilvl w:val="0"/>
          <w:numId w:val="52"/>
        </w:numPr>
        <w:rPr>
          <w:rFonts w:ascii="Arial" w:cs="Arial" w:eastAsia="Arial" w:hAnsi="Arial"/>
          <w:sz w:val="16"/>
          <w:szCs w:val="16"/>
          <w:color w:val="004A98"/>
        </w:rPr>
      </w:pPr>
      <w:r>
        <w:rPr>
          <w:rFonts w:ascii="Arial" w:cs="Arial" w:eastAsia="Arial" w:hAnsi="Arial"/>
          <w:sz w:val="16"/>
          <w:szCs w:val="16"/>
          <w:color w:val="auto"/>
        </w:rPr>
        <w:t>Annual Election of Directors. All directors are elected annually, and stockholders can remove directors with or without cause.</w:t>
      </w:r>
    </w:p>
    <w:p>
      <w:pPr>
        <w:spacing w:after="0" w:line="21" w:lineRule="exact"/>
        <w:rPr>
          <w:rFonts w:ascii="Arial" w:cs="Arial" w:eastAsia="Arial" w:hAnsi="Arial"/>
          <w:sz w:val="16"/>
          <w:szCs w:val="16"/>
          <w:color w:val="004A98"/>
        </w:rPr>
      </w:pPr>
    </w:p>
    <w:p>
      <w:pPr>
        <w:ind w:left="640" w:hanging="308"/>
        <w:spacing w:after="0"/>
        <w:tabs>
          <w:tab w:leader="none" w:pos="640" w:val="left"/>
        </w:tabs>
        <w:numPr>
          <w:ilvl w:val="0"/>
          <w:numId w:val="52"/>
        </w:numPr>
        <w:rPr>
          <w:rFonts w:ascii="Arial" w:cs="Arial" w:eastAsia="Arial" w:hAnsi="Arial"/>
          <w:sz w:val="16"/>
          <w:szCs w:val="16"/>
          <w:color w:val="004A98"/>
        </w:rPr>
      </w:pPr>
      <w:r>
        <w:rPr>
          <w:rFonts w:ascii="Arial" w:cs="Arial" w:eastAsia="Arial" w:hAnsi="Arial"/>
          <w:sz w:val="16"/>
          <w:szCs w:val="16"/>
          <w:color w:val="auto"/>
        </w:rPr>
        <w:t>Majority Voting for Election of Directors. We have adopted a majority voting standard for the election of directors in uncontested elections.</w:t>
      </w:r>
    </w:p>
    <w:p>
      <w:pPr>
        <w:spacing w:after="0" w:line="14" w:lineRule="exact"/>
        <w:rPr>
          <w:rFonts w:ascii="Arial" w:cs="Arial" w:eastAsia="Arial" w:hAnsi="Arial"/>
          <w:sz w:val="16"/>
          <w:szCs w:val="16"/>
          <w:color w:val="004A98"/>
        </w:rPr>
      </w:pPr>
    </w:p>
    <w:p>
      <w:pPr>
        <w:ind w:left="640" w:hanging="308"/>
        <w:spacing w:after="0"/>
        <w:tabs>
          <w:tab w:leader="none" w:pos="640" w:val="left"/>
        </w:tabs>
        <w:numPr>
          <w:ilvl w:val="0"/>
          <w:numId w:val="52"/>
        </w:numPr>
        <w:rPr>
          <w:rFonts w:ascii="Arial" w:cs="Arial" w:eastAsia="Arial" w:hAnsi="Arial"/>
          <w:sz w:val="16"/>
          <w:szCs w:val="16"/>
          <w:color w:val="004A98"/>
        </w:rPr>
      </w:pPr>
      <w:r>
        <w:rPr>
          <w:rFonts w:ascii="Arial" w:cs="Arial" w:eastAsia="Arial" w:hAnsi="Arial"/>
          <w:sz w:val="16"/>
          <w:szCs w:val="16"/>
          <w:color w:val="auto"/>
        </w:rPr>
        <w:t>Stockholder Engagement. Stockholders can communicate directly with the Board as a whole or with individual directors.</w:t>
      </w:r>
    </w:p>
    <w:p>
      <w:pPr>
        <w:spacing w:after="0" w:line="8" w:lineRule="exact"/>
        <w:rPr>
          <w:rFonts w:ascii="Arial" w:cs="Arial" w:eastAsia="Arial" w:hAnsi="Arial"/>
          <w:sz w:val="16"/>
          <w:szCs w:val="16"/>
          <w:color w:val="004A98"/>
        </w:rPr>
      </w:pPr>
    </w:p>
    <w:p>
      <w:pPr>
        <w:ind w:left="640" w:hanging="308"/>
        <w:spacing w:after="0"/>
        <w:tabs>
          <w:tab w:leader="none" w:pos="640" w:val="left"/>
        </w:tabs>
        <w:numPr>
          <w:ilvl w:val="0"/>
          <w:numId w:val="52"/>
        </w:numPr>
        <w:rPr>
          <w:rFonts w:ascii="Arial" w:cs="Arial" w:eastAsia="Arial" w:hAnsi="Arial"/>
          <w:sz w:val="16"/>
          <w:szCs w:val="16"/>
          <w:color w:val="004A98"/>
        </w:rPr>
      </w:pPr>
      <w:r>
        <w:rPr>
          <w:rFonts w:ascii="Arial" w:cs="Arial" w:eastAsia="Arial" w:hAnsi="Arial"/>
          <w:sz w:val="16"/>
          <w:szCs w:val="16"/>
          <w:color w:val="auto"/>
        </w:rPr>
        <w:t>Independent Board Leadership. All but one director on the Board are independent, as defined under Nasdaq’s director independence standards.</w:t>
      </w:r>
    </w:p>
    <w:p>
      <w:pPr>
        <w:spacing w:after="0" w:line="15" w:lineRule="exact"/>
        <w:rPr>
          <w:sz w:val="20"/>
          <w:szCs w:val="20"/>
          <w:color w:val="auto"/>
        </w:rPr>
      </w:pPr>
    </w:p>
    <w:p>
      <w:pPr>
        <w:ind w:left="660" w:right="460"/>
        <w:spacing w:after="0" w:line="270" w:lineRule="auto"/>
        <w:rPr>
          <w:sz w:val="20"/>
          <w:szCs w:val="20"/>
          <w:color w:val="auto"/>
        </w:rPr>
      </w:pPr>
      <w:r>
        <w:rPr>
          <w:rFonts w:ascii="Arial" w:cs="Arial" w:eastAsia="Arial" w:hAnsi="Arial"/>
          <w:sz w:val="16"/>
          <w:szCs w:val="16"/>
          <w:color w:val="auto"/>
        </w:rPr>
        <w:t>Independent directors thus compose 89% of the Board, well above the majority required by Nasdaq. In addition, we have a Lead Independent Director with robust duties.</w:t>
      </w:r>
    </w:p>
    <w:p>
      <w:pPr>
        <w:spacing w:after="0" w:line="186"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Proposal No. 5 Stockholder Proposal</w:t>
      </w:r>
    </w:p>
    <w:p>
      <w:pPr>
        <w:spacing w:after="0" w:line="208" w:lineRule="exact"/>
        <w:rPr>
          <w:sz w:val="20"/>
          <w:szCs w:val="20"/>
          <w:color w:val="auto"/>
        </w:rPr>
      </w:pPr>
    </w:p>
    <w:p>
      <w:pPr>
        <w:ind w:left="660" w:right="320" w:hanging="328"/>
        <w:spacing w:after="0" w:line="275" w:lineRule="auto"/>
        <w:tabs>
          <w:tab w:leader="none" w:pos="636" w:val="left"/>
        </w:tabs>
        <w:numPr>
          <w:ilvl w:val="0"/>
          <w:numId w:val="53"/>
        </w:numPr>
        <w:rPr>
          <w:rFonts w:ascii="Arial" w:cs="Arial" w:eastAsia="Arial" w:hAnsi="Arial"/>
          <w:sz w:val="16"/>
          <w:szCs w:val="16"/>
          <w:color w:val="004A98"/>
        </w:rPr>
      </w:pPr>
      <w:r>
        <w:rPr>
          <w:rFonts w:ascii="Arial" w:cs="Arial" w:eastAsia="Arial" w:hAnsi="Arial"/>
          <w:sz w:val="16"/>
          <w:szCs w:val="16"/>
          <w:color w:val="auto"/>
        </w:rPr>
        <w:t>Independent Board Committees. All members of the Audit Committee, Corporate Governance and Nominating Committee, and Compensation Committee are independent directors. This entrusts oversight of critical matters to independent directors, such as the integrity of the Company’s financial statements, the evaluation of the Board and its committees, and the compensation of executive officers.</w:t>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In sum, the Board believes that adoption of this proposal is unnecessary for the following reasons:</w:t>
      </w:r>
    </w:p>
    <w:p>
      <w:pPr>
        <w:spacing w:after="0" w:line="31" w:lineRule="exact"/>
        <w:rPr>
          <w:sz w:val="20"/>
          <w:szCs w:val="20"/>
          <w:color w:val="auto"/>
        </w:rPr>
      </w:pPr>
    </w:p>
    <w:p>
      <w:pPr>
        <w:ind w:left="640" w:hanging="308"/>
        <w:spacing w:after="0"/>
        <w:tabs>
          <w:tab w:leader="none" w:pos="640" w:val="left"/>
        </w:tabs>
        <w:numPr>
          <w:ilvl w:val="0"/>
          <w:numId w:val="54"/>
        </w:numPr>
        <w:rPr>
          <w:rFonts w:ascii="Arial" w:cs="Arial" w:eastAsia="Arial" w:hAnsi="Arial"/>
          <w:sz w:val="16"/>
          <w:szCs w:val="16"/>
          <w:color w:val="004A98"/>
        </w:rPr>
      </w:pPr>
      <w:r>
        <w:rPr>
          <w:rFonts w:ascii="Arial" w:cs="Arial" w:eastAsia="Arial" w:hAnsi="Arial"/>
          <w:sz w:val="16"/>
          <w:szCs w:val="16"/>
          <w:color w:val="auto"/>
        </w:rPr>
        <w:t>Verisign’s long demonstrated history of commitment to high standards of corporate governance and accountability;</w:t>
      </w:r>
    </w:p>
    <w:p>
      <w:pPr>
        <w:spacing w:after="0" w:line="8" w:lineRule="exact"/>
        <w:rPr>
          <w:rFonts w:ascii="Arial" w:cs="Arial" w:eastAsia="Arial" w:hAnsi="Arial"/>
          <w:sz w:val="16"/>
          <w:szCs w:val="16"/>
          <w:color w:val="004A98"/>
        </w:rPr>
      </w:pPr>
    </w:p>
    <w:p>
      <w:pPr>
        <w:ind w:left="660" w:hanging="328"/>
        <w:spacing w:after="0" w:line="252" w:lineRule="auto"/>
        <w:tabs>
          <w:tab w:leader="none" w:pos="636" w:val="left"/>
        </w:tabs>
        <w:numPr>
          <w:ilvl w:val="0"/>
          <w:numId w:val="54"/>
        </w:numPr>
        <w:rPr>
          <w:rFonts w:ascii="Arial" w:cs="Arial" w:eastAsia="Arial" w:hAnsi="Arial"/>
          <w:sz w:val="16"/>
          <w:szCs w:val="16"/>
          <w:color w:val="004A98"/>
        </w:rPr>
      </w:pPr>
      <w:r>
        <w:rPr>
          <w:rFonts w:ascii="Arial" w:cs="Arial" w:eastAsia="Arial" w:hAnsi="Arial"/>
          <w:sz w:val="16"/>
          <w:szCs w:val="16"/>
          <w:color w:val="auto"/>
        </w:rPr>
        <w:t>In contrast to acting by written consent, we believe that holding meetings with proper notice whereby all stockholders may deliberate and discuss the proposed actions, receive and consider the Company’s position, and then vote their shares is the most transparent and fair way for stockholders to take action;</w:t>
      </w:r>
    </w:p>
    <w:p>
      <w:pPr>
        <w:ind w:left="660" w:right="240" w:hanging="328"/>
        <w:spacing w:after="0" w:line="255" w:lineRule="auto"/>
        <w:tabs>
          <w:tab w:leader="none" w:pos="636" w:val="left"/>
        </w:tabs>
        <w:numPr>
          <w:ilvl w:val="0"/>
          <w:numId w:val="54"/>
        </w:numPr>
        <w:rPr>
          <w:rFonts w:ascii="Arial" w:cs="Arial" w:eastAsia="Arial" w:hAnsi="Arial"/>
          <w:sz w:val="16"/>
          <w:szCs w:val="16"/>
          <w:color w:val="004A98"/>
        </w:rPr>
      </w:pPr>
      <w:r>
        <w:rPr>
          <w:rFonts w:ascii="Arial" w:cs="Arial" w:eastAsia="Arial" w:hAnsi="Arial"/>
          <w:sz w:val="16"/>
          <w:szCs w:val="16"/>
          <w:color w:val="auto"/>
        </w:rPr>
        <w:t>Our existing special meeting and proxy access bylaws provisions provide our stockholders with meaningful opportunities to take action and those processes both promote and protect stockholders’ interests; and</w:t>
      </w:r>
    </w:p>
    <w:p>
      <w:pPr>
        <w:ind w:left="660" w:right="80" w:hanging="328"/>
        <w:spacing w:after="0" w:line="265" w:lineRule="auto"/>
        <w:tabs>
          <w:tab w:leader="none" w:pos="636" w:val="left"/>
        </w:tabs>
        <w:numPr>
          <w:ilvl w:val="0"/>
          <w:numId w:val="54"/>
        </w:numPr>
        <w:rPr>
          <w:rFonts w:ascii="Arial" w:cs="Arial" w:eastAsia="Arial" w:hAnsi="Arial"/>
          <w:sz w:val="16"/>
          <w:szCs w:val="16"/>
          <w:color w:val="004A98"/>
        </w:rPr>
      </w:pPr>
      <w:r>
        <w:rPr>
          <w:rFonts w:ascii="Arial" w:cs="Arial" w:eastAsia="Arial" w:hAnsi="Arial"/>
          <w:sz w:val="16"/>
          <w:szCs w:val="16"/>
          <w:color w:val="auto"/>
        </w:rPr>
        <w:t>As described in this Proxy Statement, the Company has an established process by which stockholders may communicate directly with our Board or non-management directors throughout the year on any topics of interest to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52</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Security Ownership of Certain Beneficial Owners and Management</w:t>
      </w:r>
    </w:p>
    <w:p>
      <w:pPr>
        <w:spacing w:after="0" w:line="134" w:lineRule="exact"/>
        <w:rPr>
          <w:sz w:val="20"/>
          <w:szCs w:val="20"/>
          <w:color w:val="auto"/>
        </w:rPr>
      </w:pPr>
    </w:p>
    <w:p>
      <w:pPr>
        <w:ind w:right="500"/>
        <w:spacing w:after="0" w:line="286" w:lineRule="auto"/>
        <w:rPr>
          <w:sz w:val="20"/>
          <w:szCs w:val="20"/>
          <w:color w:val="auto"/>
        </w:rPr>
      </w:pPr>
      <w:r>
        <w:rPr>
          <w:rFonts w:ascii="Arial" w:cs="Arial" w:eastAsia="Arial" w:hAnsi="Arial"/>
          <w:sz w:val="16"/>
          <w:szCs w:val="16"/>
          <w:color w:val="auto"/>
        </w:rPr>
        <w:t>The following table sets forth certain information with respect to the beneficial ownership of our common stock as of April 1, 2025, except as otherwise indicated, by:</w:t>
      </w:r>
    </w:p>
    <w:p>
      <w:pPr>
        <w:spacing w:after="0" w:line="48" w:lineRule="exact"/>
        <w:rPr>
          <w:sz w:val="20"/>
          <w:szCs w:val="20"/>
          <w:color w:val="auto"/>
        </w:rPr>
      </w:pPr>
    </w:p>
    <w:p>
      <w:pPr>
        <w:ind w:left="180" w:hanging="172"/>
        <w:spacing w:after="0"/>
        <w:tabs>
          <w:tab w:leader="none" w:pos="180" w:val="left"/>
        </w:tabs>
        <w:numPr>
          <w:ilvl w:val="0"/>
          <w:numId w:val="55"/>
        </w:numPr>
        <w:rPr>
          <w:rFonts w:ascii="Arial" w:cs="Arial" w:eastAsia="Arial" w:hAnsi="Arial"/>
          <w:sz w:val="16"/>
          <w:szCs w:val="16"/>
          <w:color w:val="004A98"/>
        </w:rPr>
      </w:pPr>
      <w:r>
        <w:rPr>
          <w:rFonts w:ascii="Arial" w:cs="Arial" w:eastAsia="Arial" w:hAnsi="Arial"/>
          <w:sz w:val="16"/>
          <w:szCs w:val="16"/>
          <w:color w:val="auto"/>
        </w:rPr>
        <w:t>each current stockholder who is known by us to own beneficially more than 5% of our common stock;</w:t>
      </w:r>
    </w:p>
    <w:p>
      <w:pPr>
        <w:spacing w:after="0" w:line="86" w:lineRule="exact"/>
        <w:rPr>
          <w:rFonts w:ascii="Arial" w:cs="Arial" w:eastAsia="Arial" w:hAnsi="Arial"/>
          <w:sz w:val="16"/>
          <w:szCs w:val="16"/>
          <w:color w:val="004A98"/>
        </w:rPr>
      </w:pPr>
    </w:p>
    <w:p>
      <w:pPr>
        <w:ind w:left="180" w:hanging="172"/>
        <w:spacing w:after="0"/>
        <w:tabs>
          <w:tab w:leader="none" w:pos="180" w:val="left"/>
        </w:tabs>
        <w:numPr>
          <w:ilvl w:val="0"/>
          <w:numId w:val="55"/>
        </w:numPr>
        <w:rPr>
          <w:rFonts w:ascii="Arial" w:cs="Arial" w:eastAsia="Arial" w:hAnsi="Arial"/>
          <w:sz w:val="16"/>
          <w:szCs w:val="16"/>
          <w:color w:val="004A98"/>
        </w:rPr>
      </w:pPr>
      <w:r>
        <w:rPr>
          <w:rFonts w:ascii="Arial" w:cs="Arial" w:eastAsia="Arial" w:hAnsi="Arial"/>
          <w:sz w:val="16"/>
          <w:szCs w:val="16"/>
          <w:color w:val="auto"/>
        </w:rPr>
        <w:t>each current director;</w:t>
      </w:r>
    </w:p>
    <w:p>
      <w:pPr>
        <w:spacing w:after="0" w:line="86" w:lineRule="exact"/>
        <w:rPr>
          <w:rFonts w:ascii="Arial" w:cs="Arial" w:eastAsia="Arial" w:hAnsi="Arial"/>
          <w:sz w:val="16"/>
          <w:szCs w:val="16"/>
          <w:color w:val="004A98"/>
        </w:rPr>
      </w:pPr>
    </w:p>
    <w:p>
      <w:pPr>
        <w:ind w:left="180" w:hanging="172"/>
        <w:spacing w:after="0"/>
        <w:tabs>
          <w:tab w:leader="none" w:pos="180" w:val="left"/>
        </w:tabs>
        <w:numPr>
          <w:ilvl w:val="0"/>
          <w:numId w:val="55"/>
        </w:numPr>
        <w:rPr>
          <w:rFonts w:ascii="Arial" w:cs="Arial" w:eastAsia="Arial" w:hAnsi="Arial"/>
          <w:sz w:val="16"/>
          <w:szCs w:val="16"/>
          <w:color w:val="004A98"/>
        </w:rPr>
      </w:pPr>
      <w:r>
        <w:rPr>
          <w:rFonts w:ascii="Arial" w:cs="Arial" w:eastAsia="Arial" w:hAnsi="Arial"/>
          <w:sz w:val="16"/>
          <w:szCs w:val="16"/>
          <w:color w:val="auto"/>
        </w:rPr>
        <w:t>each of our Named Executive Officers listed in the Summary Compensation Table in “Executive Compensation” elsewhere in this Proxy Statement; and</w:t>
      </w:r>
    </w:p>
    <w:p>
      <w:pPr>
        <w:spacing w:after="0" w:line="86" w:lineRule="exact"/>
        <w:rPr>
          <w:rFonts w:ascii="Arial" w:cs="Arial" w:eastAsia="Arial" w:hAnsi="Arial"/>
          <w:sz w:val="16"/>
          <w:szCs w:val="16"/>
          <w:color w:val="004A98"/>
        </w:rPr>
      </w:pPr>
    </w:p>
    <w:p>
      <w:pPr>
        <w:ind w:left="180" w:hanging="172"/>
        <w:spacing w:after="0"/>
        <w:tabs>
          <w:tab w:leader="none" w:pos="180" w:val="left"/>
        </w:tabs>
        <w:numPr>
          <w:ilvl w:val="0"/>
          <w:numId w:val="55"/>
        </w:numPr>
        <w:rPr>
          <w:rFonts w:ascii="Arial" w:cs="Arial" w:eastAsia="Arial" w:hAnsi="Arial"/>
          <w:sz w:val="16"/>
          <w:szCs w:val="16"/>
          <w:color w:val="004A98"/>
        </w:rPr>
      </w:pPr>
      <w:r>
        <w:rPr>
          <w:rFonts w:ascii="Arial" w:cs="Arial" w:eastAsia="Arial" w:hAnsi="Arial"/>
          <w:sz w:val="16"/>
          <w:szCs w:val="16"/>
          <w:color w:val="auto"/>
        </w:rPr>
        <w:t>all current directors and Executive Officers as a group.</w:t>
      </w:r>
    </w:p>
    <w:p>
      <w:pPr>
        <w:spacing w:after="0" w:line="113" w:lineRule="exact"/>
        <w:rPr>
          <w:sz w:val="20"/>
          <w:szCs w:val="20"/>
          <w:color w:val="auto"/>
        </w:rPr>
      </w:pPr>
    </w:p>
    <w:p>
      <w:pPr>
        <w:ind w:right="100"/>
        <w:spacing w:after="0" w:line="265" w:lineRule="auto"/>
        <w:rPr>
          <w:sz w:val="20"/>
          <w:szCs w:val="20"/>
          <w:color w:val="auto"/>
        </w:rPr>
      </w:pPr>
      <w:r>
        <w:rPr>
          <w:rFonts w:ascii="Arial" w:cs="Arial" w:eastAsia="Arial" w:hAnsi="Arial"/>
          <w:sz w:val="16"/>
          <w:szCs w:val="16"/>
          <w:color w:val="auto"/>
        </w:rPr>
        <w:t>Shares of common stock that are issuable upon vesting of RSUs within 60 days of April 1, 2025 are deemed outstanding for the purpose of computing the percentage ownership of the person holding such RSUs but are not deemed outstanding for computing the percentage ownership of any other person. Unless otherwise indicated in the footnotes following the table, the persons and entities named in the table have sole voting and sole investment power with respect to all shares beneficially owned, subject to community property laws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67310</wp:posOffset>
            </wp:positionV>
            <wp:extent cx="713232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3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004A98"/>
        </w:rPr>
        <w:t>BENEFICIAL OWNERSHIP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5628640</wp:posOffset>
            </wp:positionH>
            <wp:positionV relativeFrom="paragraph">
              <wp:posOffset>165100</wp:posOffset>
            </wp:positionV>
            <wp:extent cx="702945" cy="3683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02945" cy="368300"/>
                    </a:xfrm>
                    <a:prstGeom prst="rect">
                      <a:avLst/>
                    </a:prstGeom>
                    <a:noFill/>
                  </pic:spPr>
                </pic:pic>
              </a:graphicData>
            </a:graphic>
          </wp:anchor>
        </w:drawing>
      </w:r>
    </w:p>
    <w:p>
      <w:pPr>
        <w:spacing w:after="0" w:line="249" w:lineRule="exact"/>
        <w:rPr>
          <w:sz w:val="20"/>
          <w:szCs w:val="20"/>
          <w:color w:val="auto"/>
        </w:rPr>
      </w:pPr>
    </w:p>
    <w:p>
      <w:pPr>
        <w:jc w:val="center"/>
        <w:ind w:left="8860"/>
        <w:spacing w:after="0"/>
        <w:rPr>
          <w:sz w:val="20"/>
          <w:szCs w:val="20"/>
          <w:color w:val="auto"/>
        </w:rPr>
      </w:pPr>
      <w:r>
        <w:rPr>
          <w:rFonts w:ascii="Arial" w:cs="Arial" w:eastAsia="Arial" w:hAnsi="Arial"/>
          <w:sz w:val="13"/>
          <w:szCs w:val="13"/>
          <w:b w:val="1"/>
          <w:bCs w:val="1"/>
          <w:color w:val="auto"/>
        </w:rPr>
        <w:t>SHARES</w:t>
      </w:r>
    </w:p>
    <w:p>
      <w:pPr>
        <w:spacing w:after="0" w:line="11" w:lineRule="exact"/>
        <w:rPr>
          <w:sz w:val="20"/>
          <w:szCs w:val="20"/>
          <w:color w:val="auto"/>
        </w:rPr>
      </w:pPr>
    </w:p>
    <w:p>
      <w:pPr>
        <w:jc w:val="center"/>
        <w:ind w:left="8860"/>
        <w:spacing w:after="0"/>
        <w:rPr>
          <w:sz w:val="20"/>
          <w:szCs w:val="20"/>
          <w:color w:val="auto"/>
        </w:rPr>
      </w:pPr>
      <w:r>
        <w:rPr>
          <w:rFonts w:ascii="Arial" w:cs="Arial" w:eastAsia="Arial" w:hAnsi="Arial"/>
          <w:sz w:val="13"/>
          <w:szCs w:val="13"/>
          <w:b w:val="1"/>
          <w:bCs w:val="1"/>
          <w:color w:val="auto"/>
        </w:rPr>
        <w:t>BENEFICIALLY OWNED</w:t>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760" w:type="dxa"/>
            <w:vAlign w:val="bottom"/>
            <w:tcBorders>
              <w:bottom w:val="single" w:sz="8" w:color="auto"/>
            </w:tcBorders>
          </w:tcPr>
          <w:p>
            <w:pPr>
              <w:ind w:left="20"/>
              <w:spacing w:after="0"/>
              <w:rPr>
                <w:sz w:val="20"/>
                <w:szCs w:val="20"/>
                <w:color w:val="auto"/>
              </w:rPr>
            </w:pPr>
            <w:r>
              <w:rPr>
                <w:rFonts w:ascii="Arial" w:cs="Arial" w:eastAsia="Arial" w:hAnsi="Arial"/>
                <w:sz w:val="13"/>
                <w:szCs w:val="13"/>
                <w:b w:val="1"/>
                <w:bCs w:val="1"/>
                <w:color w:val="auto"/>
              </w:rPr>
              <w:t>NAME AND ADDRESS OF BENEFICIAL OWNER</w:t>
            </w:r>
          </w:p>
        </w:tc>
        <w:tc>
          <w:tcPr>
            <w:tcW w:w="100" w:type="dxa"/>
            <w:vAlign w:val="bottom"/>
          </w:tcPr>
          <w:p>
            <w:pPr>
              <w:spacing w:after="0"/>
              <w:rPr>
                <w:sz w:val="18"/>
                <w:szCs w:val="18"/>
                <w:color w:val="auto"/>
              </w:rPr>
            </w:pPr>
          </w:p>
        </w:tc>
        <w:tc>
          <w:tcPr>
            <w:tcW w:w="122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3"/>
                <w:szCs w:val="13"/>
                <w:b w:val="1"/>
                <w:bCs w:val="1"/>
                <w:color w:val="auto"/>
              </w:rPr>
              <w:t>NUMBER</w:t>
            </w:r>
            <w:r>
              <w:rPr>
                <w:rFonts w:ascii="Arial" w:cs="Arial" w:eastAsia="Arial" w:hAnsi="Arial"/>
                <w:sz w:val="16"/>
                <w:szCs w:val="16"/>
                <w:b w:val="1"/>
                <w:bCs w:val="1"/>
                <w:color w:val="auto"/>
                <w:vertAlign w:val="superscript"/>
              </w:rPr>
              <w:t>(1)</w:t>
            </w:r>
          </w:p>
        </w:tc>
        <w:tc>
          <w:tcPr>
            <w:tcW w:w="116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3"/>
                <w:szCs w:val="13"/>
                <w:b w:val="1"/>
                <w:bCs w:val="1"/>
                <w:color w:val="auto"/>
                <w:w w:val="93"/>
              </w:rPr>
              <w:t>PERCENT</w:t>
            </w:r>
            <w:r>
              <w:rPr>
                <w:rFonts w:ascii="Arial" w:cs="Arial" w:eastAsia="Arial" w:hAnsi="Arial"/>
                <w:sz w:val="16"/>
                <w:szCs w:val="16"/>
                <w:b w:val="1"/>
                <w:bCs w:val="1"/>
                <w:color w:val="auto"/>
                <w:w w:val="93"/>
                <w:vertAlign w:val="superscript"/>
              </w:rPr>
              <w:t>(1)</w:t>
            </w:r>
          </w:p>
        </w:tc>
      </w:tr>
    </w:tbl>
    <w:p>
      <w:pPr>
        <w:spacing w:after="0" w:line="6"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Greater Than 5%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7132320" cy="54038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32320" cy="54038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p>
      <w:pPr>
        <w:spacing w:after="0" w:line="64"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A98"/>
          <w:shd w:val="clear" w:color="auto" w:fill="E6E7E8"/>
        </w:rPr>
        <w:t xml:space="preserve">Warren Buffett </w:t>
      </w:r>
      <w:r>
        <w:rPr>
          <w:rFonts w:ascii="Arial" w:cs="Arial" w:eastAsia="Arial" w:hAnsi="Arial"/>
          <w:sz w:val="18"/>
          <w:szCs w:val="18"/>
          <w:b w:val="1"/>
          <w:bCs w:val="1"/>
          <w:color w:val="004A98"/>
          <w:vertAlign w:val="superscript"/>
          <w:shd w:val="clear" w:color="auto" w:fill="E6E7E8"/>
        </w:rPr>
        <w:t>(2)</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Berkshire Hathaway, Inc.</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3555 Farnam Street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Omaha, NE 68131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5632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A98"/>
        </w:rPr>
        <w:t xml:space="preserve">The Vanguard Group </w:t>
      </w:r>
      <w:r>
        <w:rPr>
          <w:rFonts w:ascii="Arial" w:cs="Arial" w:eastAsia="Arial" w:hAnsi="Arial"/>
          <w:sz w:val="18"/>
          <w:szCs w:val="18"/>
          <w:b w:val="1"/>
          <w:bCs w:val="1"/>
          <w:color w:val="004A98"/>
          <w:vertAlign w:val="superscript"/>
        </w:rPr>
        <w:t>(3)</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100 Vanguard Boulevard</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Malvern, PA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563235" cy="41148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563235" cy="411480"/>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A98"/>
          <w:shd w:val="clear" w:color="auto" w:fill="E6E7E8"/>
        </w:rPr>
        <w:t xml:space="preserve">BlackRock, Inc. </w:t>
      </w:r>
      <w:r>
        <w:rPr>
          <w:rFonts w:ascii="Arial" w:cs="Arial" w:eastAsia="Arial" w:hAnsi="Arial"/>
          <w:sz w:val="18"/>
          <w:szCs w:val="18"/>
          <w:b w:val="1"/>
          <w:bCs w:val="1"/>
          <w:color w:val="004A98"/>
          <w:vertAlign w:val="superscript"/>
          <w:shd w:val="clear" w:color="auto" w:fill="E6E7E8"/>
        </w:rPr>
        <w:t>(4)</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55 East 52nd Street</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New York, NY 10055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5632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spacing w:after="0" w:line="46"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4A98"/>
        </w:rPr>
        <w:t xml:space="preserve">Ninety One UK Ltd. </w:t>
      </w:r>
      <w:r>
        <w:rPr>
          <w:rFonts w:ascii="Arial" w:cs="Arial" w:eastAsia="Arial" w:hAnsi="Arial"/>
          <w:sz w:val="18"/>
          <w:szCs w:val="18"/>
          <w:b w:val="1"/>
          <w:bCs w:val="1"/>
          <w:color w:val="004A98"/>
          <w:vertAlign w:val="superscript"/>
        </w:rPr>
        <w:t>(5)</w:t>
      </w:r>
    </w:p>
    <w:p>
      <w:pPr>
        <w:spacing w:after="0" w:line="25" w:lineRule="exact"/>
        <w:rPr>
          <w:sz w:val="20"/>
          <w:szCs w:val="20"/>
          <w:color w:val="auto"/>
        </w:rPr>
      </w:pPr>
    </w:p>
    <w:p>
      <w:pPr>
        <w:ind w:left="20"/>
        <w:spacing w:after="0"/>
        <w:rPr>
          <w:sz w:val="20"/>
          <w:szCs w:val="20"/>
          <w:color w:val="auto"/>
        </w:rPr>
      </w:pPr>
      <w:r>
        <w:rPr>
          <w:rFonts w:ascii="Arial" w:cs="Arial" w:eastAsia="Arial" w:hAnsi="Arial"/>
          <w:sz w:val="14"/>
          <w:szCs w:val="14"/>
          <w:color w:val="auto"/>
        </w:rPr>
        <w:t>55 Gresham Street</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London, UK EC2V 7EL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5563235"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5563235" cy="8255"/>
                    </a:xfrm>
                    <a:prstGeom prst="rect">
                      <a:avLst/>
                    </a:prstGeom>
                    <a:noFill/>
                  </pic:spPr>
                </pic:pic>
              </a:graphicData>
            </a:graphic>
          </wp:anchor>
        </w:drawing>
      </w:r>
    </w:p>
    <w:p>
      <w:pPr>
        <w:spacing w:after="0" w:line="37" w:lineRule="exact"/>
        <w:rPr>
          <w:sz w:val="20"/>
          <w:szCs w:val="20"/>
          <w:color w:val="auto"/>
        </w:rPr>
      </w:pPr>
    </w:p>
    <w:p>
      <w:pPr>
        <w:ind w:left="20"/>
        <w:spacing w:after="0"/>
        <w:rPr>
          <w:sz w:val="20"/>
          <w:szCs w:val="20"/>
          <w:color w:val="auto"/>
        </w:rPr>
      </w:pPr>
      <w:r>
        <w:rPr>
          <w:rFonts w:ascii="Arial" w:cs="Arial" w:eastAsia="Arial" w:hAnsi="Arial"/>
          <w:sz w:val="14"/>
          <w:szCs w:val="14"/>
          <w:i w:val="1"/>
          <w:iCs w:val="1"/>
          <w:color w:val="auto"/>
        </w:rPr>
        <w:t>Directors and Named Executive Officers</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spacing w:after="0"/>
        <w:tabs>
          <w:tab w:leader="none" w:pos="1500" w:val="left"/>
        </w:tabs>
        <w:rPr>
          <w:sz w:val="20"/>
          <w:szCs w:val="20"/>
          <w:color w:val="auto"/>
        </w:rPr>
      </w:pPr>
      <w:r>
        <w:rPr>
          <w:rFonts w:ascii="Arial" w:cs="Arial" w:eastAsia="Arial" w:hAnsi="Arial"/>
          <w:sz w:val="14"/>
          <w:szCs w:val="14"/>
          <w:color w:val="auto"/>
        </w:rPr>
        <w:t>13,271,457</w:t>
      </w:r>
      <w:r>
        <w:rPr>
          <w:sz w:val="20"/>
          <w:szCs w:val="20"/>
          <w:color w:val="auto"/>
        </w:rPr>
        <w:tab/>
      </w:r>
      <w:r>
        <w:rPr>
          <w:rFonts w:ascii="Arial" w:cs="Arial" w:eastAsia="Arial" w:hAnsi="Arial"/>
          <w:sz w:val="14"/>
          <w:szCs w:val="14"/>
          <w:color w:val="auto"/>
        </w:rPr>
        <w:t>14.10 %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409575</wp:posOffset>
            </wp:positionV>
            <wp:extent cx="15087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tabs>
          <w:tab w:leader="none" w:pos="1500" w:val="left"/>
        </w:tabs>
        <w:rPr>
          <w:sz w:val="20"/>
          <w:szCs w:val="20"/>
          <w:color w:val="auto"/>
        </w:rPr>
      </w:pPr>
      <w:r>
        <w:rPr>
          <w:rFonts w:ascii="Arial" w:cs="Arial" w:eastAsia="Arial" w:hAnsi="Arial"/>
          <w:sz w:val="14"/>
          <w:szCs w:val="14"/>
          <w:color w:val="auto"/>
        </w:rPr>
        <w:t>10,322,372</w:t>
      </w:r>
      <w:r>
        <w:rPr>
          <w:sz w:val="20"/>
          <w:szCs w:val="20"/>
          <w:color w:val="auto"/>
        </w:rPr>
        <w:tab/>
      </w:r>
      <w:r>
        <w:rPr>
          <w:rFonts w:ascii="Arial" w:cs="Arial" w:eastAsia="Arial" w:hAnsi="Arial"/>
          <w:sz w:val="14"/>
          <w:szCs w:val="14"/>
          <w:color w:val="auto"/>
        </w:rPr>
        <w:t>10.97 %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280670</wp:posOffset>
            </wp:positionV>
            <wp:extent cx="1508760" cy="41148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508760" cy="411480"/>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80"/>
        <w:spacing w:after="0"/>
        <w:tabs>
          <w:tab w:leader="none" w:pos="1580" w:val="left"/>
        </w:tabs>
        <w:rPr>
          <w:sz w:val="20"/>
          <w:szCs w:val="20"/>
          <w:color w:val="auto"/>
        </w:rPr>
      </w:pPr>
      <w:r>
        <w:rPr>
          <w:rFonts w:ascii="Arial" w:cs="Arial" w:eastAsia="Arial" w:hAnsi="Arial"/>
          <w:sz w:val="14"/>
          <w:szCs w:val="14"/>
          <w:color w:val="auto"/>
        </w:rPr>
        <w:t>8,537,969</w:t>
      </w:r>
      <w:r>
        <w:rPr>
          <w:sz w:val="20"/>
          <w:szCs w:val="20"/>
          <w:color w:val="auto"/>
        </w:rPr>
        <w:tab/>
      </w:r>
      <w:r>
        <w:rPr>
          <w:rFonts w:ascii="Arial" w:cs="Arial" w:eastAsia="Arial" w:hAnsi="Arial"/>
          <w:sz w:val="14"/>
          <w:szCs w:val="14"/>
          <w:color w:val="auto"/>
        </w:rPr>
        <w:t>9.07 %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280670</wp:posOffset>
            </wp:positionV>
            <wp:extent cx="15087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200" w:lineRule="exact"/>
        <w:rPr>
          <w:sz w:val="20"/>
          <w:szCs w:val="20"/>
          <w:color w:val="auto"/>
        </w:rPr>
      </w:pPr>
    </w:p>
    <w:p>
      <w:pPr>
        <w:spacing w:after="0" w:line="267" w:lineRule="exact"/>
        <w:rPr>
          <w:sz w:val="20"/>
          <w:szCs w:val="20"/>
          <w:color w:val="auto"/>
        </w:rPr>
      </w:pPr>
    </w:p>
    <w:p>
      <w:pPr>
        <w:ind w:left="80"/>
        <w:spacing w:after="0"/>
        <w:tabs>
          <w:tab w:leader="none" w:pos="1580" w:val="left"/>
        </w:tabs>
        <w:rPr>
          <w:sz w:val="20"/>
          <w:szCs w:val="20"/>
          <w:color w:val="auto"/>
        </w:rPr>
      </w:pPr>
      <w:r>
        <w:rPr>
          <w:rFonts w:ascii="Arial" w:cs="Arial" w:eastAsia="Arial" w:hAnsi="Arial"/>
          <w:sz w:val="14"/>
          <w:szCs w:val="14"/>
          <w:color w:val="auto"/>
        </w:rPr>
        <w:t>5,234,855</w:t>
      </w:r>
      <w:r>
        <w:rPr>
          <w:sz w:val="20"/>
          <w:szCs w:val="20"/>
          <w:color w:val="auto"/>
        </w:rPr>
        <w:tab/>
      </w:r>
      <w:r>
        <w:rPr>
          <w:rFonts w:ascii="Arial" w:cs="Arial" w:eastAsia="Arial" w:hAnsi="Arial"/>
          <w:sz w:val="14"/>
          <w:szCs w:val="14"/>
          <w:color w:val="auto"/>
        </w:rPr>
        <w:t>5.56 %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280670</wp:posOffset>
            </wp:positionV>
            <wp:extent cx="150876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650" w:lineRule="exact"/>
        <w:rPr>
          <w:sz w:val="20"/>
          <w:szCs w:val="20"/>
          <w:color w:val="auto"/>
        </w:rPr>
      </w:pPr>
    </w:p>
    <w:p>
      <w:pPr>
        <w:sectPr>
          <w:pgSz w:w="11900" w:h="16838" w:orient="portrait"/>
          <w:cols w:equalWidth="0" w:num="2">
            <w:col w:w="8460" w:space="720"/>
            <w:col w:w="206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31"/>
        </w:trPr>
        <w:tc>
          <w:tcPr>
            <w:tcW w:w="8760" w:type="dxa"/>
            <w:vAlign w:val="bottom"/>
            <w:tcBorders>
              <w:top w:val="single" w:sz="8" w:color="939598"/>
              <w:bottom w:val="single" w:sz="8" w:color="939598"/>
            </w:tcBorders>
            <w:shd w:val="clear" w:color="auto" w:fill="E6E7E8"/>
          </w:tcPr>
          <w:p>
            <w:pPr>
              <w:ind w:left="20"/>
              <w:spacing w:after="0"/>
              <w:rPr>
                <w:sz w:val="20"/>
                <w:szCs w:val="20"/>
                <w:color w:val="auto"/>
              </w:rPr>
            </w:pPr>
            <w:r>
              <w:rPr>
                <w:rFonts w:ascii="Arial" w:cs="Arial" w:eastAsia="Arial" w:hAnsi="Arial"/>
                <w:sz w:val="14"/>
                <w:szCs w:val="14"/>
                <w:b w:val="1"/>
                <w:bCs w:val="1"/>
                <w:color w:val="004A98"/>
              </w:rPr>
              <w:t xml:space="preserve">D. James Bidzos </w:t>
            </w:r>
            <w:r>
              <w:rPr>
                <w:rFonts w:ascii="Arial" w:cs="Arial" w:eastAsia="Arial" w:hAnsi="Arial"/>
                <w:sz w:val="18"/>
                <w:szCs w:val="18"/>
                <w:b w:val="1"/>
                <w:bCs w:val="1"/>
                <w:color w:val="004A98"/>
                <w:vertAlign w:val="superscript"/>
              </w:rPr>
              <w:t>(6)</w:t>
            </w:r>
          </w:p>
        </w:tc>
        <w:tc>
          <w:tcPr>
            <w:tcW w:w="100" w:type="dxa"/>
            <w:vAlign w:val="bottom"/>
          </w:tcPr>
          <w:p>
            <w:pPr>
              <w:spacing w:after="0"/>
              <w:rPr>
                <w:sz w:val="20"/>
                <w:szCs w:val="20"/>
                <w:color w:val="auto"/>
              </w:rPr>
            </w:pPr>
          </w:p>
        </w:tc>
        <w:tc>
          <w:tcPr>
            <w:tcW w:w="1120" w:type="dxa"/>
            <w:vAlign w:val="bottom"/>
            <w:tcBorders>
              <w:top w:val="single" w:sz="8" w:color="939598"/>
              <w:bottom w:val="single" w:sz="8" w:color="939598"/>
            </w:tcBorders>
            <w:shd w:val="clear" w:color="auto" w:fill="E6E7E8"/>
          </w:tcPr>
          <w:p>
            <w:pPr>
              <w:jc w:val="right"/>
              <w:ind w:right="8"/>
              <w:spacing w:after="0"/>
              <w:rPr>
                <w:sz w:val="20"/>
                <w:szCs w:val="20"/>
                <w:color w:val="auto"/>
              </w:rPr>
            </w:pPr>
            <w:r>
              <w:rPr>
                <w:rFonts w:ascii="Arial" w:cs="Arial" w:eastAsia="Arial" w:hAnsi="Arial"/>
                <w:sz w:val="14"/>
                <w:szCs w:val="14"/>
                <w:color w:val="auto"/>
              </w:rPr>
              <w:t>508,840</w:t>
            </w:r>
          </w:p>
        </w:tc>
        <w:tc>
          <w:tcPr>
            <w:tcW w:w="80" w:type="dxa"/>
            <w:vAlign w:val="bottom"/>
          </w:tcPr>
          <w:p>
            <w:pPr>
              <w:spacing w:after="0"/>
              <w:rPr>
                <w:sz w:val="20"/>
                <w:szCs w:val="20"/>
                <w:color w:val="auto"/>
              </w:rPr>
            </w:pPr>
          </w:p>
        </w:tc>
        <w:tc>
          <w:tcPr>
            <w:tcW w:w="1180" w:type="dxa"/>
            <w:vAlign w:val="bottom"/>
            <w:tcBorders>
              <w:top w:val="single" w:sz="8" w:color="939598"/>
              <w:bottom w:val="single" w:sz="8" w:color="939598"/>
            </w:tcBorders>
            <w:shd w:val="clear" w:color="auto" w:fill="E6E7E8"/>
          </w:tcPr>
          <w:p>
            <w:pPr>
              <w:jc w:val="right"/>
              <w:ind w:right="488"/>
              <w:spacing w:after="0"/>
              <w:rPr>
                <w:sz w:val="20"/>
                <w:szCs w:val="20"/>
                <w:color w:val="auto"/>
              </w:rPr>
            </w:pPr>
            <w:r>
              <w:rPr>
                <w:rFonts w:ascii="Arial" w:cs="Arial" w:eastAsia="Arial" w:hAnsi="Arial"/>
                <w:sz w:val="14"/>
                <w:szCs w:val="14"/>
                <w:color w:val="auto"/>
              </w:rPr>
              <w:t>*</w:t>
            </w:r>
          </w:p>
        </w:tc>
      </w:tr>
      <w:tr>
        <w:trPr>
          <w:trHeight w:val="195"/>
        </w:trPr>
        <w:tc>
          <w:tcPr>
            <w:tcW w:w="8760" w:type="dxa"/>
            <w:vAlign w:val="bottom"/>
          </w:tcPr>
          <w:p>
            <w:pPr>
              <w:ind w:left="20"/>
              <w:spacing w:after="0"/>
              <w:rPr>
                <w:sz w:val="20"/>
                <w:szCs w:val="20"/>
                <w:color w:val="auto"/>
              </w:rPr>
            </w:pPr>
            <w:r>
              <w:rPr>
                <w:rFonts w:ascii="Arial" w:cs="Arial" w:eastAsia="Arial" w:hAnsi="Arial"/>
                <w:sz w:val="14"/>
                <w:szCs w:val="14"/>
                <w:b w:val="1"/>
                <w:bCs w:val="1"/>
                <w:color w:val="004A98"/>
              </w:rPr>
              <w:t>Courtney D. Armstrong</w:t>
            </w:r>
          </w:p>
        </w:tc>
        <w:tc>
          <w:tcPr>
            <w:tcW w:w="1220" w:type="dxa"/>
            <w:vAlign w:val="bottom"/>
            <w:gridSpan w:val="2"/>
          </w:tcPr>
          <w:p>
            <w:pPr>
              <w:jc w:val="right"/>
              <w:ind w:right="8"/>
              <w:spacing w:after="0"/>
              <w:rPr>
                <w:sz w:val="20"/>
                <w:szCs w:val="20"/>
                <w:color w:val="auto"/>
              </w:rPr>
            </w:pPr>
            <w:r>
              <w:rPr>
                <w:rFonts w:ascii="Arial" w:cs="Arial" w:eastAsia="Arial" w:hAnsi="Arial"/>
                <w:sz w:val="14"/>
                <w:szCs w:val="14"/>
                <w:color w:val="auto"/>
              </w:rPr>
              <w:t>5,154</w:t>
            </w:r>
          </w:p>
        </w:tc>
        <w:tc>
          <w:tcPr>
            <w:tcW w:w="1260" w:type="dxa"/>
            <w:vAlign w:val="bottom"/>
            <w:gridSpan w:val="2"/>
          </w:tcPr>
          <w:p>
            <w:pPr>
              <w:jc w:val="right"/>
              <w:ind w:right="488"/>
              <w:spacing w:after="0"/>
              <w:rPr>
                <w:sz w:val="20"/>
                <w:szCs w:val="20"/>
                <w:color w:val="auto"/>
              </w:rPr>
            </w:pPr>
            <w:r>
              <w:rPr>
                <w:rFonts w:ascii="Arial" w:cs="Arial" w:eastAsia="Arial" w:hAnsi="Arial"/>
                <w:sz w:val="14"/>
                <w:szCs w:val="14"/>
                <w:color w:val="auto"/>
              </w:rPr>
              <w:t>*</w:t>
            </w:r>
          </w:p>
        </w:tc>
      </w:tr>
      <w:tr>
        <w:trPr>
          <w:trHeight w:val="196"/>
        </w:trPr>
        <w:tc>
          <w:tcPr>
            <w:tcW w:w="8760" w:type="dxa"/>
            <w:vAlign w:val="bottom"/>
            <w:tcBorders>
              <w:top w:val="single" w:sz="8" w:color="939598"/>
              <w:bottom w:val="single" w:sz="8" w:color="939598"/>
            </w:tcBorders>
            <w:shd w:val="clear" w:color="auto" w:fill="E6E7E8"/>
          </w:tcPr>
          <w:p>
            <w:pPr>
              <w:ind w:left="20"/>
              <w:spacing w:after="0"/>
              <w:rPr>
                <w:sz w:val="20"/>
                <w:szCs w:val="20"/>
                <w:color w:val="auto"/>
              </w:rPr>
            </w:pPr>
            <w:r>
              <w:rPr>
                <w:rFonts w:ascii="Arial" w:cs="Arial" w:eastAsia="Arial" w:hAnsi="Arial"/>
                <w:sz w:val="14"/>
                <w:szCs w:val="14"/>
                <w:b w:val="1"/>
                <w:bCs w:val="1"/>
                <w:color w:val="004A98"/>
              </w:rPr>
              <w:t>Yehuda Ari Buchalter</w:t>
            </w:r>
          </w:p>
        </w:tc>
        <w:tc>
          <w:tcPr>
            <w:tcW w:w="100" w:type="dxa"/>
            <w:vAlign w:val="bottom"/>
          </w:tcPr>
          <w:p>
            <w:pPr>
              <w:spacing w:after="0"/>
              <w:rPr>
                <w:sz w:val="17"/>
                <w:szCs w:val="17"/>
                <w:color w:val="auto"/>
              </w:rPr>
            </w:pPr>
          </w:p>
        </w:tc>
        <w:tc>
          <w:tcPr>
            <w:tcW w:w="1120" w:type="dxa"/>
            <w:vAlign w:val="bottom"/>
            <w:tcBorders>
              <w:top w:val="single" w:sz="8" w:color="939598"/>
              <w:bottom w:val="single" w:sz="8" w:color="939598"/>
            </w:tcBorders>
            <w:shd w:val="clear" w:color="auto" w:fill="E6E7E8"/>
          </w:tcPr>
          <w:p>
            <w:pPr>
              <w:jc w:val="right"/>
              <w:ind w:right="8"/>
              <w:spacing w:after="0"/>
              <w:rPr>
                <w:sz w:val="20"/>
                <w:szCs w:val="20"/>
                <w:color w:val="auto"/>
              </w:rPr>
            </w:pPr>
            <w:r>
              <w:rPr>
                <w:rFonts w:ascii="Arial" w:cs="Arial" w:eastAsia="Arial" w:hAnsi="Arial"/>
                <w:sz w:val="14"/>
                <w:szCs w:val="14"/>
                <w:color w:val="auto"/>
              </w:rPr>
              <w:t>4,335</w:t>
            </w:r>
          </w:p>
        </w:tc>
        <w:tc>
          <w:tcPr>
            <w:tcW w:w="80" w:type="dxa"/>
            <w:vAlign w:val="bottom"/>
          </w:tcPr>
          <w:p>
            <w:pPr>
              <w:spacing w:after="0"/>
              <w:rPr>
                <w:sz w:val="17"/>
                <w:szCs w:val="17"/>
                <w:color w:val="auto"/>
              </w:rPr>
            </w:pPr>
          </w:p>
        </w:tc>
        <w:tc>
          <w:tcPr>
            <w:tcW w:w="1180" w:type="dxa"/>
            <w:vAlign w:val="bottom"/>
            <w:tcBorders>
              <w:top w:val="single" w:sz="8" w:color="939598"/>
              <w:bottom w:val="single" w:sz="8" w:color="939598"/>
            </w:tcBorders>
            <w:shd w:val="clear" w:color="auto" w:fill="E6E7E8"/>
          </w:tcPr>
          <w:p>
            <w:pPr>
              <w:jc w:val="right"/>
              <w:ind w:right="488"/>
              <w:spacing w:after="0"/>
              <w:rPr>
                <w:sz w:val="20"/>
                <w:szCs w:val="20"/>
                <w:color w:val="auto"/>
              </w:rPr>
            </w:pPr>
            <w:r>
              <w:rPr>
                <w:rFonts w:ascii="Arial" w:cs="Arial" w:eastAsia="Arial" w:hAnsi="Arial"/>
                <w:sz w:val="14"/>
                <w:szCs w:val="14"/>
                <w:color w:val="auto"/>
              </w:rPr>
              <w:t>*</w:t>
            </w:r>
          </w:p>
        </w:tc>
      </w:tr>
      <w:tr>
        <w:trPr>
          <w:trHeight w:val="196"/>
        </w:trPr>
        <w:tc>
          <w:tcPr>
            <w:tcW w:w="8760" w:type="dxa"/>
            <w:vAlign w:val="bottom"/>
          </w:tcPr>
          <w:p>
            <w:pPr>
              <w:ind w:left="20"/>
              <w:spacing w:after="0"/>
              <w:rPr>
                <w:sz w:val="20"/>
                <w:szCs w:val="20"/>
                <w:color w:val="auto"/>
              </w:rPr>
            </w:pPr>
            <w:r>
              <w:rPr>
                <w:rFonts w:ascii="Arial" w:cs="Arial" w:eastAsia="Arial" w:hAnsi="Arial"/>
                <w:sz w:val="14"/>
                <w:szCs w:val="14"/>
                <w:b w:val="1"/>
                <w:bCs w:val="1"/>
                <w:color w:val="004A98"/>
              </w:rPr>
              <w:t>Kathleen A. Cote</w:t>
            </w:r>
          </w:p>
        </w:tc>
        <w:tc>
          <w:tcPr>
            <w:tcW w:w="1220" w:type="dxa"/>
            <w:vAlign w:val="bottom"/>
            <w:gridSpan w:val="2"/>
          </w:tcPr>
          <w:p>
            <w:pPr>
              <w:jc w:val="right"/>
              <w:ind w:right="8"/>
              <w:spacing w:after="0"/>
              <w:rPr>
                <w:sz w:val="20"/>
                <w:szCs w:val="20"/>
                <w:color w:val="auto"/>
              </w:rPr>
            </w:pPr>
            <w:r>
              <w:rPr>
                <w:rFonts w:ascii="Arial" w:cs="Arial" w:eastAsia="Arial" w:hAnsi="Arial"/>
                <w:sz w:val="14"/>
                <w:szCs w:val="14"/>
                <w:color w:val="auto"/>
              </w:rPr>
              <w:t>27,346</w:t>
            </w:r>
          </w:p>
        </w:tc>
        <w:tc>
          <w:tcPr>
            <w:tcW w:w="1260" w:type="dxa"/>
            <w:vAlign w:val="bottom"/>
            <w:gridSpan w:val="2"/>
          </w:tcPr>
          <w:p>
            <w:pPr>
              <w:jc w:val="right"/>
              <w:ind w:right="488"/>
              <w:spacing w:after="0"/>
              <w:rPr>
                <w:sz w:val="20"/>
                <w:szCs w:val="20"/>
                <w:color w:val="auto"/>
              </w:rPr>
            </w:pPr>
            <w:r>
              <w:rPr>
                <w:rFonts w:ascii="Arial" w:cs="Arial" w:eastAsia="Arial" w:hAnsi="Arial"/>
                <w:sz w:val="14"/>
                <w:szCs w:val="14"/>
                <w:color w:val="auto"/>
              </w:rPr>
              <w:t>*</w:t>
            </w:r>
          </w:p>
        </w:tc>
      </w:tr>
      <w:tr>
        <w:trPr>
          <w:trHeight w:val="196"/>
        </w:trPr>
        <w:tc>
          <w:tcPr>
            <w:tcW w:w="8760" w:type="dxa"/>
            <w:vAlign w:val="bottom"/>
            <w:tcBorders>
              <w:top w:val="single" w:sz="8" w:color="939598"/>
              <w:bottom w:val="single" w:sz="8" w:color="939598"/>
            </w:tcBorders>
            <w:shd w:val="clear" w:color="auto" w:fill="E6E7E8"/>
          </w:tcPr>
          <w:p>
            <w:pPr>
              <w:ind w:left="20"/>
              <w:spacing w:after="0"/>
              <w:rPr>
                <w:sz w:val="20"/>
                <w:szCs w:val="20"/>
                <w:color w:val="auto"/>
              </w:rPr>
            </w:pPr>
            <w:r>
              <w:rPr>
                <w:rFonts w:ascii="Arial" w:cs="Arial" w:eastAsia="Arial" w:hAnsi="Arial"/>
                <w:sz w:val="14"/>
                <w:szCs w:val="14"/>
                <w:b w:val="1"/>
                <w:bCs w:val="1"/>
                <w:color w:val="004A98"/>
              </w:rPr>
              <w:t>Thomas F. Frist III</w:t>
            </w:r>
          </w:p>
        </w:tc>
        <w:tc>
          <w:tcPr>
            <w:tcW w:w="100" w:type="dxa"/>
            <w:vAlign w:val="bottom"/>
          </w:tcPr>
          <w:p>
            <w:pPr>
              <w:spacing w:after="0"/>
              <w:rPr>
                <w:sz w:val="17"/>
                <w:szCs w:val="17"/>
                <w:color w:val="auto"/>
              </w:rPr>
            </w:pPr>
          </w:p>
        </w:tc>
        <w:tc>
          <w:tcPr>
            <w:tcW w:w="1120" w:type="dxa"/>
            <w:vAlign w:val="bottom"/>
            <w:tcBorders>
              <w:top w:val="single" w:sz="8" w:color="939598"/>
              <w:bottom w:val="single" w:sz="8" w:color="939598"/>
            </w:tcBorders>
            <w:shd w:val="clear" w:color="auto" w:fill="E6E7E8"/>
          </w:tcPr>
          <w:p>
            <w:pPr>
              <w:jc w:val="right"/>
              <w:ind w:right="8"/>
              <w:spacing w:after="0"/>
              <w:rPr>
                <w:sz w:val="20"/>
                <w:szCs w:val="20"/>
                <w:color w:val="auto"/>
              </w:rPr>
            </w:pPr>
            <w:r>
              <w:rPr>
                <w:rFonts w:ascii="Arial" w:cs="Arial" w:eastAsia="Arial" w:hAnsi="Arial"/>
                <w:sz w:val="14"/>
                <w:szCs w:val="14"/>
                <w:color w:val="auto"/>
              </w:rPr>
              <w:t>16,218</w:t>
            </w:r>
          </w:p>
        </w:tc>
        <w:tc>
          <w:tcPr>
            <w:tcW w:w="80" w:type="dxa"/>
            <w:vAlign w:val="bottom"/>
          </w:tcPr>
          <w:p>
            <w:pPr>
              <w:spacing w:after="0"/>
              <w:rPr>
                <w:sz w:val="17"/>
                <w:szCs w:val="17"/>
                <w:color w:val="auto"/>
              </w:rPr>
            </w:pPr>
          </w:p>
        </w:tc>
        <w:tc>
          <w:tcPr>
            <w:tcW w:w="1180" w:type="dxa"/>
            <w:vAlign w:val="bottom"/>
            <w:tcBorders>
              <w:top w:val="single" w:sz="8" w:color="939598"/>
              <w:bottom w:val="single" w:sz="8" w:color="939598"/>
            </w:tcBorders>
            <w:shd w:val="clear" w:color="auto" w:fill="E6E7E8"/>
          </w:tcPr>
          <w:p>
            <w:pPr>
              <w:jc w:val="right"/>
              <w:ind w:right="488"/>
              <w:spacing w:after="0"/>
              <w:rPr>
                <w:sz w:val="20"/>
                <w:szCs w:val="20"/>
                <w:color w:val="auto"/>
              </w:rPr>
            </w:pPr>
            <w:r>
              <w:rPr>
                <w:rFonts w:ascii="Arial" w:cs="Arial" w:eastAsia="Arial" w:hAnsi="Arial"/>
                <w:sz w:val="14"/>
                <w:szCs w:val="14"/>
                <w:color w:val="auto"/>
              </w:rPr>
              <w:t>*</w:t>
            </w:r>
          </w:p>
        </w:tc>
      </w:tr>
      <w:tr>
        <w:trPr>
          <w:trHeight w:val="196"/>
        </w:trPr>
        <w:tc>
          <w:tcPr>
            <w:tcW w:w="8760" w:type="dxa"/>
            <w:vAlign w:val="bottom"/>
          </w:tcPr>
          <w:p>
            <w:pPr>
              <w:ind w:left="20"/>
              <w:spacing w:after="0"/>
              <w:rPr>
                <w:sz w:val="20"/>
                <w:szCs w:val="20"/>
                <w:color w:val="auto"/>
              </w:rPr>
            </w:pPr>
            <w:r>
              <w:rPr>
                <w:rFonts w:ascii="Arial" w:cs="Arial" w:eastAsia="Arial" w:hAnsi="Arial"/>
                <w:sz w:val="14"/>
                <w:szCs w:val="14"/>
                <w:b w:val="1"/>
                <w:bCs w:val="1"/>
                <w:color w:val="004A98"/>
              </w:rPr>
              <w:t>Jamie S. Gorelick</w:t>
            </w:r>
          </w:p>
        </w:tc>
        <w:tc>
          <w:tcPr>
            <w:tcW w:w="1220" w:type="dxa"/>
            <w:vAlign w:val="bottom"/>
            <w:gridSpan w:val="2"/>
          </w:tcPr>
          <w:p>
            <w:pPr>
              <w:jc w:val="right"/>
              <w:ind w:right="8"/>
              <w:spacing w:after="0"/>
              <w:rPr>
                <w:sz w:val="20"/>
                <w:szCs w:val="20"/>
                <w:color w:val="auto"/>
              </w:rPr>
            </w:pPr>
            <w:r>
              <w:rPr>
                <w:rFonts w:ascii="Arial" w:cs="Arial" w:eastAsia="Arial" w:hAnsi="Arial"/>
                <w:sz w:val="14"/>
                <w:szCs w:val="14"/>
                <w:color w:val="auto"/>
              </w:rPr>
              <w:t>21,315</w:t>
            </w:r>
          </w:p>
        </w:tc>
        <w:tc>
          <w:tcPr>
            <w:tcW w:w="1260" w:type="dxa"/>
            <w:vAlign w:val="bottom"/>
            <w:gridSpan w:val="2"/>
          </w:tcPr>
          <w:p>
            <w:pPr>
              <w:jc w:val="right"/>
              <w:ind w:right="488"/>
              <w:spacing w:after="0"/>
              <w:rPr>
                <w:sz w:val="20"/>
                <w:szCs w:val="20"/>
                <w:color w:val="auto"/>
              </w:rPr>
            </w:pPr>
            <w:r>
              <w:rPr>
                <w:rFonts w:ascii="Arial" w:cs="Arial" w:eastAsia="Arial" w:hAnsi="Arial"/>
                <w:sz w:val="14"/>
                <w:szCs w:val="14"/>
                <w:color w:val="auto"/>
              </w:rPr>
              <w:t>*</w:t>
            </w:r>
          </w:p>
        </w:tc>
      </w:tr>
      <w:tr>
        <w:trPr>
          <w:trHeight w:val="220"/>
        </w:trPr>
        <w:tc>
          <w:tcPr>
            <w:tcW w:w="8760" w:type="dxa"/>
            <w:vAlign w:val="bottom"/>
            <w:tcBorders>
              <w:top w:val="single" w:sz="8" w:color="939598"/>
              <w:bottom w:val="single" w:sz="8" w:color="939598"/>
            </w:tcBorders>
            <w:shd w:val="clear" w:color="auto" w:fill="E6E7E8"/>
          </w:tcPr>
          <w:p>
            <w:pPr>
              <w:ind w:left="20"/>
              <w:spacing w:after="0"/>
              <w:rPr>
                <w:sz w:val="20"/>
                <w:szCs w:val="20"/>
                <w:color w:val="auto"/>
              </w:rPr>
            </w:pPr>
            <w:r>
              <w:rPr>
                <w:rFonts w:ascii="Arial" w:cs="Arial" w:eastAsia="Arial" w:hAnsi="Arial"/>
                <w:sz w:val="14"/>
                <w:szCs w:val="14"/>
                <w:b w:val="1"/>
                <w:bCs w:val="1"/>
                <w:color w:val="004A98"/>
              </w:rPr>
              <w:t>Roger H. Moore</w:t>
            </w:r>
          </w:p>
        </w:tc>
        <w:tc>
          <w:tcPr>
            <w:tcW w:w="100" w:type="dxa"/>
            <w:vAlign w:val="bottom"/>
          </w:tcPr>
          <w:p>
            <w:pPr>
              <w:spacing w:after="0"/>
              <w:rPr>
                <w:sz w:val="19"/>
                <w:szCs w:val="19"/>
                <w:color w:val="auto"/>
              </w:rPr>
            </w:pPr>
          </w:p>
        </w:tc>
        <w:tc>
          <w:tcPr>
            <w:tcW w:w="1120" w:type="dxa"/>
            <w:vAlign w:val="bottom"/>
            <w:tcBorders>
              <w:top w:val="single" w:sz="8" w:color="939598"/>
              <w:bottom w:val="single" w:sz="8" w:color="939598"/>
            </w:tcBorders>
            <w:shd w:val="clear" w:color="auto" w:fill="E6E7E8"/>
          </w:tcPr>
          <w:p>
            <w:pPr>
              <w:jc w:val="right"/>
              <w:ind w:right="8"/>
              <w:spacing w:after="0"/>
              <w:rPr>
                <w:sz w:val="20"/>
                <w:szCs w:val="20"/>
                <w:color w:val="auto"/>
              </w:rPr>
            </w:pPr>
            <w:r>
              <w:rPr>
                <w:rFonts w:ascii="Arial" w:cs="Arial" w:eastAsia="Arial" w:hAnsi="Arial"/>
                <w:sz w:val="14"/>
                <w:szCs w:val="14"/>
                <w:color w:val="auto"/>
              </w:rPr>
              <w:t>44,802</w:t>
            </w:r>
          </w:p>
        </w:tc>
        <w:tc>
          <w:tcPr>
            <w:tcW w:w="80" w:type="dxa"/>
            <w:vAlign w:val="bottom"/>
          </w:tcPr>
          <w:p>
            <w:pPr>
              <w:spacing w:after="0"/>
              <w:rPr>
                <w:sz w:val="19"/>
                <w:szCs w:val="19"/>
                <w:color w:val="auto"/>
              </w:rPr>
            </w:pPr>
          </w:p>
        </w:tc>
        <w:tc>
          <w:tcPr>
            <w:tcW w:w="1180" w:type="dxa"/>
            <w:vAlign w:val="bottom"/>
            <w:tcBorders>
              <w:top w:val="single" w:sz="8" w:color="939598"/>
              <w:bottom w:val="single" w:sz="8" w:color="939598"/>
            </w:tcBorders>
            <w:shd w:val="clear" w:color="auto" w:fill="E6E7E8"/>
          </w:tcPr>
          <w:p>
            <w:pPr>
              <w:jc w:val="right"/>
              <w:ind w:right="488"/>
              <w:spacing w:after="0"/>
              <w:rPr>
                <w:sz w:val="20"/>
                <w:szCs w:val="20"/>
                <w:color w:val="auto"/>
              </w:rPr>
            </w:pPr>
            <w:r>
              <w:rPr>
                <w:rFonts w:ascii="Arial" w:cs="Arial" w:eastAsia="Arial" w:hAnsi="Arial"/>
                <w:sz w:val="14"/>
                <w:szCs w:val="14"/>
                <w:color w:val="auto"/>
              </w:rPr>
              <w:t>*</w:t>
            </w:r>
          </w:p>
        </w:tc>
      </w:tr>
      <w:tr>
        <w:trPr>
          <w:trHeight w:val="223"/>
        </w:trPr>
        <w:tc>
          <w:tcPr>
            <w:tcW w:w="8760" w:type="dxa"/>
            <w:vAlign w:val="bottom"/>
          </w:tcPr>
          <w:p>
            <w:pPr>
              <w:ind w:left="20"/>
              <w:spacing w:after="0"/>
              <w:rPr>
                <w:sz w:val="20"/>
                <w:szCs w:val="20"/>
                <w:color w:val="auto"/>
              </w:rPr>
            </w:pPr>
            <w:r>
              <w:rPr>
                <w:rFonts w:ascii="Arial" w:cs="Arial" w:eastAsia="Arial" w:hAnsi="Arial"/>
                <w:sz w:val="14"/>
                <w:szCs w:val="14"/>
                <w:b w:val="1"/>
                <w:bCs w:val="1"/>
                <w:color w:val="004A98"/>
              </w:rPr>
              <w:t>Debra W. McCann</w:t>
            </w:r>
          </w:p>
        </w:tc>
        <w:tc>
          <w:tcPr>
            <w:tcW w:w="1220" w:type="dxa"/>
            <w:vAlign w:val="bottom"/>
            <w:gridSpan w:val="2"/>
          </w:tcPr>
          <w:p>
            <w:pPr>
              <w:jc w:val="right"/>
              <w:ind w:right="8"/>
              <w:spacing w:after="0"/>
              <w:rPr>
                <w:sz w:val="20"/>
                <w:szCs w:val="20"/>
                <w:color w:val="auto"/>
              </w:rPr>
            </w:pPr>
            <w:r>
              <w:rPr>
                <w:rFonts w:ascii="Arial" w:cs="Arial" w:eastAsia="Arial" w:hAnsi="Arial"/>
                <w:sz w:val="14"/>
                <w:szCs w:val="14"/>
                <w:color w:val="auto"/>
              </w:rPr>
              <w:t>1,001</w:t>
            </w:r>
          </w:p>
        </w:tc>
        <w:tc>
          <w:tcPr>
            <w:tcW w:w="1260" w:type="dxa"/>
            <w:vAlign w:val="bottom"/>
            <w:gridSpan w:val="2"/>
          </w:tcPr>
          <w:p>
            <w:pPr>
              <w:jc w:val="right"/>
              <w:ind w:right="488"/>
              <w:spacing w:after="0"/>
              <w:rPr>
                <w:sz w:val="20"/>
                <w:szCs w:val="20"/>
                <w:color w:val="auto"/>
              </w:rPr>
            </w:pPr>
            <w:r>
              <w:rPr>
                <w:rFonts w:ascii="Arial" w:cs="Arial" w:eastAsia="Arial" w:hAnsi="Arial"/>
                <w:sz w:val="14"/>
                <w:szCs w:val="14"/>
                <w:color w:val="auto"/>
              </w:rPr>
              <w:t>*</w:t>
            </w:r>
          </w:p>
        </w:tc>
      </w:tr>
      <w:tr>
        <w:trPr>
          <w:trHeight w:val="227"/>
        </w:trPr>
        <w:tc>
          <w:tcPr>
            <w:tcW w:w="8760" w:type="dxa"/>
            <w:vAlign w:val="bottom"/>
            <w:tcBorders>
              <w:top w:val="single" w:sz="8" w:color="939598"/>
              <w:bottom w:val="single" w:sz="8" w:color="939598"/>
            </w:tcBorders>
            <w:shd w:val="clear" w:color="auto" w:fill="E6E7E8"/>
          </w:tcPr>
          <w:p>
            <w:pPr>
              <w:ind w:left="20"/>
              <w:spacing w:after="0"/>
              <w:rPr>
                <w:sz w:val="20"/>
                <w:szCs w:val="20"/>
                <w:color w:val="auto"/>
              </w:rPr>
            </w:pPr>
            <w:r>
              <w:rPr>
                <w:rFonts w:ascii="Arial" w:cs="Arial" w:eastAsia="Arial" w:hAnsi="Arial"/>
                <w:sz w:val="14"/>
                <w:szCs w:val="14"/>
                <w:b w:val="1"/>
                <w:bCs w:val="1"/>
                <w:color w:val="004A98"/>
              </w:rPr>
              <w:t xml:space="preserve">Timothy Tomlinson </w:t>
            </w:r>
            <w:r>
              <w:rPr>
                <w:rFonts w:ascii="Arial" w:cs="Arial" w:eastAsia="Arial" w:hAnsi="Arial"/>
                <w:sz w:val="18"/>
                <w:szCs w:val="18"/>
                <w:b w:val="1"/>
                <w:bCs w:val="1"/>
                <w:color w:val="004A98"/>
                <w:vertAlign w:val="superscript"/>
              </w:rPr>
              <w:t>(7)</w:t>
            </w:r>
          </w:p>
        </w:tc>
        <w:tc>
          <w:tcPr>
            <w:tcW w:w="100" w:type="dxa"/>
            <w:vAlign w:val="bottom"/>
          </w:tcPr>
          <w:p>
            <w:pPr>
              <w:spacing w:after="0"/>
              <w:rPr>
                <w:sz w:val="19"/>
                <w:szCs w:val="19"/>
                <w:color w:val="auto"/>
              </w:rPr>
            </w:pPr>
          </w:p>
        </w:tc>
        <w:tc>
          <w:tcPr>
            <w:tcW w:w="1120" w:type="dxa"/>
            <w:vAlign w:val="bottom"/>
            <w:tcBorders>
              <w:top w:val="single" w:sz="8" w:color="939598"/>
              <w:bottom w:val="single" w:sz="8" w:color="939598"/>
            </w:tcBorders>
            <w:shd w:val="clear" w:color="auto" w:fill="E6E7E8"/>
          </w:tcPr>
          <w:p>
            <w:pPr>
              <w:jc w:val="right"/>
              <w:ind w:right="8"/>
              <w:spacing w:after="0"/>
              <w:rPr>
                <w:sz w:val="20"/>
                <w:szCs w:val="20"/>
                <w:color w:val="auto"/>
              </w:rPr>
            </w:pPr>
            <w:r>
              <w:rPr>
                <w:rFonts w:ascii="Arial" w:cs="Arial" w:eastAsia="Arial" w:hAnsi="Arial"/>
                <w:sz w:val="14"/>
                <w:szCs w:val="14"/>
                <w:color w:val="auto"/>
              </w:rPr>
              <w:t>15,000</w:t>
            </w:r>
          </w:p>
        </w:tc>
        <w:tc>
          <w:tcPr>
            <w:tcW w:w="80" w:type="dxa"/>
            <w:vAlign w:val="bottom"/>
          </w:tcPr>
          <w:p>
            <w:pPr>
              <w:spacing w:after="0"/>
              <w:rPr>
                <w:sz w:val="19"/>
                <w:szCs w:val="19"/>
                <w:color w:val="auto"/>
              </w:rPr>
            </w:pPr>
          </w:p>
        </w:tc>
        <w:tc>
          <w:tcPr>
            <w:tcW w:w="1180" w:type="dxa"/>
            <w:vAlign w:val="bottom"/>
            <w:tcBorders>
              <w:top w:val="single" w:sz="8" w:color="939598"/>
              <w:bottom w:val="single" w:sz="8" w:color="939598"/>
            </w:tcBorders>
            <w:shd w:val="clear" w:color="auto" w:fill="E6E7E8"/>
          </w:tcPr>
          <w:p>
            <w:pPr>
              <w:jc w:val="right"/>
              <w:ind w:right="488"/>
              <w:spacing w:after="0"/>
              <w:rPr>
                <w:sz w:val="20"/>
                <w:szCs w:val="20"/>
                <w:color w:val="auto"/>
              </w:rPr>
            </w:pPr>
            <w:r>
              <w:rPr>
                <w:rFonts w:ascii="Arial" w:cs="Arial" w:eastAsia="Arial" w:hAnsi="Arial"/>
                <w:sz w:val="14"/>
                <w:szCs w:val="14"/>
                <w:color w:val="auto"/>
              </w:rPr>
              <w:t>*</w:t>
            </w:r>
          </w:p>
        </w:tc>
      </w:tr>
      <w:tr>
        <w:trPr>
          <w:trHeight w:val="219"/>
        </w:trPr>
        <w:tc>
          <w:tcPr>
            <w:tcW w:w="8760" w:type="dxa"/>
            <w:vAlign w:val="bottom"/>
          </w:tcPr>
          <w:p>
            <w:pPr>
              <w:ind w:left="20"/>
              <w:spacing w:after="0"/>
              <w:rPr>
                <w:sz w:val="20"/>
                <w:szCs w:val="20"/>
                <w:color w:val="auto"/>
              </w:rPr>
            </w:pPr>
            <w:r>
              <w:rPr>
                <w:rFonts w:ascii="Arial" w:cs="Arial" w:eastAsia="Arial" w:hAnsi="Arial"/>
                <w:sz w:val="14"/>
                <w:szCs w:val="14"/>
                <w:b w:val="1"/>
                <w:bCs w:val="1"/>
                <w:color w:val="004A98"/>
              </w:rPr>
              <w:t>Todd B. Strubbe</w:t>
            </w:r>
          </w:p>
        </w:tc>
        <w:tc>
          <w:tcPr>
            <w:tcW w:w="1220" w:type="dxa"/>
            <w:vAlign w:val="bottom"/>
            <w:gridSpan w:val="2"/>
          </w:tcPr>
          <w:p>
            <w:pPr>
              <w:jc w:val="right"/>
              <w:ind w:right="8"/>
              <w:spacing w:after="0"/>
              <w:rPr>
                <w:sz w:val="20"/>
                <w:szCs w:val="20"/>
                <w:color w:val="auto"/>
              </w:rPr>
            </w:pPr>
            <w:r>
              <w:rPr>
                <w:rFonts w:ascii="Arial" w:cs="Arial" w:eastAsia="Arial" w:hAnsi="Arial"/>
                <w:sz w:val="14"/>
                <w:szCs w:val="14"/>
                <w:color w:val="auto"/>
              </w:rPr>
              <w:t>8,400</w:t>
            </w:r>
          </w:p>
        </w:tc>
        <w:tc>
          <w:tcPr>
            <w:tcW w:w="1260" w:type="dxa"/>
            <w:vAlign w:val="bottom"/>
            <w:gridSpan w:val="2"/>
          </w:tcPr>
          <w:p>
            <w:pPr>
              <w:jc w:val="right"/>
              <w:ind w:right="488"/>
              <w:spacing w:after="0"/>
              <w:rPr>
                <w:sz w:val="20"/>
                <w:szCs w:val="20"/>
                <w:color w:val="auto"/>
              </w:rPr>
            </w:pPr>
            <w:r>
              <w:rPr>
                <w:rFonts w:ascii="Arial" w:cs="Arial" w:eastAsia="Arial" w:hAnsi="Arial"/>
                <w:sz w:val="14"/>
                <w:szCs w:val="14"/>
                <w:color w:val="auto"/>
              </w:rPr>
              <w:t>*</w:t>
            </w:r>
          </w:p>
        </w:tc>
      </w:tr>
      <w:tr>
        <w:trPr>
          <w:trHeight w:val="227"/>
        </w:trPr>
        <w:tc>
          <w:tcPr>
            <w:tcW w:w="8760" w:type="dxa"/>
            <w:vAlign w:val="bottom"/>
            <w:tcBorders>
              <w:top w:val="single" w:sz="8" w:color="939598"/>
              <w:bottom w:val="single" w:sz="8" w:color="939598"/>
            </w:tcBorders>
            <w:shd w:val="clear" w:color="auto" w:fill="E6E7E8"/>
          </w:tcPr>
          <w:p>
            <w:pPr>
              <w:ind w:left="20"/>
              <w:spacing w:after="0"/>
              <w:rPr>
                <w:sz w:val="20"/>
                <w:szCs w:val="20"/>
                <w:color w:val="auto"/>
              </w:rPr>
            </w:pPr>
            <w:r>
              <w:rPr>
                <w:rFonts w:ascii="Arial" w:cs="Arial" w:eastAsia="Arial" w:hAnsi="Arial"/>
                <w:sz w:val="14"/>
                <w:szCs w:val="14"/>
                <w:b w:val="1"/>
                <w:bCs w:val="1"/>
                <w:color w:val="004A98"/>
              </w:rPr>
              <w:t xml:space="preserve">George E. Kilguss, III </w:t>
            </w:r>
            <w:r>
              <w:rPr>
                <w:rFonts w:ascii="Arial" w:cs="Arial" w:eastAsia="Arial" w:hAnsi="Arial"/>
                <w:sz w:val="18"/>
                <w:szCs w:val="18"/>
                <w:b w:val="1"/>
                <w:bCs w:val="1"/>
                <w:color w:val="004A98"/>
                <w:vertAlign w:val="superscript"/>
              </w:rPr>
              <w:t>(8)</w:t>
            </w:r>
          </w:p>
        </w:tc>
        <w:tc>
          <w:tcPr>
            <w:tcW w:w="100" w:type="dxa"/>
            <w:vAlign w:val="bottom"/>
          </w:tcPr>
          <w:p>
            <w:pPr>
              <w:spacing w:after="0"/>
              <w:rPr>
                <w:sz w:val="19"/>
                <w:szCs w:val="19"/>
                <w:color w:val="auto"/>
              </w:rPr>
            </w:pPr>
          </w:p>
        </w:tc>
        <w:tc>
          <w:tcPr>
            <w:tcW w:w="1120" w:type="dxa"/>
            <w:vAlign w:val="bottom"/>
            <w:tcBorders>
              <w:top w:val="single" w:sz="8" w:color="939598"/>
              <w:bottom w:val="single" w:sz="8" w:color="939598"/>
            </w:tcBorders>
            <w:shd w:val="clear" w:color="auto" w:fill="E6E7E8"/>
          </w:tcPr>
          <w:p>
            <w:pPr>
              <w:jc w:val="right"/>
              <w:ind w:right="8"/>
              <w:spacing w:after="0"/>
              <w:rPr>
                <w:sz w:val="20"/>
                <w:szCs w:val="20"/>
                <w:color w:val="auto"/>
              </w:rPr>
            </w:pPr>
            <w:r>
              <w:rPr>
                <w:rFonts w:ascii="Arial" w:cs="Arial" w:eastAsia="Arial" w:hAnsi="Arial"/>
                <w:sz w:val="14"/>
                <w:szCs w:val="14"/>
                <w:color w:val="auto"/>
              </w:rPr>
              <w:t>105,308</w:t>
            </w:r>
          </w:p>
        </w:tc>
        <w:tc>
          <w:tcPr>
            <w:tcW w:w="80" w:type="dxa"/>
            <w:vAlign w:val="bottom"/>
          </w:tcPr>
          <w:p>
            <w:pPr>
              <w:spacing w:after="0"/>
              <w:rPr>
                <w:sz w:val="19"/>
                <w:szCs w:val="19"/>
                <w:color w:val="auto"/>
              </w:rPr>
            </w:pPr>
          </w:p>
        </w:tc>
        <w:tc>
          <w:tcPr>
            <w:tcW w:w="1180" w:type="dxa"/>
            <w:vAlign w:val="bottom"/>
            <w:tcBorders>
              <w:top w:val="single" w:sz="8" w:color="939598"/>
              <w:bottom w:val="single" w:sz="8" w:color="939598"/>
            </w:tcBorders>
            <w:shd w:val="clear" w:color="auto" w:fill="E6E7E8"/>
          </w:tcPr>
          <w:p>
            <w:pPr>
              <w:jc w:val="right"/>
              <w:ind w:right="488"/>
              <w:spacing w:after="0"/>
              <w:rPr>
                <w:sz w:val="20"/>
                <w:szCs w:val="20"/>
                <w:color w:val="auto"/>
              </w:rPr>
            </w:pPr>
            <w:r>
              <w:rPr>
                <w:rFonts w:ascii="Arial" w:cs="Arial" w:eastAsia="Arial" w:hAnsi="Arial"/>
                <w:sz w:val="14"/>
                <w:szCs w:val="14"/>
                <w:color w:val="auto"/>
              </w:rPr>
              <w:t>*</w:t>
            </w:r>
          </w:p>
        </w:tc>
      </w:tr>
      <w:tr>
        <w:trPr>
          <w:trHeight w:val="223"/>
        </w:trPr>
        <w:tc>
          <w:tcPr>
            <w:tcW w:w="8760" w:type="dxa"/>
            <w:vAlign w:val="bottom"/>
          </w:tcPr>
          <w:p>
            <w:pPr>
              <w:ind w:left="20"/>
              <w:spacing w:after="0"/>
              <w:rPr>
                <w:sz w:val="20"/>
                <w:szCs w:val="20"/>
                <w:color w:val="auto"/>
              </w:rPr>
            </w:pPr>
            <w:r>
              <w:rPr>
                <w:rFonts w:ascii="Arial" w:cs="Arial" w:eastAsia="Arial" w:hAnsi="Arial"/>
                <w:sz w:val="14"/>
                <w:szCs w:val="14"/>
                <w:b w:val="1"/>
                <w:bCs w:val="1"/>
                <w:color w:val="004A98"/>
              </w:rPr>
              <w:t xml:space="preserve">Danny R. McPherson </w:t>
            </w:r>
            <w:r>
              <w:rPr>
                <w:rFonts w:ascii="Arial" w:cs="Arial" w:eastAsia="Arial" w:hAnsi="Arial"/>
                <w:sz w:val="18"/>
                <w:szCs w:val="18"/>
                <w:b w:val="1"/>
                <w:bCs w:val="1"/>
                <w:color w:val="004A98"/>
                <w:vertAlign w:val="superscript"/>
              </w:rPr>
              <w:t>(9)</w:t>
            </w:r>
          </w:p>
        </w:tc>
        <w:tc>
          <w:tcPr>
            <w:tcW w:w="1220" w:type="dxa"/>
            <w:vAlign w:val="bottom"/>
            <w:gridSpan w:val="2"/>
          </w:tcPr>
          <w:p>
            <w:pPr>
              <w:jc w:val="right"/>
              <w:ind w:right="8"/>
              <w:spacing w:after="0"/>
              <w:rPr>
                <w:sz w:val="20"/>
                <w:szCs w:val="20"/>
                <w:color w:val="auto"/>
              </w:rPr>
            </w:pPr>
            <w:r>
              <w:rPr>
                <w:rFonts w:ascii="Arial" w:cs="Arial" w:eastAsia="Arial" w:hAnsi="Arial"/>
                <w:sz w:val="14"/>
                <w:szCs w:val="14"/>
                <w:color w:val="auto"/>
              </w:rPr>
              <w:t>11,746</w:t>
            </w:r>
          </w:p>
        </w:tc>
        <w:tc>
          <w:tcPr>
            <w:tcW w:w="1260" w:type="dxa"/>
            <w:vAlign w:val="bottom"/>
            <w:gridSpan w:val="2"/>
          </w:tcPr>
          <w:p>
            <w:pPr>
              <w:jc w:val="right"/>
              <w:ind w:right="488"/>
              <w:spacing w:after="0"/>
              <w:rPr>
                <w:sz w:val="20"/>
                <w:szCs w:val="20"/>
                <w:color w:val="auto"/>
              </w:rPr>
            </w:pPr>
            <w:r>
              <w:rPr>
                <w:rFonts w:ascii="Arial" w:cs="Arial" w:eastAsia="Arial" w:hAnsi="Arial"/>
                <w:sz w:val="14"/>
                <w:szCs w:val="14"/>
                <w:color w:val="auto"/>
              </w:rPr>
              <w:t>*</w:t>
            </w:r>
          </w:p>
        </w:tc>
      </w:tr>
      <w:tr>
        <w:trPr>
          <w:trHeight w:val="223"/>
        </w:trPr>
        <w:tc>
          <w:tcPr>
            <w:tcW w:w="8760" w:type="dxa"/>
            <w:vAlign w:val="bottom"/>
            <w:tcBorders>
              <w:top w:val="single" w:sz="8" w:color="939598"/>
              <w:bottom w:val="single" w:sz="8" w:color="939598"/>
            </w:tcBorders>
            <w:shd w:val="clear" w:color="auto" w:fill="E6E7E8"/>
          </w:tcPr>
          <w:p>
            <w:pPr>
              <w:ind w:left="20"/>
              <w:spacing w:after="0"/>
              <w:rPr>
                <w:sz w:val="20"/>
                <w:szCs w:val="20"/>
                <w:color w:val="auto"/>
              </w:rPr>
            </w:pPr>
            <w:r>
              <w:rPr>
                <w:rFonts w:ascii="Arial" w:cs="Arial" w:eastAsia="Arial" w:hAnsi="Arial"/>
                <w:sz w:val="14"/>
                <w:szCs w:val="14"/>
                <w:b w:val="1"/>
                <w:bCs w:val="1"/>
                <w:color w:val="004A98"/>
              </w:rPr>
              <w:t xml:space="preserve">Thomas C. Indelicarto </w:t>
            </w:r>
            <w:r>
              <w:rPr>
                <w:rFonts w:ascii="Arial" w:cs="Arial" w:eastAsia="Arial" w:hAnsi="Arial"/>
                <w:sz w:val="18"/>
                <w:szCs w:val="18"/>
                <w:b w:val="1"/>
                <w:bCs w:val="1"/>
                <w:color w:val="004A98"/>
                <w:vertAlign w:val="superscript"/>
              </w:rPr>
              <w:t>(10)</w:t>
            </w:r>
          </w:p>
        </w:tc>
        <w:tc>
          <w:tcPr>
            <w:tcW w:w="100" w:type="dxa"/>
            <w:vAlign w:val="bottom"/>
          </w:tcPr>
          <w:p>
            <w:pPr>
              <w:spacing w:after="0"/>
              <w:rPr>
                <w:sz w:val="19"/>
                <w:szCs w:val="19"/>
                <w:color w:val="auto"/>
              </w:rPr>
            </w:pPr>
          </w:p>
        </w:tc>
        <w:tc>
          <w:tcPr>
            <w:tcW w:w="1120" w:type="dxa"/>
            <w:vAlign w:val="bottom"/>
            <w:tcBorders>
              <w:top w:val="single" w:sz="8" w:color="939598"/>
              <w:bottom w:val="single" w:sz="8" w:color="939598"/>
            </w:tcBorders>
            <w:shd w:val="clear" w:color="auto" w:fill="E6E7E8"/>
          </w:tcPr>
          <w:p>
            <w:pPr>
              <w:jc w:val="right"/>
              <w:ind w:right="8"/>
              <w:spacing w:after="0"/>
              <w:rPr>
                <w:sz w:val="20"/>
                <w:szCs w:val="20"/>
                <w:color w:val="auto"/>
              </w:rPr>
            </w:pPr>
            <w:r>
              <w:rPr>
                <w:rFonts w:ascii="Arial" w:cs="Arial" w:eastAsia="Arial" w:hAnsi="Arial"/>
                <w:sz w:val="14"/>
                <w:szCs w:val="14"/>
                <w:color w:val="auto"/>
              </w:rPr>
              <w:t>24,021</w:t>
            </w:r>
          </w:p>
        </w:tc>
        <w:tc>
          <w:tcPr>
            <w:tcW w:w="80" w:type="dxa"/>
            <w:vAlign w:val="bottom"/>
          </w:tcPr>
          <w:p>
            <w:pPr>
              <w:spacing w:after="0"/>
              <w:rPr>
                <w:sz w:val="19"/>
                <w:szCs w:val="19"/>
                <w:color w:val="auto"/>
              </w:rPr>
            </w:pPr>
          </w:p>
        </w:tc>
        <w:tc>
          <w:tcPr>
            <w:tcW w:w="1180" w:type="dxa"/>
            <w:vAlign w:val="bottom"/>
            <w:tcBorders>
              <w:top w:val="single" w:sz="8" w:color="939598"/>
              <w:bottom w:val="single" w:sz="8" w:color="939598"/>
            </w:tcBorders>
            <w:shd w:val="clear" w:color="auto" w:fill="E6E7E8"/>
          </w:tcPr>
          <w:p>
            <w:pPr>
              <w:jc w:val="right"/>
              <w:ind w:right="488"/>
              <w:spacing w:after="0"/>
              <w:rPr>
                <w:sz w:val="20"/>
                <w:szCs w:val="20"/>
                <w:color w:val="auto"/>
              </w:rPr>
            </w:pPr>
            <w:r>
              <w:rPr>
                <w:rFonts w:ascii="Arial" w:cs="Arial" w:eastAsia="Arial" w:hAnsi="Arial"/>
                <w:sz w:val="14"/>
                <w:szCs w:val="14"/>
                <w:color w:val="auto"/>
              </w:rPr>
              <w:t>*</w:t>
            </w:r>
          </w:p>
        </w:tc>
      </w:tr>
      <w:tr>
        <w:trPr>
          <w:trHeight w:val="196"/>
        </w:trPr>
        <w:tc>
          <w:tcPr>
            <w:tcW w:w="8760" w:type="dxa"/>
            <w:vAlign w:val="bottom"/>
            <w:tcBorders>
              <w:bottom w:val="single" w:sz="8" w:color="939598"/>
            </w:tcBorders>
          </w:tcPr>
          <w:p>
            <w:pPr>
              <w:ind w:left="20"/>
              <w:spacing w:after="0" w:line="196" w:lineRule="exact"/>
              <w:rPr>
                <w:sz w:val="20"/>
                <w:szCs w:val="20"/>
                <w:color w:val="auto"/>
              </w:rPr>
            </w:pPr>
            <w:r>
              <w:rPr>
                <w:rFonts w:ascii="Arial" w:cs="Arial" w:eastAsia="Arial" w:hAnsi="Arial"/>
                <w:sz w:val="14"/>
                <w:szCs w:val="14"/>
                <w:color w:val="auto"/>
              </w:rPr>
              <w:t xml:space="preserve">All current directors and Executive Officers as a group (13 persons) </w:t>
            </w:r>
            <w:r>
              <w:rPr>
                <w:rFonts w:ascii="Arial" w:cs="Arial" w:eastAsia="Arial" w:hAnsi="Arial"/>
                <w:sz w:val="18"/>
                <w:szCs w:val="18"/>
                <w:color w:val="auto"/>
                <w:vertAlign w:val="superscript"/>
              </w:rPr>
              <w:t>(11)</w:t>
            </w:r>
          </w:p>
        </w:tc>
        <w:tc>
          <w:tcPr>
            <w:tcW w:w="100" w:type="dxa"/>
            <w:vAlign w:val="bottom"/>
          </w:tcPr>
          <w:p>
            <w:pPr>
              <w:spacing w:after="0"/>
              <w:rPr>
                <w:sz w:val="17"/>
                <w:szCs w:val="17"/>
                <w:color w:val="auto"/>
              </w:rPr>
            </w:pPr>
          </w:p>
        </w:tc>
        <w:tc>
          <w:tcPr>
            <w:tcW w:w="1120" w:type="dxa"/>
            <w:vAlign w:val="bottom"/>
            <w:tcBorders>
              <w:bottom w:val="single" w:sz="8" w:color="939598"/>
            </w:tcBorders>
          </w:tcPr>
          <w:p>
            <w:pPr>
              <w:jc w:val="right"/>
              <w:ind w:right="8"/>
              <w:spacing w:after="0"/>
              <w:rPr>
                <w:sz w:val="20"/>
                <w:szCs w:val="20"/>
                <w:color w:val="auto"/>
              </w:rPr>
            </w:pPr>
            <w:r>
              <w:rPr>
                <w:rFonts w:ascii="Arial" w:cs="Arial" w:eastAsia="Arial" w:hAnsi="Arial"/>
                <w:sz w:val="14"/>
                <w:szCs w:val="14"/>
                <w:color w:val="auto"/>
              </w:rPr>
              <w:t>793,486</w:t>
            </w:r>
          </w:p>
        </w:tc>
        <w:tc>
          <w:tcPr>
            <w:tcW w:w="80" w:type="dxa"/>
            <w:vAlign w:val="bottom"/>
          </w:tcPr>
          <w:p>
            <w:pPr>
              <w:spacing w:after="0"/>
              <w:rPr>
                <w:sz w:val="17"/>
                <w:szCs w:val="17"/>
                <w:color w:val="auto"/>
              </w:rPr>
            </w:pPr>
          </w:p>
        </w:tc>
        <w:tc>
          <w:tcPr>
            <w:tcW w:w="1180" w:type="dxa"/>
            <w:vAlign w:val="bottom"/>
            <w:tcBorders>
              <w:bottom w:val="single" w:sz="8" w:color="939598"/>
            </w:tcBorders>
          </w:tcPr>
          <w:p>
            <w:pPr>
              <w:jc w:val="right"/>
              <w:ind w:right="488"/>
              <w:spacing w:after="0"/>
              <w:rPr>
                <w:sz w:val="20"/>
                <w:szCs w:val="20"/>
                <w:color w:val="auto"/>
              </w:rPr>
            </w:pPr>
            <w:r>
              <w:rPr>
                <w:rFonts w:ascii="Arial" w:cs="Arial" w:eastAsia="Arial" w:hAnsi="Arial"/>
                <w:sz w:val="14"/>
                <w:szCs w:val="14"/>
                <w:color w:val="auto"/>
              </w:rPr>
              <w:t>*</w:t>
            </w:r>
          </w:p>
        </w:tc>
      </w:tr>
    </w:tbl>
    <w:p>
      <w:pPr>
        <w:spacing w:after="0" w:line="193" w:lineRule="exact"/>
        <w:rPr>
          <w:sz w:val="20"/>
          <w:szCs w:val="20"/>
          <w:color w:val="auto"/>
        </w:rPr>
      </w:pPr>
    </w:p>
    <w:p>
      <w:pPr>
        <w:ind w:left="260" w:hanging="252"/>
        <w:spacing w:after="0"/>
        <w:tabs>
          <w:tab w:leader="none" w:pos="260" w:val="left"/>
        </w:tabs>
        <w:numPr>
          <w:ilvl w:val="0"/>
          <w:numId w:val="56"/>
        </w:numPr>
        <w:rPr>
          <w:rFonts w:ascii="Arial" w:cs="Arial" w:eastAsia="Arial" w:hAnsi="Arial"/>
          <w:sz w:val="14"/>
          <w:szCs w:val="14"/>
          <w:color w:val="auto"/>
        </w:rPr>
      </w:pPr>
      <w:r>
        <w:rPr>
          <w:rFonts w:ascii="Arial" w:cs="Arial" w:eastAsia="Arial" w:hAnsi="Arial"/>
          <w:sz w:val="14"/>
          <w:szCs w:val="14"/>
          <w:color w:val="auto"/>
        </w:rPr>
        <w:t>Less than 1% of Verisign’s outstanding common stock.</w:t>
      </w:r>
    </w:p>
    <w:p>
      <w:pPr>
        <w:spacing w:after="0" w:line="82" w:lineRule="exact"/>
        <w:rPr>
          <w:sz w:val="20"/>
          <w:szCs w:val="20"/>
          <w:color w:val="auto"/>
        </w:rPr>
      </w:pPr>
    </w:p>
    <w:p>
      <w:pPr>
        <w:ind w:left="260" w:right="120" w:hanging="252"/>
        <w:spacing w:after="0"/>
        <w:tabs>
          <w:tab w:leader="none" w:pos="264" w:val="left"/>
        </w:tabs>
        <w:numPr>
          <w:ilvl w:val="0"/>
          <w:numId w:val="57"/>
        </w:numPr>
        <w:rPr>
          <w:rFonts w:ascii="Arial" w:cs="Arial" w:eastAsia="Arial" w:hAnsi="Arial"/>
          <w:sz w:val="19"/>
          <w:szCs w:val="19"/>
          <w:color w:val="auto"/>
          <w:vertAlign w:val="superscript"/>
        </w:rPr>
      </w:pPr>
      <w:r>
        <w:rPr>
          <w:rFonts w:ascii="Arial" w:cs="Arial" w:eastAsia="Arial" w:hAnsi="Arial"/>
          <w:sz w:val="14"/>
          <w:szCs w:val="14"/>
          <w:color w:val="auto"/>
        </w:rPr>
        <w:t>The percentages are calculated using 94,127,787 outstanding shares of common stock on April 1, 2025, as adjusted pursuant to Rule 13d-3(d)(1)(i) of the Exchange Act. Pursuant to Rule 13d-3(d)(1), beneficial ownership information for each person also includes any shares of common stock that are issuable to such person upon vesting of RSUs within 60 days of April 1, 2025.</w:t>
      </w:r>
    </w:p>
    <w:p>
      <w:pPr>
        <w:spacing w:after="0" w:line="270"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spacing w:after="0"/>
        <w:rPr>
          <w:sz w:val="20"/>
          <w:szCs w:val="20"/>
          <w:color w:val="auto"/>
        </w:rPr>
      </w:pPr>
      <w:r>
        <w:rPr>
          <w:rFonts w:ascii="Arial" w:cs="Arial" w:eastAsia="Arial" w:hAnsi="Arial"/>
          <w:sz w:val="16"/>
          <w:szCs w:val="16"/>
          <w:color w:val="004A98"/>
        </w:rPr>
        <w:t>Stock Ownership Information</w:t>
      </w:r>
    </w:p>
    <w:p>
      <w:pPr>
        <w:spacing w:after="0" w:line="280" w:lineRule="exact"/>
        <w:rPr>
          <w:sz w:val="20"/>
          <w:szCs w:val="20"/>
          <w:color w:val="auto"/>
        </w:rPr>
      </w:pPr>
    </w:p>
    <w:p>
      <w:pPr>
        <w:ind w:left="260" w:right="80" w:hanging="252"/>
        <w:spacing w:after="0" w:line="265" w:lineRule="auto"/>
        <w:tabs>
          <w:tab w:leader="none" w:pos="264" w:val="left"/>
        </w:tabs>
        <w:numPr>
          <w:ilvl w:val="0"/>
          <w:numId w:val="58"/>
        </w:numPr>
        <w:rPr>
          <w:rFonts w:ascii="Arial" w:cs="Arial" w:eastAsia="Arial" w:hAnsi="Arial"/>
          <w:sz w:val="9"/>
          <w:szCs w:val="9"/>
          <w:color w:val="auto"/>
        </w:rPr>
      </w:pPr>
      <w:r>
        <w:rPr>
          <w:rFonts w:ascii="Arial" w:cs="Arial" w:eastAsia="Arial" w:hAnsi="Arial"/>
          <w:sz w:val="14"/>
          <w:szCs w:val="14"/>
          <w:color w:val="auto"/>
        </w:rPr>
        <w:t>Based on a Schedule 13G/A filed with the SEC on February 14, 2025, by Warren E. Buffett, Berkshire Hathaway, Inc. and other reporting persons with respect to the beneficial ownership of 13,271,457 shares, as of December 31, 2025. Berkshire Hathaway, Inc., is a diversified holding company which Mr. Buffett may be deemed to control. Mr. Buffett and Berkshire Hathaway share voting and dispositive power over 13,271,457 of these shares, which include shares beneficially owned by certain subsidiaries of Berkshire Hathaway. National Indemnity Company and GEICO Corporation each share voting and dispositive power over 7,998,510 of these shares; BNSF Master Retirement Trust shares voting and dispositive power of 3,800,000 of these shares; Government Employees Insurance Company shares voting and dispositive power of 7,998,910 of these shares; Scott Fetzer Company Collective Investment Trust shares voting and dispositive power of 95,100 of these shares; Berkshire Hathaway Consolidated Pension Plan Master Trust share voting and dispositive power of 1,015,032 shares; Precision Castparts Corp. Master Trust shares voting and dispositive power of 362,815 of these shares.</w:t>
      </w:r>
    </w:p>
    <w:p>
      <w:pPr>
        <w:spacing w:after="0" w:line="213" w:lineRule="exact"/>
        <w:rPr>
          <w:rFonts w:ascii="Arial" w:cs="Arial" w:eastAsia="Arial" w:hAnsi="Arial"/>
          <w:sz w:val="9"/>
          <w:szCs w:val="9"/>
          <w:color w:val="auto"/>
        </w:rPr>
      </w:pPr>
    </w:p>
    <w:p>
      <w:pPr>
        <w:ind w:left="260" w:right="480" w:hanging="252"/>
        <w:spacing w:after="0"/>
        <w:tabs>
          <w:tab w:leader="none" w:pos="264" w:val="left"/>
        </w:tabs>
        <w:numPr>
          <w:ilvl w:val="0"/>
          <w:numId w:val="58"/>
        </w:numPr>
        <w:rPr>
          <w:rFonts w:ascii="Arial" w:cs="Arial" w:eastAsia="Arial" w:hAnsi="Arial"/>
          <w:sz w:val="19"/>
          <w:szCs w:val="19"/>
          <w:color w:val="auto"/>
          <w:vertAlign w:val="superscript"/>
        </w:rPr>
      </w:pPr>
      <w:r>
        <w:rPr>
          <w:rFonts w:ascii="Arial" w:cs="Arial" w:eastAsia="Arial" w:hAnsi="Arial"/>
          <w:sz w:val="14"/>
          <w:szCs w:val="14"/>
          <w:color w:val="auto"/>
        </w:rPr>
        <w:t>Based on a Schedule 13G/A filed with the SEC on February 13, 2024, by The Vanguard Group with respect to the beneficial ownership of 10,322,372 shares, as of December 29, 2023. The Vanguard Group has shared voting power over 111,666 of these shares, sole dispositive power over 9,944,173 of these shares, and shared dispositive power over 378,199 of these shares.</w:t>
      </w:r>
    </w:p>
    <w:p>
      <w:pPr>
        <w:spacing w:after="0" w:line="53" w:lineRule="exact"/>
        <w:rPr>
          <w:rFonts w:ascii="Arial" w:cs="Arial" w:eastAsia="Arial" w:hAnsi="Arial"/>
          <w:sz w:val="19"/>
          <w:szCs w:val="19"/>
          <w:color w:val="auto"/>
          <w:vertAlign w:val="superscript"/>
        </w:rPr>
      </w:pPr>
    </w:p>
    <w:p>
      <w:pPr>
        <w:ind w:left="260" w:right="20" w:hanging="252"/>
        <w:spacing w:after="0" w:line="231" w:lineRule="auto"/>
        <w:tabs>
          <w:tab w:leader="none" w:pos="264" w:val="left"/>
        </w:tabs>
        <w:numPr>
          <w:ilvl w:val="0"/>
          <w:numId w:val="58"/>
        </w:numPr>
        <w:rPr>
          <w:rFonts w:ascii="Arial" w:cs="Arial" w:eastAsia="Arial" w:hAnsi="Arial"/>
          <w:sz w:val="19"/>
          <w:szCs w:val="19"/>
          <w:color w:val="auto"/>
          <w:vertAlign w:val="superscript"/>
        </w:rPr>
      </w:pPr>
      <w:r>
        <w:rPr>
          <w:rFonts w:ascii="Arial" w:cs="Arial" w:eastAsia="Arial" w:hAnsi="Arial"/>
          <w:sz w:val="14"/>
          <w:szCs w:val="14"/>
          <w:color w:val="auto"/>
        </w:rPr>
        <w:t>Based on a Schedule 13G/A filed with the SEC on November 12, 2024, by BlackRock, Inc. with respect to the beneficial ownership of 8,537,969 shares, as of December 31, 2024. BlackRock, Inc. has sole voting power over 7,820,846 of these shares and sole dispositive power over all 8,537,969 of these shares.</w:t>
      </w:r>
    </w:p>
    <w:p>
      <w:pPr>
        <w:spacing w:after="0" w:line="53" w:lineRule="exact"/>
        <w:rPr>
          <w:rFonts w:ascii="Arial" w:cs="Arial" w:eastAsia="Arial" w:hAnsi="Arial"/>
          <w:sz w:val="19"/>
          <w:szCs w:val="19"/>
          <w:color w:val="auto"/>
          <w:vertAlign w:val="superscript"/>
        </w:rPr>
      </w:pPr>
    </w:p>
    <w:p>
      <w:pPr>
        <w:ind w:left="260" w:right="60" w:hanging="252"/>
        <w:spacing w:after="0" w:line="222" w:lineRule="auto"/>
        <w:tabs>
          <w:tab w:leader="none" w:pos="264" w:val="left"/>
        </w:tabs>
        <w:numPr>
          <w:ilvl w:val="0"/>
          <w:numId w:val="58"/>
        </w:numPr>
        <w:rPr>
          <w:rFonts w:ascii="Arial" w:cs="Arial" w:eastAsia="Arial" w:hAnsi="Arial"/>
          <w:sz w:val="19"/>
          <w:szCs w:val="19"/>
          <w:color w:val="auto"/>
          <w:vertAlign w:val="superscript"/>
        </w:rPr>
      </w:pPr>
      <w:r>
        <w:rPr>
          <w:rFonts w:ascii="Arial" w:cs="Arial" w:eastAsia="Arial" w:hAnsi="Arial"/>
          <w:sz w:val="14"/>
          <w:szCs w:val="14"/>
          <w:color w:val="auto"/>
        </w:rPr>
        <w:t>Based on a Schedule 13G filed with the SEC on February 13, 2024 by Ninety One UK Ltd. with respect to the beneficial ownership of 5,234,855 shares as of December 31, 2023 and shared dispositive power over 3,709,420 of these shares.</w:t>
      </w:r>
    </w:p>
    <w:p>
      <w:pPr>
        <w:spacing w:after="0" w:line="39" w:lineRule="exact"/>
        <w:rPr>
          <w:rFonts w:ascii="Arial" w:cs="Arial" w:eastAsia="Arial" w:hAnsi="Arial"/>
          <w:sz w:val="19"/>
          <w:szCs w:val="19"/>
          <w:color w:val="auto"/>
          <w:vertAlign w:val="superscript"/>
        </w:rPr>
      </w:pPr>
    </w:p>
    <w:p>
      <w:pPr>
        <w:ind w:left="280" w:hanging="272"/>
        <w:spacing w:after="0"/>
        <w:tabs>
          <w:tab w:leader="none" w:pos="280" w:val="left"/>
        </w:tabs>
        <w:numPr>
          <w:ilvl w:val="0"/>
          <w:numId w:val="58"/>
        </w:numPr>
        <w:rPr>
          <w:rFonts w:ascii="Arial" w:cs="Arial" w:eastAsia="Arial" w:hAnsi="Arial"/>
          <w:sz w:val="19"/>
          <w:szCs w:val="19"/>
          <w:color w:val="auto"/>
          <w:vertAlign w:val="superscript"/>
        </w:rPr>
      </w:pPr>
      <w:r>
        <w:rPr>
          <w:rFonts w:ascii="Arial" w:cs="Arial" w:eastAsia="Arial" w:hAnsi="Arial"/>
          <w:sz w:val="14"/>
          <w:szCs w:val="14"/>
          <w:color w:val="auto"/>
        </w:rPr>
        <w:t>Includes 3,725 RSUs vesting within 60 days of April 1, 2025, held directly by Mr. Bidzos.</w:t>
      </w:r>
    </w:p>
    <w:p>
      <w:pPr>
        <w:spacing w:after="0" w:line="56" w:lineRule="exact"/>
        <w:rPr>
          <w:rFonts w:ascii="Arial" w:cs="Arial" w:eastAsia="Arial" w:hAnsi="Arial"/>
          <w:sz w:val="19"/>
          <w:szCs w:val="19"/>
          <w:color w:val="auto"/>
          <w:vertAlign w:val="superscript"/>
        </w:rPr>
      </w:pPr>
    </w:p>
    <w:p>
      <w:pPr>
        <w:ind w:left="280" w:hanging="272"/>
        <w:spacing w:after="0" w:line="204" w:lineRule="auto"/>
        <w:tabs>
          <w:tab w:leader="none" w:pos="280" w:val="left"/>
        </w:tabs>
        <w:numPr>
          <w:ilvl w:val="0"/>
          <w:numId w:val="58"/>
        </w:numPr>
        <w:rPr>
          <w:rFonts w:ascii="Arial" w:cs="Arial" w:eastAsia="Arial" w:hAnsi="Arial"/>
          <w:sz w:val="19"/>
          <w:szCs w:val="19"/>
          <w:color w:val="auto"/>
          <w:vertAlign w:val="superscript"/>
        </w:rPr>
      </w:pPr>
      <w:r>
        <w:rPr>
          <w:rFonts w:ascii="Arial" w:cs="Arial" w:eastAsia="Arial" w:hAnsi="Arial"/>
          <w:sz w:val="14"/>
          <w:szCs w:val="14"/>
          <w:color w:val="auto"/>
        </w:rPr>
        <w:t>Includes 15,000 shares held by the Tomlinson Family Trust, under which Mr. Tomlinson and his spouse are co-trustees.</w:t>
      </w:r>
    </w:p>
    <w:p>
      <w:pPr>
        <w:spacing w:after="0" w:line="57" w:lineRule="exact"/>
        <w:rPr>
          <w:rFonts w:ascii="Arial" w:cs="Arial" w:eastAsia="Arial" w:hAnsi="Arial"/>
          <w:sz w:val="19"/>
          <w:szCs w:val="19"/>
          <w:color w:val="auto"/>
          <w:vertAlign w:val="superscript"/>
        </w:rPr>
      </w:pPr>
    </w:p>
    <w:p>
      <w:pPr>
        <w:ind w:left="280" w:hanging="272"/>
        <w:spacing w:after="0" w:line="204" w:lineRule="auto"/>
        <w:tabs>
          <w:tab w:leader="none" w:pos="280" w:val="left"/>
        </w:tabs>
        <w:numPr>
          <w:ilvl w:val="0"/>
          <w:numId w:val="58"/>
        </w:numPr>
        <w:rPr>
          <w:rFonts w:ascii="Arial" w:cs="Arial" w:eastAsia="Arial" w:hAnsi="Arial"/>
          <w:sz w:val="19"/>
          <w:szCs w:val="19"/>
          <w:color w:val="auto"/>
          <w:vertAlign w:val="superscript"/>
        </w:rPr>
      </w:pPr>
      <w:r>
        <w:rPr>
          <w:rFonts w:ascii="Arial" w:cs="Arial" w:eastAsia="Arial" w:hAnsi="Arial"/>
          <w:sz w:val="14"/>
          <w:szCs w:val="14"/>
          <w:color w:val="auto"/>
        </w:rPr>
        <w:t>Includes 1,438 RSUs vesting within 60 days of April 1, 2025, held directly by Mr. Kilguss.</w:t>
      </w:r>
    </w:p>
    <w:p>
      <w:pPr>
        <w:spacing w:after="0" w:line="57" w:lineRule="exact"/>
        <w:rPr>
          <w:rFonts w:ascii="Arial" w:cs="Arial" w:eastAsia="Arial" w:hAnsi="Arial"/>
          <w:sz w:val="19"/>
          <w:szCs w:val="19"/>
          <w:color w:val="auto"/>
          <w:vertAlign w:val="superscript"/>
        </w:rPr>
      </w:pPr>
    </w:p>
    <w:p>
      <w:pPr>
        <w:ind w:left="280" w:hanging="272"/>
        <w:spacing w:after="0" w:line="204" w:lineRule="auto"/>
        <w:tabs>
          <w:tab w:leader="none" w:pos="280" w:val="left"/>
        </w:tabs>
        <w:numPr>
          <w:ilvl w:val="0"/>
          <w:numId w:val="58"/>
        </w:numPr>
        <w:rPr>
          <w:rFonts w:ascii="Arial" w:cs="Arial" w:eastAsia="Arial" w:hAnsi="Arial"/>
          <w:sz w:val="19"/>
          <w:szCs w:val="19"/>
          <w:color w:val="auto"/>
          <w:vertAlign w:val="superscript"/>
        </w:rPr>
      </w:pPr>
      <w:r>
        <w:rPr>
          <w:rFonts w:ascii="Arial" w:cs="Arial" w:eastAsia="Arial" w:hAnsi="Arial"/>
          <w:sz w:val="14"/>
          <w:szCs w:val="14"/>
          <w:color w:val="auto"/>
        </w:rPr>
        <w:t>Includes 1,439 RSUs vesting within 60 days of April 1, 2025, held directly by Mr. McPherson.</w:t>
      </w:r>
    </w:p>
    <w:p>
      <w:pPr>
        <w:spacing w:after="0" w:line="57" w:lineRule="exact"/>
        <w:rPr>
          <w:rFonts w:ascii="Arial" w:cs="Arial" w:eastAsia="Arial" w:hAnsi="Arial"/>
          <w:sz w:val="19"/>
          <w:szCs w:val="19"/>
          <w:color w:val="auto"/>
          <w:vertAlign w:val="superscript"/>
        </w:rPr>
      </w:pPr>
    </w:p>
    <w:p>
      <w:pPr>
        <w:ind w:left="260" w:hanging="252"/>
        <w:spacing w:after="0" w:line="204" w:lineRule="auto"/>
        <w:tabs>
          <w:tab w:leader="none" w:pos="260" w:val="left"/>
        </w:tabs>
        <w:numPr>
          <w:ilvl w:val="0"/>
          <w:numId w:val="58"/>
        </w:numPr>
        <w:rPr>
          <w:rFonts w:ascii="Arial" w:cs="Arial" w:eastAsia="Arial" w:hAnsi="Arial"/>
          <w:sz w:val="19"/>
          <w:szCs w:val="19"/>
          <w:color w:val="auto"/>
          <w:vertAlign w:val="superscript"/>
        </w:rPr>
      </w:pPr>
      <w:r>
        <w:rPr>
          <w:rFonts w:ascii="Arial" w:cs="Arial" w:eastAsia="Arial" w:hAnsi="Arial"/>
          <w:sz w:val="14"/>
          <w:szCs w:val="14"/>
          <w:color w:val="auto"/>
        </w:rPr>
        <w:t>Includes 1,380 RSUs vesting within 60 days of April 1, 2025, held directly by Mr. Indelicarto.</w:t>
      </w:r>
    </w:p>
    <w:p>
      <w:pPr>
        <w:spacing w:after="0" w:line="57" w:lineRule="exact"/>
        <w:rPr>
          <w:rFonts w:ascii="Arial" w:cs="Arial" w:eastAsia="Arial" w:hAnsi="Arial"/>
          <w:sz w:val="19"/>
          <w:szCs w:val="19"/>
          <w:color w:val="auto"/>
          <w:vertAlign w:val="superscript"/>
        </w:rPr>
      </w:pPr>
    </w:p>
    <w:p>
      <w:pPr>
        <w:ind w:left="260" w:hanging="252"/>
        <w:spacing w:after="0"/>
        <w:tabs>
          <w:tab w:leader="none" w:pos="260" w:val="left"/>
        </w:tabs>
        <w:numPr>
          <w:ilvl w:val="0"/>
          <w:numId w:val="58"/>
        </w:numPr>
        <w:rPr>
          <w:rFonts w:ascii="Arial" w:cs="Arial" w:eastAsia="Arial" w:hAnsi="Arial"/>
          <w:sz w:val="9"/>
          <w:szCs w:val="9"/>
          <w:color w:val="auto"/>
        </w:rPr>
      </w:pPr>
      <w:r>
        <w:rPr>
          <w:rFonts w:ascii="Arial" w:cs="Arial" w:eastAsia="Arial" w:hAnsi="Arial"/>
          <w:sz w:val="14"/>
          <w:szCs w:val="14"/>
          <w:color w:val="auto"/>
        </w:rPr>
        <w:t>Includes the shares described in footnotes (6)-(10).</w:t>
      </w:r>
    </w:p>
    <w:p>
      <w:pPr>
        <w:spacing w:after="0" w:line="313"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Delinquent Section 16(a) Reports</w:t>
      </w:r>
    </w:p>
    <w:p>
      <w:pPr>
        <w:spacing w:after="0" w:line="148"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Section 16(a) of the Exchange Act requires our directors and officers, and persons who own more than 10% of our common stock, to file initial reports of ownership and reports of changes in ownership with the SEC. We file Section 16(a) reports on behalf of our directors and Executive Officers to report their initial and subsequent changes in beneficial ownership of our common stock. Based solely on a review of the reports we filed on behalf of our directors and Executive Officers, or written representations from reporting persons that all reportable transactions were reported, the Company believes that all Section 16(a) filing requirements applicable to our directors and Executive Officers were complied with for 2024.</w:t>
      </w:r>
    </w:p>
    <w:p>
      <w:pPr>
        <w:spacing w:after="0" w:line="283"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Stock Ownership Policies</w:t>
      </w:r>
    </w:p>
    <w:p>
      <w:pPr>
        <w:spacing w:after="0" w:line="137"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Stock Retention Policy</w:t>
      </w:r>
    </w:p>
    <w:p>
      <w:pPr>
        <w:spacing w:after="0" w:line="128" w:lineRule="exact"/>
        <w:rPr>
          <w:sz w:val="20"/>
          <w:szCs w:val="20"/>
          <w:color w:val="auto"/>
        </w:rPr>
      </w:pPr>
    </w:p>
    <w:p>
      <w:pPr>
        <w:ind w:right="140"/>
        <w:spacing w:after="0" w:line="286" w:lineRule="auto"/>
        <w:rPr>
          <w:sz w:val="20"/>
          <w:szCs w:val="20"/>
          <w:color w:val="auto"/>
        </w:rPr>
      </w:pPr>
      <w:r>
        <w:rPr>
          <w:rFonts w:ascii="Arial" w:cs="Arial" w:eastAsia="Arial" w:hAnsi="Arial"/>
          <w:sz w:val="16"/>
          <w:szCs w:val="16"/>
          <w:color w:val="auto"/>
        </w:rPr>
        <w:t>Our stock retention policy applies to our employees at the Senior Vice President level and above, officers who are subject to the provisions of Section 16 of the Exchange Act (“Section 16 Officers”), and board members.</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Ownership levels are set as a multiple of base salary or annual retainer and are as follows:</w:t>
      </w:r>
    </w:p>
    <w:p>
      <w:pPr>
        <w:spacing w:after="0" w:line="113" w:lineRule="exact"/>
        <w:rPr>
          <w:sz w:val="20"/>
          <w:szCs w:val="20"/>
          <w:color w:val="auto"/>
        </w:rPr>
      </w:pPr>
    </w:p>
    <w:p>
      <w:pPr>
        <w:ind w:left="180" w:hanging="172"/>
        <w:spacing w:after="0"/>
        <w:tabs>
          <w:tab w:leader="none" w:pos="180" w:val="left"/>
        </w:tabs>
        <w:numPr>
          <w:ilvl w:val="0"/>
          <w:numId w:val="59"/>
        </w:numPr>
        <w:rPr>
          <w:rFonts w:ascii="Arial" w:cs="Arial" w:eastAsia="Arial" w:hAnsi="Arial"/>
          <w:sz w:val="16"/>
          <w:szCs w:val="16"/>
          <w:color w:val="004A98"/>
        </w:rPr>
      </w:pPr>
      <w:r>
        <w:rPr>
          <w:rFonts w:ascii="Arial" w:cs="Arial" w:eastAsia="Arial" w:hAnsi="Arial"/>
          <w:sz w:val="16"/>
          <w:szCs w:val="16"/>
          <w:color w:val="auto"/>
        </w:rPr>
        <w:t>Directors: 10x Annual Retainer</w:t>
      </w:r>
    </w:p>
    <w:p>
      <w:pPr>
        <w:spacing w:after="0" w:line="86" w:lineRule="exact"/>
        <w:rPr>
          <w:rFonts w:ascii="Arial" w:cs="Arial" w:eastAsia="Arial" w:hAnsi="Arial"/>
          <w:sz w:val="16"/>
          <w:szCs w:val="16"/>
          <w:color w:val="004A98"/>
        </w:rPr>
      </w:pPr>
    </w:p>
    <w:p>
      <w:pPr>
        <w:ind w:left="180" w:hanging="172"/>
        <w:spacing w:after="0"/>
        <w:tabs>
          <w:tab w:leader="none" w:pos="180" w:val="left"/>
        </w:tabs>
        <w:numPr>
          <w:ilvl w:val="0"/>
          <w:numId w:val="59"/>
        </w:numPr>
        <w:rPr>
          <w:rFonts w:ascii="Arial" w:cs="Arial" w:eastAsia="Arial" w:hAnsi="Arial"/>
          <w:sz w:val="16"/>
          <w:szCs w:val="16"/>
          <w:color w:val="004A98"/>
        </w:rPr>
      </w:pPr>
      <w:r>
        <w:rPr>
          <w:rFonts w:ascii="Arial" w:cs="Arial" w:eastAsia="Arial" w:hAnsi="Arial"/>
          <w:sz w:val="16"/>
          <w:szCs w:val="16"/>
          <w:color w:val="auto"/>
        </w:rPr>
        <w:t>CEO: 6x Base Salary</w:t>
      </w:r>
    </w:p>
    <w:p>
      <w:pPr>
        <w:spacing w:after="0" w:line="86" w:lineRule="exact"/>
        <w:rPr>
          <w:rFonts w:ascii="Arial" w:cs="Arial" w:eastAsia="Arial" w:hAnsi="Arial"/>
          <w:sz w:val="16"/>
          <w:szCs w:val="16"/>
          <w:color w:val="004A98"/>
        </w:rPr>
      </w:pPr>
    </w:p>
    <w:p>
      <w:pPr>
        <w:ind w:left="180" w:hanging="172"/>
        <w:spacing w:after="0"/>
        <w:tabs>
          <w:tab w:leader="none" w:pos="180" w:val="left"/>
        </w:tabs>
        <w:numPr>
          <w:ilvl w:val="0"/>
          <w:numId w:val="59"/>
        </w:numPr>
        <w:rPr>
          <w:rFonts w:ascii="Arial" w:cs="Arial" w:eastAsia="Arial" w:hAnsi="Arial"/>
          <w:sz w:val="16"/>
          <w:szCs w:val="16"/>
          <w:color w:val="004A98"/>
        </w:rPr>
      </w:pPr>
      <w:r>
        <w:rPr>
          <w:rFonts w:ascii="Arial" w:cs="Arial" w:eastAsia="Arial" w:hAnsi="Arial"/>
          <w:sz w:val="16"/>
          <w:szCs w:val="16"/>
          <w:color w:val="auto"/>
        </w:rPr>
        <w:t>Section 16 Officers, Executive Vice Presidents and Senior Vice Presidents, other than the CEO: 2x Base Salary</w:t>
      </w:r>
    </w:p>
    <w:p>
      <w:pPr>
        <w:spacing w:after="0" w:line="113" w:lineRule="exact"/>
        <w:rPr>
          <w:sz w:val="20"/>
          <w:szCs w:val="20"/>
          <w:color w:val="auto"/>
        </w:rPr>
      </w:pPr>
    </w:p>
    <w:p>
      <w:pPr>
        <w:spacing w:after="0" w:line="265" w:lineRule="auto"/>
        <w:rPr>
          <w:sz w:val="20"/>
          <w:szCs w:val="20"/>
          <w:color w:val="auto"/>
        </w:rPr>
      </w:pPr>
      <w:r>
        <w:rPr>
          <w:rFonts w:ascii="Arial" w:cs="Arial" w:eastAsia="Arial" w:hAnsi="Arial"/>
          <w:sz w:val="16"/>
          <w:szCs w:val="16"/>
          <w:color w:val="auto"/>
        </w:rPr>
        <w:t>The stock retention policy requires participants to retain 50% of their shares received from equity awards (net of taxes) until they reach the required minimum ownership level, and that the required minimum number of shares must be held until six months after the participant ceases employment or board service with the Company. We believe requiring executives and board members to continue to retain stock after their service with the Company ceases aligns our executives’ interests with the long-term interests of our stockholders. Each individual covered by this policy is in compliance.</w:t>
      </w:r>
    </w:p>
    <w:p>
      <w:pPr>
        <w:spacing w:after="0" w:line="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Insider Trading Policy</w:t>
      </w:r>
    </w:p>
    <w:p>
      <w:pPr>
        <w:spacing w:after="0" w:line="128"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Our Insider Trading Policy prohibits our directors and employees (including our executives) from (i) trading in our securities, including derivative securities, while aware of material non-public information or (ii) disclosing material non-public information to unauthorized persons outside of the Company. In addition, under our Insider Trading Policy, our directors and executives may only trade in our securities during approved trading windows after our Compliance Officer has pre-approved the trade.</w:t>
      </w:r>
    </w:p>
    <w:p>
      <w:pPr>
        <w:spacing w:after="0" w:line="65" w:lineRule="exact"/>
        <w:rPr>
          <w:sz w:val="20"/>
          <w:szCs w:val="20"/>
          <w:color w:val="auto"/>
        </w:rPr>
      </w:pPr>
    </w:p>
    <w:p>
      <w:pPr>
        <w:ind w:right="20"/>
        <w:spacing w:after="0" w:line="275" w:lineRule="auto"/>
        <w:rPr>
          <w:sz w:val="20"/>
          <w:szCs w:val="20"/>
          <w:color w:val="auto"/>
        </w:rPr>
      </w:pPr>
      <w:r>
        <w:rPr>
          <w:rFonts w:ascii="Arial" w:cs="Arial" w:eastAsia="Arial" w:hAnsi="Arial"/>
          <w:sz w:val="16"/>
          <w:szCs w:val="16"/>
          <w:color w:val="auto"/>
        </w:rPr>
        <w:t>Our insider trading policy and procedures governing the purchase, sale, and other dispositions of their securities by directors, officers, and employees, or the registrant itself are reasonably designed to promote compliance with insider trading laws, rules, and regulations, and any listing standards applicable to the registrant.</w:t>
      </w:r>
    </w:p>
    <w:p>
      <w:pPr>
        <w:spacing w:after="0" w:line="200" w:lineRule="exact"/>
        <w:rPr>
          <w:sz w:val="20"/>
          <w:szCs w:val="20"/>
          <w:color w:val="auto"/>
        </w:rPr>
      </w:pPr>
    </w:p>
    <w:p>
      <w:pPr>
        <w:spacing w:after="0" w:line="239"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54</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Stock Ownership Information</w:t>
      </w:r>
    </w:p>
    <w:p>
      <w:pPr>
        <w:spacing w:after="0" w:line="30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No Shorting, Hedging, or Pledging Allowed</w:t>
      </w:r>
    </w:p>
    <w:p>
      <w:pPr>
        <w:spacing w:after="0" w:line="128" w:lineRule="exact"/>
        <w:rPr>
          <w:sz w:val="20"/>
          <w:szCs w:val="20"/>
          <w:color w:val="auto"/>
        </w:rPr>
      </w:pPr>
    </w:p>
    <w:p>
      <w:pPr>
        <w:ind w:right="260"/>
        <w:spacing w:after="0" w:line="271" w:lineRule="auto"/>
        <w:rPr>
          <w:sz w:val="20"/>
          <w:szCs w:val="20"/>
          <w:color w:val="auto"/>
        </w:rPr>
      </w:pPr>
      <w:r>
        <w:rPr>
          <w:rFonts w:ascii="Arial" w:cs="Arial" w:eastAsia="Arial" w:hAnsi="Arial"/>
          <w:sz w:val="16"/>
          <w:szCs w:val="16"/>
          <w:color w:val="auto"/>
        </w:rPr>
        <w:t>Our Insider Trading Policy also prohibits our directors and employees (including our executives) from (i) trading in any interest or position relating to the future price of our securities, such as a put, call or short sale, other than a cashless exercise of an option through a broker, (ii) engaging in hedging or monetization transactions using our securities, including through the use of financial instruments such as prepaid variable forwards, equity swaps, collars, and exchange funds, or (iii) holding our securities in a margin account or otherwise pledging our securities as collateral.</w:t>
      </w:r>
    </w:p>
    <w:p>
      <w:pPr>
        <w:spacing w:after="0" w:line="281"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59"/>
          <w:szCs w:val="59"/>
          <w:color w:val="004A98"/>
        </w:rPr>
        <w:t>Information About the Meeting</w:t>
      </w:r>
    </w:p>
    <w:p>
      <w:pPr>
        <w:spacing w:after="0" w:line="335"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The Annual Meeting will be held at our corporate offices located at 12061 Bluemont Way, Reston, Virginia 20190 on Thursday, May 22, 2025, at 10:00 a.m., Eastern Time.</w:t>
      </w:r>
    </w:p>
    <w:p>
      <w:pPr>
        <w:spacing w:after="0" w:line="6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Only holders of record of our common stock at the close of business on April 1, 2025, which is the record date, will be entitled to vote at the Annual Meeting. This Proxy Statement and related proxy materials were first made available to stockholders on April 11, 2025. Our 2024 Annual Report, which includes our Annual Report on Form 10-K for the year ended December 31, 2024, is enclosed with this Proxy Statement for stockholders receiving a paper copy of proxy materials. This Proxy Statement, together with our 2024 Annual Report, can be accessed on our Investor Relations website at https://investor.verisign.com, or at www.edocumentview.com/vrsn.</w:t>
      </w:r>
    </w:p>
    <w:p>
      <w:pPr>
        <w:spacing w:after="0" w:line="70" w:lineRule="exact"/>
        <w:rPr>
          <w:sz w:val="20"/>
          <w:szCs w:val="20"/>
          <w:color w:val="auto"/>
        </w:rPr>
      </w:pPr>
    </w:p>
    <w:p>
      <w:pPr>
        <w:ind w:right="40"/>
        <w:spacing w:after="0" w:line="243" w:lineRule="auto"/>
        <w:rPr>
          <w:sz w:val="20"/>
          <w:szCs w:val="20"/>
          <w:color w:val="auto"/>
        </w:rPr>
      </w:pPr>
      <w:r>
        <w:rPr>
          <w:rFonts w:ascii="Arial" w:cs="Arial" w:eastAsia="Arial" w:hAnsi="Arial"/>
          <w:sz w:val="16"/>
          <w:szCs w:val="16"/>
          <w:color w:val="auto"/>
        </w:rPr>
        <w:t xml:space="preserve">Each proxy received will be voted in accordance with the instructions specified in the proxy. Unless contrary instructions are specified, if the proxy is submitted (and not revoked) prior to the Annual Meeting, the shares of Verisign common stock represented by the proxy will be voted: (1)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election of each of the eight director candidates nominated by the Board (Proposal No. 1); (2)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non-binding, advisory resolution to approve Verisign’s executive compensation (Proposal No. 2); (3)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ratification of the selection of KPMG LLP as our independent registered public accounting firm for the year ending December 31, 2025 (Proposal No. 3); (4) </w:t>
      </w:r>
      <w:r>
        <w:rPr>
          <w:rFonts w:ascii="Arial" w:cs="Arial" w:eastAsia="Arial" w:hAnsi="Arial"/>
          <w:sz w:val="16"/>
          <w:szCs w:val="16"/>
          <w:b w:val="1"/>
          <w:bCs w:val="1"/>
          <w:color w:val="auto"/>
        </w:rPr>
        <w:t>FOR</w:t>
      </w:r>
      <w:r>
        <w:rPr>
          <w:rFonts w:ascii="Arial" w:cs="Arial" w:eastAsia="Arial" w:hAnsi="Arial"/>
          <w:sz w:val="16"/>
          <w:szCs w:val="16"/>
          <w:color w:val="auto"/>
        </w:rPr>
        <w:t xml:space="preserve"> the approval of an amendment to the Company’s Restated Certificate of Incorporation to limit the</w:t>
      </w:r>
    </w:p>
    <w:p>
      <w:pPr>
        <w:spacing w:after="0" w:line="3" w:lineRule="exact"/>
        <w:rPr>
          <w:sz w:val="20"/>
          <w:szCs w:val="20"/>
          <w:color w:val="auto"/>
        </w:rPr>
      </w:pPr>
    </w:p>
    <w:p>
      <w:pPr>
        <w:jc w:val="both"/>
        <w:spacing w:after="0" w:line="247" w:lineRule="auto"/>
        <w:rPr>
          <w:sz w:val="20"/>
          <w:szCs w:val="20"/>
          <w:color w:val="auto"/>
        </w:rPr>
      </w:pPr>
      <w:r>
        <w:rPr>
          <w:rFonts w:ascii="Arial" w:cs="Arial" w:eastAsia="Arial" w:hAnsi="Arial"/>
          <w:sz w:val="16"/>
          <w:szCs w:val="16"/>
          <w:color w:val="auto"/>
        </w:rPr>
        <w:t xml:space="preserve">liability of certain officers as permitted by Delaware Law (Proposal No. 4); and (5) </w:t>
      </w:r>
      <w:r>
        <w:rPr>
          <w:rFonts w:ascii="Arial" w:cs="Arial" w:eastAsia="Arial" w:hAnsi="Arial"/>
          <w:sz w:val="16"/>
          <w:szCs w:val="16"/>
          <w:b w:val="1"/>
          <w:bCs w:val="1"/>
          <w:color w:val="auto"/>
        </w:rPr>
        <w:t>AGAINST</w:t>
      </w:r>
      <w:r>
        <w:rPr>
          <w:rFonts w:ascii="Arial" w:cs="Arial" w:eastAsia="Arial" w:hAnsi="Arial"/>
          <w:sz w:val="16"/>
          <w:szCs w:val="16"/>
          <w:color w:val="auto"/>
        </w:rPr>
        <w:t xml:space="preserve"> the stockholder proposal, if properly presented, regarding action by written consent (Proposal No. 5) and in accordance with the best judgment of the named proxies on any other matters properly brought before the Annual Meeting.</w:t>
      </w:r>
    </w:p>
    <w:p>
      <w:pPr>
        <w:spacing w:after="0" w:line="291"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Voting Rights</w:t>
      </w:r>
    </w:p>
    <w:p>
      <w:pPr>
        <w:spacing w:after="0" w:line="134" w:lineRule="exact"/>
        <w:rPr>
          <w:sz w:val="20"/>
          <w:szCs w:val="20"/>
          <w:color w:val="auto"/>
        </w:rPr>
      </w:pPr>
    </w:p>
    <w:p>
      <w:pPr>
        <w:ind w:right="200"/>
        <w:spacing w:after="0" w:line="304" w:lineRule="auto"/>
        <w:rPr>
          <w:sz w:val="20"/>
          <w:szCs w:val="20"/>
          <w:color w:val="auto"/>
        </w:rPr>
      </w:pPr>
      <w:r>
        <w:rPr>
          <w:rFonts w:ascii="Arial" w:cs="Arial" w:eastAsia="Arial" w:hAnsi="Arial"/>
          <w:sz w:val="16"/>
          <w:szCs w:val="16"/>
          <w:color w:val="auto"/>
        </w:rPr>
        <w:t xml:space="preserve">At the close of business on the record date, we had </w:t>
      </w:r>
      <w:r>
        <w:rPr>
          <w:rFonts w:ascii="Arial" w:cs="Arial" w:eastAsia="Arial" w:hAnsi="Arial"/>
          <w:sz w:val="14"/>
          <w:szCs w:val="14"/>
          <w:color w:val="auto"/>
        </w:rPr>
        <w:t>94,127,787</w:t>
      </w:r>
      <w:r>
        <w:rPr>
          <w:rFonts w:ascii="Arial" w:cs="Arial" w:eastAsia="Arial" w:hAnsi="Arial"/>
          <w:sz w:val="16"/>
          <w:szCs w:val="16"/>
          <w:color w:val="auto"/>
        </w:rPr>
        <w:t xml:space="preserve"> shares of common stock outstanding and entitled to vote. Holders of our common stock are entitled to one vote for each share held as of the record date.</w:t>
      </w:r>
    </w:p>
    <w:p>
      <w:pPr>
        <w:spacing w:after="0" w:line="233" w:lineRule="exact"/>
        <w:rPr>
          <w:sz w:val="20"/>
          <w:szCs w:val="20"/>
          <w:color w:val="auto"/>
        </w:rPr>
      </w:pPr>
    </w:p>
    <w:p>
      <w:pPr>
        <w:spacing w:after="0" w:line="295" w:lineRule="auto"/>
        <w:rPr>
          <w:sz w:val="20"/>
          <w:szCs w:val="20"/>
          <w:color w:val="auto"/>
        </w:rPr>
      </w:pPr>
      <w:r>
        <w:rPr>
          <w:rFonts w:ascii="Arial" w:cs="Arial" w:eastAsia="Arial" w:hAnsi="Arial"/>
          <w:sz w:val="32"/>
          <w:szCs w:val="32"/>
          <w:b w:val="1"/>
          <w:bCs w:val="1"/>
          <w:color w:val="004A98"/>
        </w:rPr>
        <w:t>Quorum, Effect of Abstentions and Broker Non-Votes, and Vote Required to Approve the Proposals</w:t>
      </w:r>
    </w:p>
    <w:p>
      <w:pPr>
        <w:spacing w:after="0" w:line="3" w:lineRule="exact"/>
        <w:rPr>
          <w:sz w:val="20"/>
          <w:szCs w:val="20"/>
          <w:color w:val="auto"/>
        </w:rPr>
      </w:pPr>
    </w:p>
    <w:p>
      <w:pPr>
        <w:ind w:right="100"/>
        <w:spacing w:after="0" w:line="259" w:lineRule="auto"/>
        <w:rPr>
          <w:sz w:val="20"/>
          <w:szCs w:val="20"/>
          <w:color w:val="auto"/>
        </w:rPr>
      </w:pPr>
      <w:r>
        <w:rPr>
          <w:rFonts w:ascii="Arial" w:cs="Arial" w:eastAsia="Arial" w:hAnsi="Arial"/>
          <w:sz w:val="16"/>
          <w:szCs w:val="16"/>
          <w:color w:val="auto"/>
        </w:rPr>
        <w:t>A majority of the shares of our common stock outstanding and entitled to vote must be present or represented by proxy at the Annual Meeting in order to have a quorum for the transaction of business at the Annual Meeting. Abstentions and broker non-votes will be treated as shares present for the purpose of determining the presence of a quorum. Brokers holding shares must vote according to specific instructions they receive from the beneficial owners of those shares. If brokers do not receive specific instructions, brokers may in some cases vote the shares in their discretion, but are not permitted to vote on certain proposals and may elect not vote on any of the proposals unless you provide voting instructions. If you do not provide voting instructions and the broker elects to vote your shares on some but not all matters, it will result in a “broker non-vote” for the matters on which the broker does not vote. Abstentions occur when you provide voting instructions but instruct the broker to abstain from voting on a particular matter instead of voting for or against the matter.</w:t>
      </w:r>
    </w:p>
    <w:p>
      <w:pPr>
        <w:spacing w:after="0" w:line="68" w:lineRule="exact"/>
        <w:rPr>
          <w:sz w:val="20"/>
          <w:szCs w:val="20"/>
          <w:color w:val="auto"/>
        </w:rPr>
      </w:pPr>
    </w:p>
    <w:p>
      <w:pPr>
        <w:jc w:val="both"/>
        <w:spacing w:after="0" w:line="275" w:lineRule="auto"/>
        <w:rPr>
          <w:sz w:val="20"/>
          <w:szCs w:val="20"/>
          <w:color w:val="auto"/>
        </w:rPr>
      </w:pPr>
      <w:r>
        <w:rPr>
          <w:rFonts w:ascii="Arial" w:cs="Arial" w:eastAsia="Arial" w:hAnsi="Arial"/>
          <w:sz w:val="16"/>
          <w:szCs w:val="16"/>
          <w:color w:val="auto"/>
        </w:rPr>
        <w:t>If a quorum is present at the Annual Meeting, to be elected, a nominee for director must receive a majority of the votes cast (the number of shares voted “for” that nominee must exceed the number of votes cast “against” that nominee). Under this voting standard, abstentions and broker non-votes will not affect the voting outcome. Stockholders may not cumulate votes in the election of directors.</w:t>
      </w:r>
    </w:p>
    <w:p>
      <w:pPr>
        <w:spacing w:after="0" w:line="70"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If a nominee who currently serves as a director is not re-elected, Delaware law provides that the director would continue to serve on the Board as a “holdover director.” Under our Corporate Governance Principles, each director that is not reelected by the stockholders must offer to resign, subject to acceptance by the Board. Each director submits an irrevocable letter of resignation for this purpose. When such a resignation offer is made, the Corporate Governance and Nominating Committee makes a recommendation to the Board with respect to the resignation offer and the Board must then determine whether to accept or reject the resignation offer and publicly disclose its decision and the rationale therefor within 90 days following the date of the certification of the relevant election results.</w:t>
      </w:r>
    </w:p>
    <w:p>
      <w:pPr>
        <w:spacing w:after="0" w:line="68" w:lineRule="exact"/>
        <w:rPr>
          <w:sz w:val="20"/>
          <w:szCs w:val="20"/>
          <w:color w:val="auto"/>
        </w:rPr>
      </w:pPr>
    </w:p>
    <w:p>
      <w:pPr>
        <w:spacing w:after="0"/>
        <w:rPr>
          <w:sz w:val="20"/>
          <w:szCs w:val="20"/>
          <w:color w:val="auto"/>
        </w:rPr>
      </w:pPr>
      <w:r>
        <w:rPr>
          <w:rFonts w:ascii="Arial" w:cs="Arial" w:eastAsia="Arial" w:hAnsi="Arial"/>
          <w:sz w:val="16"/>
          <w:szCs w:val="16"/>
          <w:color w:val="auto"/>
        </w:rPr>
        <w:t>If a quorum is present at the Annual Meeting, approval of the proposals for:</w:t>
      </w:r>
    </w:p>
    <w:p>
      <w:pPr>
        <w:spacing w:after="0" w:line="113" w:lineRule="exact"/>
        <w:rPr>
          <w:sz w:val="20"/>
          <w:szCs w:val="20"/>
          <w:color w:val="auto"/>
        </w:rPr>
      </w:pPr>
    </w:p>
    <w:p>
      <w:pPr>
        <w:ind w:left="180" w:hanging="172"/>
        <w:spacing w:after="0"/>
        <w:tabs>
          <w:tab w:leader="none" w:pos="180" w:val="left"/>
        </w:tabs>
        <w:numPr>
          <w:ilvl w:val="0"/>
          <w:numId w:val="60"/>
        </w:numPr>
        <w:rPr>
          <w:rFonts w:ascii="Arial" w:cs="Arial" w:eastAsia="Arial" w:hAnsi="Arial"/>
          <w:sz w:val="16"/>
          <w:szCs w:val="16"/>
          <w:color w:val="004A98"/>
        </w:rPr>
      </w:pPr>
      <w:r>
        <w:rPr>
          <w:rFonts w:ascii="Arial" w:cs="Arial" w:eastAsia="Arial" w:hAnsi="Arial"/>
          <w:sz w:val="16"/>
          <w:szCs w:val="16"/>
          <w:color w:val="auto"/>
        </w:rPr>
        <w:t>the non-binding, advisory resolution to approve Verisign’s executive compensation (Proposal No. 2);</w:t>
      </w:r>
    </w:p>
    <w:p>
      <w:pPr>
        <w:spacing w:after="0" w:line="86" w:lineRule="exact"/>
        <w:rPr>
          <w:rFonts w:ascii="Arial" w:cs="Arial" w:eastAsia="Arial" w:hAnsi="Arial"/>
          <w:sz w:val="16"/>
          <w:szCs w:val="16"/>
          <w:color w:val="004A98"/>
        </w:rPr>
      </w:pPr>
    </w:p>
    <w:p>
      <w:pPr>
        <w:ind w:left="200" w:right="360" w:hanging="192"/>
        <w:spacing w:after="0" w:line="286" w:lineRule="auto"/>
        <w:tabs>
          <w:tab w:leader="none" w:pos="170" w:val="left"/>
        </w:tabs>
        <w:numPr>
          <w:ilvl w:val="0"/>
          <w:numId w:val="60"/>
        </w:numPr>
        <w:rPr>
          <w:rFonts w:ascii="Arial" w:cs="Arial" w:eastAsia="Arial" w:hAnsi="Arial"/>
          <w:sz w:val="16"/>
          <w:szCs w:val="16"/>
          <w:color w:val="004A98"/>
        </w:rPr>
      </w:pPr>
      <w:r>
        <w:rPr>
          <w:rFonts w:ascii="Arial" w:cs="Arial" w:eastAsia="Arial" w:hAnsi="Arial"/>
          <w:sz w:val="16"/>
          <w:szCs w:val="16"/>
          <w:color w:val="auto"/>
        </w:rPr>
        <w:t>the ratification of the selection of KPMG LLP as the Company’s independent registered public accounting firm for the year ending December 31, 2025 (Proposal No. 3); and</w:t>
      </w:r>
    </w:p>
    <w:p>
      <w:pPr>
        <w:spacing w:after="0" w:line="20" w:lineRule="exact"/>
        <w:rPr>
          <w:rFonts w:ascii="Arial" w:cs="Arial" w:eastAsia="Arial" w:hAnsi="Arial"/>
          <w:sz w:val="16"/>
          <w:szCs w:val="16"/>
          <w:color w:val="004A98"/>
        </w:rPr>
      </w:pPr>
    </w:p>
    <w:p>
      <w:pPr>
        <w:ind w:left="180" w:hanging="172"/>
        <w:spacing w:after="0"/>
        <w:tabs>
          <w:tab w:leader="none" w:pos="180" w:val="left"/>
        </w:tabs>
        <w:numPr>
          <w:ilvl w:val="0"/>
          <w:numId w:val="60"/>
        </w:numPr>
        <w:rPr>
          <w:rFonts w:ascii="Arial" w:cs="Arial" w:eastAsia="Arial" w:hAnsi="Arial"/>
          <w:sz w:val="16"/>
          <w:szCs w:val="16"/>
          <w:color w:val="004A98"/>
        </w:rPr>
      </w:pPr>
      <w:r>
        <w:rPr>
          <w:rFonts w:ascii="Arial" w:cs="Arial" w:eastAsia="Arial" w:hAnsi="Arial"/>
          <w:sz w:val="16"/>
          <w:szCs w:val="16"/>
          <w:color w:val="auto"/>
        </w:rPr>
        <w:t>the stockholder proposal, if properly presented at the Annual Meeting, regarding action by written consent (Proposal No. 5);</w:t>
      </w:r>
    </w:p>
    <w:p>
      <w:pPr>
        <w:spacing w:after="0" w:line="200" w:lineRule="exact"/>
        <w:rPr>
          <w:sz w:val="20"/>
          <w:szCs w:val="20"/>
          <w:color w:val="auto"/>
        </w:rPr>
      </w:pPr>
    </w:p>
    <w:p>
      <w:pPr>
        <w:spacing w:after="0" w:line="255"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56</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53" w:lineRule="exact"/>
        <w:rPr>
          <w:sz w:val="20"/>
          <w:szCs w:val="20"/>
          <w:color w:val="auto"/>
        </w:rPr>
      </w:pPr>
    </w:p>
    <w:p>
      <w:pPr>
        <w:jc w:val="right"/>
        <w:spacing w:after="0"/>
        <w:rPr>
          <w:sz w:val="20"/>
          <w:szCs w:val="20"/>
          <w:color w:val="auto"/>
        </w:rPr>
      </w:pPr>
      <w:r>
        <w:rPr>
          <w:rFonts w:ascii="Arial" w:cs="Arial" w:eastAsia="Arial" w:hAnsi="Arial"/>
          <w:sz w:val="16"/>
          <w:szCs w:val="16"/>
          <w:color w:val="004A98"/>
        </w:rPr>
        <w:t>Information About the Meeting</w:t>
      </w:r>
    </w:p>
    <w:p>
      <w:pPr>
        <w:spacing w:after="0" w:line="316" w:lineRule="exact"/>
        <w:rPr>
          <w:sz w:val="20"/>
          <w:szCs w:val="20"/>
          <w:color w:val="auto"/>
        </w:rPr>
      </w:pPr>
    </w:p>
    <w:p>
      <w:pPr>
        <w:ind w:right="480"/>
        <w:spacing w:after="0" w:line="275" w:lineRule="auto"/>
        <w:rPr>
          <w:sz w:val="20"/>
          <w:szCs w:val="20"/>
          <w:color w:val="auto"/>
        </w:rPr>
      </w:pPr>
      <w:r>
        <w:rPr>
          <w:rFonts w:ascii="Arial" w:cs="Arial" w:eastAsia="Arial" w:hAnsi="Arial"/>
          <w:sz w:val="16"/>
          <w:szCs w:val="16"/>
          <w:color w:val="auto"/>
        </w:rPr>
        <w:t>requires, in each case, the affirmative vote of a majority of the shares of our common stock present or represented by proxy and entitled to vote on the matter. Under this voting standard, abstentions will have the effect of votes cast against the proposal, and broker non-votes will not affect the voting outcome.</w:t>
      </w:r>
    </w:p>
    <w:p>
      <w:pPr>
        <w:spacing w:after="0" w:line="43" w:lineRule="exact"/>
        <w:rPr>
          <w:sz w:val="20"/>
          <w:szCs w:val="20"/>
          <w:color w:val="auto"/>
        </w:rPr>
      </w:pPr>
    </w:p>
    <w:p>
      <w:pPr>
        <w:ind w:right="80"/>
        <w:spacing w:after="0" w:line="242" w:lineRule="auto"/>
        <w:rPr>
          <w:sz w:val="20"/>
          <w:szCs w:val="20"/>
          <w:color w:val="auto"/>
        </w:rPr>
      </w:pPr>
      <w:r>
        <w:rPr>
          <w:rFonts w:ascii="Arial" w:cs="Arial" w:eastAsia="Arial" w:hAnsi="Arial"/>
          <w:sz w:val="16"/>
          <w:szCs w:val="16"/>
          <w:color w:val="auto"/>
        </w:rPr>
        <w:t>If a quorum is present at the Annual Meeting, the approval of an amendment to the Company’s Restated Certificate of Incorporation to limit the liability of certain officers as permitted by Delaware Law (Proposal No. 4) would require the affirmative vote of the holders of a majority of the voting power of the shares outstanding and entitled to vote thereon. Abstentions and broker non-votes will have the same effect as votes “against” the approval of the Proposed Amendment.</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The inspector of elections appointed for the Annual Meeting will separately tabulate for and against votes, abstentions, and broker non-votes.</w:t>
      </w:r>
    </w:p>
    <w:p>
      <w:pPr>
        <w:spacing w:after="0" w:line="326"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Adjournment of Annual Meeting</w:t>
      </w:r>
    </w:p>
    <w:p>
      <w:pPr>
        <w:spacing w:after="0" w:line="148" w:lineRule="exact"/>
        <w:rPr>
          <w:sz w:val="20"/>
          <w:szCs w:val="20"/>
          <w:color w:val="auto"/>
        </w:rPr>
      </w:pPr>
    </w:p>
    <w:p>
      <w:pPr>
        <w:ind w:right="20"/>
        <w:spacing w:after="0" w:line="265" w:lineRule="auto"/>
        <w:rPr>
          <w:sz w:val="20"/>
          <w:szCs w:val="20"/>
          <w:color w:val="auto"/>
        </w:rPr>
      </w:pPr>
      <w:r>
        <w:rPr>
          <w:rFonts w:ascii="Arial" w:cs="Arial" w:eastAsia="Arial" w:hAnsi="Arial"/>
          <w:sz w:val="16"/>
          <w:szCs w:val="16"/>
          <w:color w:val="auto"/>
        </w:rPr>
        <w:t>In the event that a quorum shall fail to attend the Annual Meeting, either present or represented by proxy at the Annual Meeting, the chairman of the meeting may adjourn the Annual Meeting, or alternatively, the holders of a majority of the shares of our common stock entitled to vote who are present or represented by proxy may adjourn the Annual Meeting. Any such adjournment proposed by a stockholder or person named as a proxy would require the affirmative vote of the majority of the shares present or represented by proxy at the Annual Meeting.</w:t>
      </w:r>
    </w:p>
    <w:p>
      <w:pPr>
        <w:spacing w:after="0" w:line="265"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Expenses of Soliciting Proxies</w:t>
      </w:r>
    </w:p>
    <w:p>
      <w:pPr>
        <w:spacing w:after="0" w:line="148" w:lineRule="exact"/>
        <w:rPr>
          <w:sz w:val="20"/>
          <w:szCs w:val="20"/>
          <w:color w:val="auto"/>
        </w:rPr>
      </w:pPr>
    </w:p>
    <w:p>
      <w:pPr>
        <w:spacing w:after="0" w:line="259" w:lineRule="auto"/>
        <w:rPr>
          <w:sz w:val="20"/>
          <w:szCs w:val="20"/>
          <w:color w:val="auto"/>
        </w:rPr>
      </w:pPr>
      <w:r>
        <w:rPr>
          <w:rFonts w:ascii="Arial" w:cs="Arial" w:eastAsia="Arial" w:hAnsi="Arial"/>
          <w:sz w:val="16"/>
          <w:szCs w:val="16"/>
          <w:color w:val="auto"/>
        </w:rPr>
        <w:t>Verisign will bear the expense of soliciting proxies to be voted at the Annual Meeting. Verisign intends to retain Alliance Advisors for various services related to the solicitation of proxies, which we anticipate will cost approximately $50,000, plus reimbursement of expenses. Following the original mailing of the Notice Regarding the Availability of Proxy Materials and paper copies of proxy materials, we and/or our agents may also solicit proxies by mail, telephone, electronic transmission, including email, or in person. Following the original mailing of the Notice Regarding the Availability of Proxy Materials and paper copies of the proxy materials, we will request that brokers, custodians, nominees, and other record holders of our shares forward copies of the proxy materials to persons for whom they hold shares and request authority for the exercise of proxies. In such cases, we will reimburse the record holders for their reasonable expenses if they ask us to do so.</w:t>
      </w:r>
    </w:p>
    <w:p>
      <w:pPr>
        <w:spacing w:after="0" w:line="282"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Internet and Telephone Voting</w:t>
      </w:r>
    </w:p>
    <w:p>
      <w:pPr>
        <w:spacing w:after="0" w:line="148" w:lineRule="exact"/>
        <w:rPr>
          <w:sz w:val="20"/>
          <w:szCs w:val="20"/>
          <w:color w:val="auto"/>
        </w:rPr>
      </w:pPr>
    </w:p>
    <w:p>
      <w:pPr>
        <w:ind w:right="40"/>
        <w:spacing w:after="0" w:line="256" w:lineRule="auto"/>
        <w:rPr>
          <w:sz w:val="20"/>
          <w:szCs w:val="20"/>
          <w:color w:val="auto"/>
        </w:rPr>
      </w:pPr>
      <w:r>
        <w:rPr>
          <w:rFonts w:ascii="Arial" w:cs="Arial" w:eastAsia="Arial" w:hAnsi="Arial"/>
          <w:sz w:val="16"/>
          <w:szCs w:val="16"/>
          <w:color w:val="auto"/>
        </w:rPr>
        <w:t>If you hold your shares as a stockholder of record as of the record date, you can simplify your voting process and save the Company expense by voting your shares by telephone at 1-800-652-VOTE (8683) or on the internet at</w:t>
      </w:r>
    </w:p>
    <w:p>
      <w:pPr>
        <w:spacing w:after="0" w:line="1"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www.envisionreports.com/VRSN 24 hours a day, seven days a week. Telephone and internet voting are available through 12:00 a.m. Eastern Time on the day of the Annual Meeting. More information regarding internet voting is given on the Notice Regarding the Availability of Proxy Materials. If you hold your shares as of the record date through an intermediary, such as a bank or broker, the intermediary should provide you with separate instructions on a form you will receive from them. Many such intermediaries make telephone or internet voting available, but the specific processes available will depend on those intermediaries’ individual arrangements.</w:t>
      </w:r>
    </w:p>
    <w:p>
      <w:pPr>
        <w:spacing w:after="0" w:line="267"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Revocability of Proxies</w:t>
      </w:r>
    </w:p>
    <w:p>
      <w:pPr>
        <w:spacing w:after="0" w:line="148" w:lineRule="exact"/>
        <w:rPr>
          <w:sz w:val="20"/>
          <w:szCs w:val="20"/>
          <w:color w:val="auto"/>
        </w:rPr>
      </w:pPr>
    </w:p>
    <w:p>
      <w:pPr>
        <w:ind w:right="180"/>
        <w:spacing w:after="0" w:line="275" w:lineRule="auto"/>
        <w:rPr>
          <w:sz w:val="20"/>
          <w:szCs w:val="20"/>
          <w:color w:val="auto"/>
        </w:rPr>
      </w:pPr>
      <w:r>
        <w:rPr>
          <w:rFonts w:ascii="Arial" w:cs="Arial" w:eastAsia="Arial" w:hAnsi="Arial"/>
          <w:sz w:val="16"/>
          <w:szCs w:val="16"/>
          <w:color w:val="auto"/>
        </w:rPr>
        <w:t>If you hold your shares as a stockholder of record, you may revoke any proxy that is not irrevocable by attending and voting at the Annual Meeting or by delivering a proxy in accordance with applicable law bearing a later date to the Secretary of the Company. If you hold your shares through an intermediary, such as a bank or broker, you must follow the instructions provided by the intermediary to change or revoke your voting instructions.</w:t>
      </w:r>
    </w:p>
    <w:p>
      <w:pPr>
        <w:spacing w:after="0" w:line="256"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Householding</w:t>
      </w:r>
    </w:p>
    <w:p>
      <w:pPr>
        <w:spacing w:after="0" w:line="148"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A number of brokerage firms have instituted a procedure called “householding,” which has been approved by the SEC. Under this procedure, the firm delivers only one copy of the Notice Regarding the Availability of Proxy Materials or one copy of this Proxy Statement, together with our 2024 Annual Report, as the case may be, to multiple stockholders who share the same address and have the same last name, unless it has received contrary instructions from an affected stockholder. If your shares are held in “street name” and you would like to receive only one copy of these materials (instead of separate copies) in the future, please contact your bank, broker, or other holder of record to request information about householding. If you would like to receive an individual copy of the Notice Regarding the Availability of Proxy Materials or an individual copy of this Proxy Statement, together with our 2024 Annual Report, as the case may be, now or in the future, we will promptly deliver these materials to you upon request to VeriSign, Inc., 12061 Bluemont Way, Reston, Virginia 20190, Attention: Secretary or by phone at (703) 948-3200.</w:t>
      </w:r>
    </w:p>
    <w:p>
      <w:pPr>
        <w:spacing w:after="0" w:line="306"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121920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59"/>
          <w:szCs w:val="59"/>
          <w:color w:val="004A98"/>
        </w:rPr>
        <w:t>Other Information</w:t>
      </w:r>
    </w:p>
    <w:p>
      <w:pPr>
        <w:spacing w:after="0" w:line="373" w:lineRule="exact"/>
        <w:rPr>
          <w:sz w:val="20"/>
          <w:szCs w:val="20"/>
          <w:color w:val="auto"/>
        </w:rPr>
      </w:pPr>
    </w:p>
    <w:p>
      <w:pPr>
        <w:ind w:right="180"/>
        <w:spacing w:after="0" w:line="291" w:lineRule="auto"/>
        <w:rPr>
          <w:sz w:val="20"/>
          <w:szCs w:val="20"/>
          <w:color w:val="auto"/>
        </w:rPr>
      </w:pPr>
      <w:r>
        <w:rPr>
          <w:rFonts w:ascii="Arial" w:cs="Arial" w:eastAsia="Arial" w:hAnsi="Arial"/>
          <w:sz w:val="32"/>
          <w:szCs w:val="32"/>
          <w:b w:val="1"/>
          <w:bCs w:val="1"/>
          <w:color w:val="004A98"/>
        </w:rPr>
        <w:t>Stockholder Proposals and Nominations for the 2026 Annual Meeting of Stockholders</w:t>
      </w:r>
    </w:p>
    <w:p>
      <w:pPr>
        <w:spacing w:after="0" w:line="1" w:lineRule="exact"/>
        <w:rPr>
          <w:sz w:val="20"/>
          <w:szCs w:val="20"/>
          <w:color w:val="auto"/>
        </w:rPr>
      </w:pPr>
    </w:p>
    <w:p>
      <w:pPr>
        <w:ind w:right="480"/>
        <w:spacing w:after="0" w:line="271" w:lineRule="auto"/>
        <w:rPr>
          <w:sz w:val="20"/>
          <w:szCs w:val="20"/>
          <w:color w:val="auto"/>
        </w:rPr>
      </w:pPr>
      <w:r>
        <w:rPr>
          <w:rFonts w:ascii="Arial" w:cs="Arial" w:eastAsia="Arial" w:hAnsi="Arial"/>
          <w:sz w:val="16"/>
          <w:szCs w:val="16"/>
          <w:color w:val="auto"/>
        </w:rPr>
        <w:t>We strongly encourage any stockholder interested in submitting a stockholder proposal to contact our Secretary in advance of the applicable deadline described below to discuss the proposal. Our Corporate Governance and Nominating Committee reviews all stockholder proposals and makes recommendations to the Board for action on such proposals. For information on recommending individuals for consideration as director nominees, see “Corporate Governance—Board Structure and Operations” elsewhere in this Proxy Statement.</w:t>
      </w:r>
    </w:p>
    <w:p>
      <w:pPr>
        <w:spacing w:after="0" w:line="60" w:lineRule="exact"/>
        <w:rPr>
          <w:sz w:val="20"/>
          <w:szCs w:val="20"/>
          <w:color w:val="auto"/>
        </w:rPr>
      </w:pPr>
    </w:p>
    <w:p>
      <w:pPr>
        <w:ind w:right="300"/>
        <w:spacing w:after="0" w:line="265" w:lineRule="auto"/>
        <w:rPr>
          <w:sz w:val="20"/>
          <w:szCs w:val="20"/>
          <w:color w:val="auto"/>
        </w:rPr>
      </w:pPr>
      <w:r>
        <w:rPr>
          <w:rFonts w:ascii="Arial" w:cs="Arial" w:eastAsia="Arial" w:hAnsi="Arial"/>
          <w:sz w:val="16"/>
          <w:szCs w:val="16"/>
          <w:color w:val="auto"/>
        </w:rPr>
        <w:t>We engage in a continuous quality improvement approach to corporate governance practices. We monitor and evaluate trends and events in corporate governance and compare and evaluate new developments against our current practices; we understand that corporate governance is not in a static state with regard to numerous topic areas. We seek and receive input from stockholders and other commentators on our practices and policies, and our Board and our Corporate Governance and Nominating Committee consider this input when reviewing proposals to change practices or policies.</w:t>
      </w:r>
    </w:p>
    <w:p>
      <w:pPr>
        <w:spacing w:after="0" w:line="6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Proposals for Inclusion in Proxy Statement</w:t>
      </w:r>
    </w:p>
    <w:p>
      <w:pPr>
        <w:spacing w:after="0" w:line="12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Under Rule 14a-8 of the Exchange Act, some stockholder proposals may be eligible for inclusion in our Proxy Statement for our 2026 Annual Meeting of Stockholders (other than nominees for director). These stockholder proposals must comply with Rule 14a-8 and must be submitted, along with proof of ownership of our stock in accordance with Rule 14a-8, to our Secretary at VeriSign, Inc., 12061 Bluemont Way, Reston, Virginia 20190. Failure to deliver a proposal in accordance with this procedure may result in the proposal not being deemed timely received. We must receive all submissions no later than 6:00 p.m. Eastern Time on December 12, 2025. Submitting a stockholder proposal does not guarantee that we will include it in our Proxy Statement for our 2026 Annual Meeting of Stockholders.</w:t>
      </w:r>
    </w:p>
    <w:p>
      <w:pPr>
        <w:spacing w:after="0" w:line="5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Director Nominations for Inclusion in Proxy Statement (Proxy Access)</w:t>
      </w:r>
    </w:p>
    <w:p>
      <w:pPr>
        <w:spacing w:after="0" w:line="141" w:lineRule="exact"/>
        <w:rPr>
          <w:sz w:val="20"/>
          <w:szCs w:val="20"/>
          <w:color w:val="auto"/>
        </w:rPr>
      </w:pPr>
    </w:p>
    <w:p>
      <w:pPr>
        <w:spacing w:after="0" w:line="256" w:lineRule="auto"/>
        <w:rPr>
          <w:sz w:val="20"/>
          <w:szCs w:val="20"/>
          <w:color w:val="auto"/>
        </w:rPr>
      </w:pPr>
      <w:r>
        <w:rPr>
          <w:rFonts w:ascii="Arial" w:cs="Arial" w:eastAsia="Arial" w:hAnsi="Arial"/>
          <w:sz w:val="16"/>
          <w:szCs w:val="16"/>
          <w:color w:val="auto"/>
        </w:rPr>
        <w:t>Our Bylaws permit a stockholder (or a group of up to 20 stockholders) that has continuously owned at least 3% of the outstanding shares of our common stock entitled to vote in the election of directors for at least three years, to nominate and include in our Proxy Statement for an annual meeting of stockholders up to the greater of two individuals or 20% of the number of the directors then in office so long as the nominating stockholder(s) and the nominee(s) satisfy the eligibility, procedural, and disclosure requirements in our Bylaws. For our Proxy Statement for our 2026 Annual Meeting of Stockholders, notice of a proxy access nomination must be delivered to our Secretary at VeriSign, Inc., 12061 Bluemont Way, Reston, Virginia 20190 no earlier than 6:00 p.m. Eastern Time on November 12, 2025, and no later than 6:00 p.m. Eastern Time on December 12, 2025.The notice must include the information required by our Bylaws, including information concerning the nominee and information about the stockholder’s ownership of and agreements related to our common stock. If our 2026 Annual Meeting of Stockholders is held more than 30 days before or after the anniversary of our 2025 Annual Meeting of Stockholders, a stockholder seeking to nominate a candidate for election to the Board pursuant to the proxy access provisions of our Bylaws must submit notice of any such nomination no earlier than 6:00 p.m. Eastern Time on the 150th day prior to our 2026 Annual Meeting of Stockholders and no later than 6:00 p.m. Eastern Time on the later of the 120th day prior to our 2026 Annual Meeting of Stockholders or the 10th day following the day on which the date of our 2026 Annual Meeting of Stockholders is first publicly announced by us.</w:t>
      </w:r>
    </w:p>
    <w:p>
      <w:pPr>
        <w:spacing w:after="0" w:line="65"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Other Proposals and Nominations</w:t>
      </w:r>
    </w:p>
    <w:p>
      <w:pPr>
        <w:spacing w:after="0" w:line="141"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Our Bylaws govern the submission of nominations for director or other business proposals that a stockholder wishes to have considered at a meeting of our stockholders, but which are not included in our Proxy Statement for that meeting. Under the advance notice provisions of our Bylaws, written notice of any such nominations for directors or other business proposals must be delivered to our Secretary at VeriSign, Inc., 12061 Bluemont Way, Reston, Virginia 20190, no earlier than 6:00 p.m. Eastern Time on January 22, 2026 and no later than 6:00 p.m. Eastern Time on February 21, 2026. The notice must include the information required by these advance notice provisions. If our 2026 Annual Meeting of Stockholders is held more than 30 days before or more than 60 days after the anniversary of our 2025 Annual Meeting of Stockholders, a stockholder seeking to nominate a candidate for election to the Board or propose any business at our 2026 Annual Meeting of Stockholders, pursuant to these advance notice provisions, must submit notice of any such nomination or proposed business or no earlier than 6:00 p.m. Eastern Time on the 120th day prior to our 2026 Annual Meeting of Stockholders and no later than 6:00 p.m. Eastern Time on the later of the 90th day prior to our 2026 Annual Meeting of Stockholders or the 10th day following the day on which the date of our 2026 Annual Meeting of Stockholders is first publicly announced by us. These advance notice provisions are separate from the requirements that a stockholder must meet in order to have a nominee or proposal included in the Proxy Statement.</w:t>
      </w:r>
    </w:p>
    <w:p>
      <w:pPr>
        <w:spacing w:after="0" w:line="200" w:lineRule="exact"/>
        <w:rPr>
          <w:sz w:val="20"/>
          <w:szCs w:val="20"/>
          <w:color w:val="auto"/>
        </w:rPr>
      </w:pPr>
    </w:p>
    <w:p>
      <w:pPr>
        <w:spacing w:after="0" w:line="243" w:lineRule="exact"/>
        <w:rPr>
          <w:sz w:val="20"/>
          <w:szCs w:val="20"/>
          <w:color w:val="auto"/>
        </w:rPr>
      </w:pPr>
    </w:p>
    <w:p>
      <w:pPr>
        <w:ind w:left="20"/>
        <w:spacing w:after="0"/>
        <w:tabs>
          <w:tab w:leader="none" w:pos="440" w:val="left"/>
        </w:tabs>
        <w:rPr>
          <w:sz w:val="20"/>
          <w:szCs w:val="20"/>
          <w:color w:val="auto"/>
        </w:rPr>
      </w:pPr>
      <w:r>
        <w:rPr>
          <w:rFonts w:ascii="Arial" w:cs="Arial" w:eastAsia="Arial" w:hAnsi="Arial"/>
          <w:sz w:val="14"/>
          <w:szCs w:val="14"/>
          <w:b w:val="1"/>
          <w:bCs w:val="1"/>
          <w:color w:val="004A98"/>
        </w:rPr>
        <w:t>58</w:t>
      </w:r>
      <w:r>
        <w:rPr>
          <w:sz w:val="20"/>
          <w:szCs w:val="20"/>
          <w:color w:val="auto"/>
        </w:rPr>
        <w:tab/>
      </w:r>
      <w:r>
        <w:rPr>
          <w:rFonts w:ascii="Arial" w:cs="Arial" w:eastAsia="Arial" w:hAnsi="Arial"/>
          <w:sz w:val="14"/>
          <w:szCs w:val="14"/>
          <w:b w:val="1"/>
          <w:bCs w:val="1"/>
          <w:color w:val="004A98"/>
        </w:rPr>
        <w:t>VeriSign,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139700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u w:val="single" w:color="auto"/>
          <w:color w:val="0000FF"/>
        </w:rPr>
        <w:t>Table of Contents</w:t>
      </w:r>
      <w:r>
        <w:rPr>
          <w:rFonts w:ascii="Arial" w:cs="Arial" w:eastAsia="Arial" w:hAnsi="Arial"/>
          <w:sz w:val="18"/>
          <w:szCs w:val="18"/>
          <w:b w:val="1"/>
          <w:bCs w:val="1"/>
          <w:color w:val="0000FF"/>
        </w:rPr>
        <w:t xml:space="preserve"> </w:t>
      </w:r>
      <w:r>
        <w:rPr>
          <w:rFonts w:ascii="Arial" w:cs="Arial" w:eastAsia="Arial" w:hAnsi="Arial"/>
          <w:sz w:val="16"/>
          <w:szCs w:val="16"/>
          <w:color w:val="004A98"/>
        </w:rPr>
        <w:t>Other Information</w:t>
      </w:r>
    </w:p>
    <w:p>
      <w:pPr>
        <w:spacing w:after="0" w:line="200" w:lineRule="exact"/>
        <w:rPr>
          <w:sz w:val="20"/>
          <w:szCs w:val="20"/>
          <w:color w:val="auto"/>
        </w:rPr>
      </w:pPr>
    </w:p>
    <w:p>
      <w:pPr>
        <w:spacing w:after="0" w:line="354" w:lineRule="exact"/>
        <w:rPr>
          <w:sz w:val="20"/>
          <w:szCs w:val="20"/>
          <w:color w:val="auto"/>
        </w:rPr>
      </w:pPr>
    </w:p>
    <w:p>
      <w:pPr>
        <w:ind w:right="20"/>
        <w:spacing w:after="0" w:line="259" w:lineRule="auto"/>
        <w:rPr>
          <w:sz w:val="20"/>
          <w:szCs w:val="20"/>
          <w:color w:val="auto"/>
        </w:rPr>
      </w:pPr>
      <w:r>
        <w:rPr>
          <w:rFonts w:ascii="Arial" w:cs="Arial" w:eastAsia="Arial" w:hAnsi="Arial"/>
          <w:sz w:val="16"/>
          <w:szCs w:val="16"/>
          <w:color w:val="auto"/>
        </w:rPr>
        <w:t>In addition to satisfying the foregoing requirements under our Bylaws, to comply with the universal proxy rules, stockholders who intend to solicit proxies in support of director nominees other than Verisign’s nominees must provide notice that sets forth the information required by Rule 14a-19 under the Exchange Act no later than 6:00 p.m. Eastern Time, Tuesday, March 23, 2026 (or, if the 2026 Annual Meeting of Stockholders is called for a date that is more than 30 days before or more than 30 days after such anniversary date, then notice must be provided not later than the close of business on the later of 60 calendar days prior to the 2026 Annual Meeting of Stockholders or the 10th calendar day following the day on which public announcement of the 2026 Annual Meeting of Stockholders is first made by the Company). The notice requirement under Rule 14a-19 is in addition to the applicable advance notice requirements under our Bylaws as described above.</w:t>
      </w:r>
    </w:p>
    <w:p>
      <w:pPr>
        <w:spacing w:after="0" w:line="268"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Other Business</w:t>
      </w:r>
    </w:p>
    <w:p>
      <w:pPr>
        <w:spacing w:after="0" w:line="148" w:lineRule="exact"/>
        <w:rPr>
          <w:sz w:val="20"/>
          <w:szCs w:val="20"/>
          <w:color w:val="auto"/>
        </w:rPr>
      </w:pPr>
    </w:p>
    <w:p>
      <w:pPr>
        <w:ind w:right="200"/>
        <w:spacing w:after="0" w:line="275" w:lineRule="auto"/>
        <w:rPr>
          <w:sz w:val="20"/>
          <w:szCs w:val="20"/>
          <w:color w:val="auto"/>
        </w:rPr>
      </w:pPr>
      <w:r>
        <w:rPr>
          <w:rFonts w:ascii="Arial" w:cs="Arial" w:eastAsia="Arial" w:hAnsi="Arial"/>
          <w:sz w:val="16"/>
          <w:szCs w:val="16"/>
          <w:color w:val="auto"/>
        </w:rPr>
        <w:t>The Board does not presently intend to bring any other business before the Annual Meeting, and, so far as is known to the Board, no matters are to be brought before the Annual Meeting except as specified in the Notice of the Annual Meeting. As to any business that may properly come before the Annual Meeting, the proxies received will be voted in accordance with the best judgment of the persons voting such proxies.</w:t>
      </w:r>
    </w:p>
    <w:p>
      <w:pPr>
        <w:spacing w:after="0" w:line="56" w:lineRule="exact"/>
        <w:rPr>
          <w:sz w:val="20"/>
          <w:szCs w:val="20"/>
          <w:color w:val="auto"/>
        </w:rPr>
      </w:pPr>
    </w:p>
    <w:p>
      <w:pPr>
        <w:ind w:right="100"/>
        <w:spacing w:after="0" w:line="267" w:lineRule="auto"/>
        <w:rPr>
          <w:sz w:val="20"/>
          <w:szCs w:val="20"/>
          <w:color w:val="auto"/>
        </w:rPr>
      </w:pPr>
      <w:r>
        <w:rPr>
          <w:rFonts w:ascii="Arial" w:cs="Arial" w:eastAsia="Arial" w:hAnsi="Arial"/>
          <w:sz w:val="16"/>
          <w:szCs w:val="16"/>
          <w:b w:val="1"/>
          <w:bCs w:val="1"/>
          <w:color w:val="auto"/>
        </w:rPr>
        <w:t>Whether or not you expect to attend the Annual Meeting, please complete the proxy electronically as described on the Notice Regarding the Availability of Proxy Materials and under “Information About the Meeting—Internet and Telephone Voting” in this Proxy Statement, or alternatively, if you have received paper copies of our proxy materials, please complete, date, sign, and promptly return the proxy card or voting instruction form in the enclosed postage paid envelope or cast your vote by phone so that your shares may be represented at the Annual Meeting.</w:t>
      </w:r>
    </w:p>
    <w:p>
      <w:pPr>
        <w:spacing w:after="0" w:line="256" w:lineRule="exact"/>
        <w:rPr>
          <w:sz w:val="20"/>
          <w:szCs w:val="20"/>
          <w:color w:val="auto"/>
        </w:rPr>
      </w:pPr>
    </w:p>
    <w:p>
      <w:pPr>
        <w:spacing w:after="0"/>
        <w:rPr>
          <w:sz w:val="20"/>
          <w:szCs w:val="20"/>
          <w:color w:val="auto"/>
        </w:rPr>
      </w:pPr>
      <w:r>
        <w:rPr>
          <w:rFonts w:ascii="Arial" w:cs="Arial" w:eastAsia="Arial" w:hAnsi="Arial"/>
          <w:sz w:val="32"/>
          <w:szCs w:val="32"/>
          <w:b w:val="1"/>
          <w:bCs w:val="1"/>
          <w:color w:val="004A98"/>
        </w:rPr>
        <w:t>Communicating with Verisign</w:t>
      </w:r>
    </w:p>
    <w:p>
      <w:pPr>
        <w:spacing w:after="0" w:line="134" w:lineRule="exact"/>
        <w:rPr>
          <w:sz w:val="20"/>
          <w:szCs w:val="20"/>
          <w:color w:val="auto"/>
        </w:rPr>
      </w:pPr>
    </w:p>
    <w:p>
      <w:pPr>
        <w:ind w:right="200"/>
        <w:spacing w:after="0" w:line="247" w:lineRule="auto"/>
        <w:rPr>
          <w:sz w:val="20"/>
          <w:szCs w:val="20"/>
          <w:color w:val="auto"/>
        </w:rPr>
      </w:pPr>
      <w:r>
        <w:rPr>
          <w:rFonts w:ascii="Arial" w:cs="Arial" w:eastAsia="Arial" w:hAnsi="Arial"/>
          <w:sz w:val="16"/>
          <w:szCs w:val="16"/>
          <w:color w:val="auto"/>
        </w:rPr>
        <w:t>Visit our main website at https://www.verisign.com for additional information regarding our products and services, capabilities, technologies, and customer support. Our Investor Relations website at https://investor.verisign.com contains key corporate governance documents, financial information, links to our SEC filings, and a copy of this Proxy Statement, together with our 2024 Annual Report. References to our 2024 Annual Report and website references throughout this Proxy Statement (including any hyperlinks) are provided for convenience only, and the contents in our 2024 Annual Report and on the websites are not incorporated by reference into this Proxy Statement.</w:t>
      </w:r>
    </w:p>
    <w:p>
      <w:pPr>
        <w:spacing w:after="0" w:line="79" w:lineRule="exact"/>
        <w:rPr>
          <w:sz w:val="20"/>
          <w:szCs w:val="20"/>
          <w:color w:val="auto"/>
        </w:rPr>
      </w:pPr>
    </w:p>
    <w:p>
      <w:pPr>
        <w:ind w:right="340"/>
        <w:spacing w:after="0" w:line="314" w:lineRule="auto"/>
        <w:rPr>
          <w:sz w:val="20"/>
          <w:szCs w:val="20"/>
          <w:color w:val="auto"/>
        </w:rPr>
      </w:pPr>
      <w:r>
        <w:rPr>
          <w:rFonts w:ascii="Arial" w:cs="Arial" w:eastAsia="Arial" w:hAnsi="Arial"/>
          <w:sz w:val="16"/>
          <w:szCs w:val="16"/>
          <w:b w:val="1"/>
          <w:bCs w:val="1"/>
          <w:color w:val="auto"/>
        </w:rPr>
        <w:t>A copy of this Proxy Statement, together with our 2024 Annual Report, will be sent without charge to any stockholder who requests it. Please direct your requests to Verisign Investor Relations at ir@verisign.com (and specify your mailing address).</w:t>
      </w:r>
    </w:p>
    <w:p>
      <w:pPr>
        <w:spacing w:after="0" w:line="18" w:lineRule="exact"/>
        <w:rPr>
          <w:sz w:val="20"/>
          <w:szCs w:val="20"/>
          <w:color w:val="auto"/>
        </w:rPr>
      </w:pPr>
    </w:p>
    <w:p>
      <w:pPr>
        <w:ind w:right="400"/>
        <w:spacing w:after="0" w:line="286" w:lineRule="auto"/>
        <w:rPr>
          <w:sz w:val="20"/>
          <w:szCs w:val="20"/>
          <w:color w:val="auto"/>
        </w:rPr>
      </w:pPr>
      <w:r>
        <w:rPr>
          <w:rFonts w:ascii="Arial" w:cs="Arial" w:eastAsia="Arial" w:hAnsi="Arial"/>
          <w:sz w:val="16"/>
          <w:szCs w:val="16"/>
          <w:color w:val="auto"/>
        </w:rPr>
        <w:t>If you have any questions concerning the Annual Meeting or the proposals to be voted on at the Annual Meeting, you may submit your questions to the following address:</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VeriSign, Inc.</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Attention: Investor Relations</w:t>
      </w:r>
    </w:p>
    <w:p>
      <w:pPr>
        <w:spacing w:after="0" w:line="1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12061 Bluemont Way</w:t>
      </w:r>
    </w:p>
    <w:p>
      <w:pPr>
        <w:spacing w:after="0" w:line="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Reston, Virginia 20190</w:t>
      </w:r>
    </w:p>
    <w:p>
      <w:pPr>
        <w:spacing w:after="0" w:line="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or via email at ir@verisign.com</w:t>
      </w:r>
    </w:p>
    <w:p>
      <w:pPr>
        <w:spacing w:after="0" w:line="11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Phone: +1 (800) 922 4917</w:t>
      </w:r>
    </w:p>
    <w:p>
      <w:pPr>
        <w:spacing w:after="0" w:line="2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Int’l: +1 (703) 948 3447</w:t>
      </w:r>
    </w:p>
    <w:p>
      <w:pPr>
        <w:spacing w:after="0" w:line="111" w:lineRule="exact"/>
        <w:rPr>
          <w:sz w:val="20"/>
          <w:szCs w:val="20"/>
          <w:color w:val="auto"/>
        </w:rPr>
      </w:pPr>
    </w:p>
    <w:p>
      <w:pPr>
        <w:jc w:val="both"/>
        <w:spacing w:after="0" w:line="266" w:lineRule="auto"/>
        <w:rPr>
          <w:sz w:val="20"/>
          <w:szCs w:val="20"/>
          <w:color w:val="auto"/>
        </w:rPr>
      </w:pPr>
      <w:r>
        <w:rPr>
          <w:rFonts w:ascii="Arial" w:cs="Arial" w:eastAsia="Arial" w:hAnsi="Arial"/>
          <w:sz w:val="16"/>
          <w:szCs w:val="16"/>
          <w:color w:val="auto"/>
        </w:rPr>
        <w:t>If you have any questions concerning accounts of stockholders of record, including address changes, name changes, inquiries as to requirements to transfer shares, and similar issues, please contact our transfer agent Computershare by calling (877) 255-1918 (U.S.) or +1 (201) 680-6578 (outside the U.S.), or by accessing their website at https://www.computershare.com/investor.</w:t>
      </w:r>
    </w:p>
    <w:p>
      <w:pPr>
        <w:spacing w:after="0" w:line="77"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If you have any questions concerning accounts of stockholders who hold their shares through an intermediary, such as a bank or broker, please contact the intermediary.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7060"/>
        <w:spacing w:after="0"/>
        <w:rPr>
          <w:sz w:val="20"/>
          <w:szCs w:val="20"/>
          <w:color w:val="auto"/>
        </w:rPr>
      </w:pPr>
      <w:r>
        <w:rPr>
          <w:rFonts w:ascii="Arial" w:cs="Arial" w:eastAsia="Arial" w:hAnsi="Arial"/>
          <w:sz w:val="14"/>
          <w:szCs w:val="14"/>
          <w:b w:val="1"/>
          <w:bCs w:val="1"/>
          <w:color w:val="auto"/>
        </w:rPr>
        <w:t xml:space="preserve">2025 </w:t>
      </w:r>
      <w:r>
        <w:rPr>
          <w:rFonts w:ascii="Arial" w:cs="Arial" w:eastAsia="Arial" w:hAnsi="Arial"/>
          <w:sz w:val="14"/>
          <w:szCs w:val="14"/>
          <w:color w:val="auto"/>
        </w:rPr>
        <w:t>Proxy</w:t>
      </w:r>
    </w:p>
    <w:p>
      <w:pPr>
        <w:spacing w:after="0" w:line="2" w:lineRule="exact"/>
        <w:rPr>
          <w:sz w:val="20"/>
          <w:szCs w:val="20"/>
          <w:color w:val="auto"/>
        </w:rPr>
      </w:pPr>
    </w:p>
    <w:p>
      <w:pPr>
        <w:ind w:left="7120"/>
        <w:spacing w:after="0"/>
        <w:rPr>
          <w:sz w:val="20"/>
          <w:szCs w:val="20"/>
          <w:color w:val="auto"/>
        </w:rPr>
      </w:pPr>
      <w:r>
        <w:rPr>
          <w:rFonts w:ascii="Arial" w:cs="Arial" w:eastAsia="Arial" w:hAnsi="Arial"/>
          <w:sz w:val="14"/>
          <w:szCs w:val="14"/>
          <w:color w:val="auto"/>
        </w:rPr>
        <w:t xml:space="preserve">Statement </w:t>
      </w:r>
      <w:r>
        <w:rPr>
          <w:rFonts w:ascii="Arial" w:cs="Arial" w:eastAsia="Arial" w:hAnsi="Arial"/>
          <w:sz w:val="14"/>
          <w:szCs w:val="14"/>
          <w:b w:val="1"/>
          <w:bCs w:val="1"/>
          <w:color w:val="004A98"/>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130810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61" w:right="37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u w:val="single" w:color="auto"/>
          <w:color w:val="auto"/>
        </w:rPr>
        <w:t>Appendix A</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20"/>
          <w:szCs w:val="20"/>
          <w:b w:val="1"/>
          <w:bCs w:val="1"/>
          <w:u w:val="single" w:color="auto"/>
          <w:color w:val="auto"/>
        </w:rPr>
        <w:t>Proposed Amendment to the Certificate of Incorporation</w:t>
      </w:r>
    </w:p>
    <w:p>
      <w:pPr>
        <w:spacing w:after="0" w:line="239" w:lineRule="exact"/>
        <w:rPr>
          <w:sz w:val="20"/>
          <w:szCs w:val="20"/>
          <w:color w:val="auto"/>
        </w:rPr>
      </w:pPr>
    </w:p>
    <w:p>
      <w:pPr>
        <w:spacing w:after="0" w:line="242" w:lineRule="auto"/>
        <w:rPr>
          <w:sz w:val="20"/>
          <w:szCs w:val="20"/>
          <w:color w:val="auto"/>
        </w:rPr>
      </w:pPr>
      <w:r>
        <w:rPr>
          <w:rFonts w:ascii="Arial" w:cs="Arial" w:eastAsia="Arial" w:hAnsi="Arial"/>
          <w:sz w:val="16"/>
          <w:szCs w:val="16"/>
          <w:b w:val="1"/>
          <w:bCs w:val="1"/>
          <w:color w:val="auto"/>
        </w:rPr>
        <w:t xml:space="preserve">EIGHT: A. Exculpation. </w:t>
      </w:r>
      <w:r>
        <w:rPr>
          <w:rFonts w:ascii="Arial" w:cs="Arial" w:eastAsia="Arial" w:hAnsi="Arial"/>
          <w:sz w:val="16"/>
          <w:szCs w:val="16"/>
          <w:color w:val="auto"/>
        </w:rPr>
        <w:t>A director</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or officer</w:t>
      </w:r>
      <w:r>
        <w:rPr>
          <w:rFonts w:ascii="Arial" w:cs="Arial" w:eastAsia="Arial" w:hAnsi="Arial"/>
          <w:sz w:val="16"/>
          <w:szCs w:val="16"/>
          <w:b w:val="1"/>
          <w:bCs w:val="1"/>
          <w:color w:val="auto"/>
        </w:rPr>
        <w:t xml:space="preserve"> </w:t>
      </w:r>
      <w:r>
        <w:rPr>
          <w:rFonts w:ascii="Arial" w:cs="Arial" w:eastAsia="Arial" w:hAnsi="Arial"/>
          <w:sz w:val="16"/>
          <w:szCs w:val="16"/>
          <w:color w:val="auto"/>
        </w:rPr>
        <w:t>of the Corporation shall not be personally liable to the Corporation or its stockholders for monetary damages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breach of fiduciary duty as a director </w:t>
      </w:r>
      <w:r>
        <w:rPr>
          <w:rFonts w:ascii="Arial" w:cs="Arial" w:eastAsia="Arial" w:hAnsi="Arial"/>
          <w:sz w:val="16"/>
          <w:szCs w:val="16"/>
          <w:u w:val="single" w:color="auto"/>
          <w:color w:val="auto"/>
        </w:rPr>
        <w:t>or officer, as applicable</w:t>
      </w:r>
      <w:r>
        <w:rPr>
          <w:rFonts w:ascii="Arial" w:cs="Arial" w:eastAsia="Arial" w:hAnsi="Arial"/>
          <w:sz w:val="16"/>
          <w:szCs w:val="16"/>
          <w:color w:val="auto"/>
        </w:rPr>
        <w:t xml:space="preserve"> , except for liability (i) for any breach of the director’s </w:t>
      </w:r>
      <w:r>
        <w:rPr>
          <w:rFonts w:ascii="Arial" w:cs="Arial" w:eastAsia="Arial" w:hAnsi="Arial"/>
          <w:sz w:val="16"/>
          <w:szCs w:val="16"/>
          <w:u w:val="single" w:color="auto"/>
          <w:color w:val="auto"/>
        </w:rPr>
        <w:t>or officer’s</w:t>
      </w:r>
      <w:r>
        <w:rPr>
          <w:rFonts w:ascii="Arial" w:cs="Arial" w:eastAsia="Arial" w:hAnsi="Arial"/>
          <w:sz w:val="16"/>
          <w:szCs w:val="16"/>
          <w:color w:val="auto"/>
        </w:rPr>
        <w:t xml:space="preserve"> duty of loyalty to the Corporation or its stockholders, (ii) for acts or omissions not in good faith or which involve intentional misconduct or a knowing violation of law, (iii) </w:t>
      </w:r>
      <w:r>
        <w:rPr>
          <w:rFonts w:ascii="Arial" w:cs="Arial" w:eastAsia="Arial" w:hAnsi="Arial"/>
          <w:sz w:val="16"/>
          <w:szCs w:val="16"/>
          <w:u w:val="single" w:color="auto"/>
          <w:color w:val="auto"/>
        </w:rPr>
        <w:t>of a</w:t>
      </w:r>
      <w:r>
        <w:rPr>
          <w:rFonts w:ascii="Arial" w:cs="Arial" w:eastAsia="Arial" w:hAnsi="Arial"/>
          <w:sz w:val="16"/>
          <w:szCs w:val="16"/>
          <w:color w:val="auto"/>
        </w:rPr>
        <w:t xml:space="preserve"> </w:t>
      </w:r>
      <w:r>
        <w:rPr>
          <w:rFonts w:ascii="Arial" w:cs="Arial" w:eastAsia="Arial" w:hAnsi="Arial"/>
          <w:sz w:val="16"/>
          <w:szCs w:val="16"/>
          <w:u w:val="single" w:color="auto"/>
          <w:color w:val="auto"/>
        </w:rPr>
        <w:t>director</w:t>
      </w:r>
      <w:r>
        <w:rPr>
          <w:rFonts w:ascii="Arial" w:cs="Arial" w:eastAsia="Arial" w:hAnsi="Arial"/>
          <w:sz w:val="16"/>
          <w:szCs w:val="16"/>
          <w:color w:val="auto"/>
        </w:rPr>
        <w:t xml:space="preserve"> under Section 174 of the Delaware General Corporation Law</w:t>
      </w:r>
      <w:r>
        <w:rPr>
          <w:rFonts w:ascii="Arial" w:cs="Arial" w:eastAsia="Arial" w:hAnsi="Arial"/>
          <w:sz w:val="16"/>
          <w:szCs w:val="16"/>
          <w:u w:val="single" w:color="auto"/>
          <w:color w:val="auto"/>
        </w:rPr>
        <w:t>,</w:t>
      </w:r>
      <w:r>
        <w:rPr>
          <w:rFonts w:ascii="Arial" w:cs="Arial" w:eastAsia="Arial" w:hAnsi="Arial"/>
          <w:sz w:val="16"/>
          <w:szCs w:val="16"/>
          <w:color w:val="auto"/>
        </w:rPr>
        <w:t xml:space="preserve"> </w:t>
      </w:r>
      <w:r>
        <w:rPr>
          <w:rFonts w:ascii="Arial" w:cs="Arial" w:eastAsia="Arial" w:hAnsi="Arial"/>
          <w:sz w:val="16"/>
          <w:szCs w:val="16"/>
          <w:color w:val="auto"/>
          <w:strike w:val="1"/>
        </w:rPr>
        <w:t>or</w:t>
      </w:r>
      <w:r>
        <w:rPr>
          <w:rFonts w:ascii="Arial" w:cs="Arial" w:eastAsia="Arial" w:hAnsi="Arial"/>
          <w:sz w:val="16"/>
          <w:szCs w:val="16"/>
          <w:color w:val="auto"/>
        </w:rPr>
        <w:t xml:space="preserve"> (iv) for any transaction from which the director </w:t>
      </w:r>
      <w:r>
        <w:rPr>
          <w:rFonts w:ascii="Arial" w:cs="Arial" w:eastAsia="Arial" w:hAnsi="Arial"/>
          <w:sz w:val="16"/>
          <w:szCs w:val="16"/>
          <w:u w:val="single" w:color="auto"/>
          <w:color w:val="auto"/>
        </w:rPr>
        <w:t>or officer</w:t>
      </w:r>
      <w:r>
        <w:rPr>
          <w:rFonts w:ascii="Arial" w:cs="Arial" w:eastAsia="Arial" w:hAnsi="Arial"/>
          <w:sz w:val="16"/>
          <w:szCs w:val="16"/>
          <w:color w:val="auto"/>
        </w:rPr>
        <w:t xml:space="preserve"> derived any improper</w:t>
      </w:r>
    </w:p>
    <w:p>
      <w:pPr>
        <w:spacing w:after="0" w:line="3" w:lineRule="exact"/>
        <w:rPr>
          <w:sz w:val="20"/>
          <w:szCs w:val="20"/>
          <w:color w:val="auto"/>
        </w:rPr>
      </w:pPr>
    </w:p>
    <w:p>
      <w:pPr>
        <w:jc w:val="both"/>
        <w:ind w:right="40"/>
        <w:spacing w:after="0" w:line="234" w:lineRule="auto"/>
        <w:rPr>
          <w:sz w:val="20"/>
          <w:szCs w:val="20"/>
          <w:color w:val="auto"/>
        </w:rPr>
      </w:pPr>
      <w:r>
        <w:rPr>
          <w:rFonts w:ascii="Arial" w:cs="Arial" w:eastAsia="Arial" w:hAnsi="Arial"/>
          <w:sz w:val="16"/>
          <w:szCs w:val="16"/>
          <w:color w:val="auto"/>
        </w:rPr>
        <w:t>personal benefit</w:t>
      </w:r>
      <w:r>
        <w:rPr>
          <w:rFonts w:ascii="Arial" w:cs="Arial" w:eastAsia="Arial" w:hAnsi="Arial"/>
          <w:sz w:val="16"/>
          <w:szCs w:val="16"/>
          <w:u w:val="single" w:color="auto"/>
          <w:color w:val="auto"/>
        </w:rPr>
        <w:t>, or (v) of an officer in any action by or in the right of the Corporation. Solely for purposes of this paragraph, “officer” shall have the meaning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determined in accordance with Section 102(b)(7) of the Delaware General Corporation Law</w:t>
      </w:r>
      <w:r>
        <w:rPr>
          <w:rFonts w:ascii="Arial" w:cs="Arial" w:eastAsia="Arial" w:hAnsi="Arial"/>
          <w:sz w:val="16"/>
          <w:szCs w:val="16"/>
          <w:color w:val="auto"/>
        </w:rPr>
        <w:t xml:space="preserve">. If the Delaware General Corporation Law is hereafter amended to further reduce or authorize, with approval of the Corporation’s stockholders, further reductions in the liability of the Corporation’s directors </w:t>
      </w:r>
      <w:r>
        <w:rPr>
          <w:rFonts w:ascii="Arial" w:cs="Arial" w:eastAsia="Arial" w:hAnsi="Arial"/>
          <w:sz w:val="16"/>
          <w:szCs w:val="16"/>
          <w:u w:val="single" w:color="auto"/>
          <w:color w:val="auto"/>
        </w:rPr>
        <w:t>or officers, as</w:t>
      </w:r>
    </w:p>
    <w:p>
      <w:pPr>
        <w:spacing w:after="0" w:line="2" w:lineRule="exact"/>
        <w:rPr>
          <w:sz w:val="20"/>
          <w:szCs w:val="20"/>
          <w:color w:val="auto"/>
        </w:rPr>
      </w:pPr>
    </w:p>
    <w:p>
      <w:pPr>
        <w:ind w:right="340"/>
        <w:spacing w:after="0" w:line="248" w:lineRule="auto"/>
        <w:rPr>
          <w:sz w:val="20"/>
          <w:szCs w:val="20"/>
          <w:color w:val="auto"/>
        </w:rPr>
      </w:pPr>
      <w:r>
        <w:rPr>
          <w:rFonts w:ascii="Arial" w:cs="Arial" w:eastAsia="Arial" w:hAnsi="Arial"/>
          <w:sz w:val="16"/>
          <w:szCs w:val="16"/>
          <w:u w:val="single" w:color="auto"/>
          <w:color w:val="auto"/>
        </w:rPr>
        <w:t>applicable,</w:t>
      </w:r>
      <w:r>
        <w:rPr>
          <w:rFonts w:ascii="Arial" w:cs="Arial" w:eastAsia="Arial" w:hAnsi="Arial"/>
          <w:sz w:val="16"/>
          <w:szCs w:val="16"/>
          <w:color w:val="auto"/>
        </w:rPr>
        <w:t xml:space="preserve"> for breach of fiduciary duty, then a director </w:t>
      </w:r>
      <w:r>
        <w:rPr>
          <w:rFonts w:ascii="Arial" w:cs="Arial" w:eastAsia="Arial" w:hAnsi="Arial"/>
          <w:sz w:val="16"/>
          <w:szCs w:val="16"/>
          <w:u w:val="single" w:color="auto"/>
          <w:color w:val="auto"/>
        </w:rPr>
        <w:t>or an officer, as applicable,</w:t>
      </w:r>
      <w:r>
        <w:rPr>
          <w:rFonts w:ascii="Arial" w:cs="Arial" w:eastAsia="Arial" w:hAnsi="Arial"/>
          <w:sz w:val="16"/>
          <w:szCs w:val="16"/>
          <w:color w:val="auto"/>
        </w:rPr>
        <w:t xml:space="preserve"> of the Corporation shall not be liable for any such breach to the fullest extent permitted by the Delaware General Corporation Law as so amended.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2" w:right="399" w:bottom="1440" w:gutter="0" w:footer="0" w:header="0"/>
        </w:sectPr>
      </w:pPr>
    </w:p>
    <w:bookmarkStart w:id="63" w:name="page64"/>
    <w:bookmarkEnd w:id="63"/>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299085</wp:posOffset>
            </wp:positionV>
            <wp:extent cx="7157720" cy="828548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8285480"/>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sectPr>
      </w:pPr>
    </w:p>
    <w:bookmarkStart w:id="64" w:name="page65"/>
    <w:bookmarkEnd w:id="64"/>
    <w:p>
      <w:pPr>
        <w:spacing w:after="0"/>
        <w:rPr>
          <w:sz w:val="20"/>
          <w:szCs w:val="20"/>
          <w:color w:val="auto"/>
        </w:rPr>
      </w:pPr>
      <w:r>
        <w:rPr>
          <w:rFonts w:ascii="Arial" w:cs="Arial" w:eastAsia="Arial" w:hAnsi="Arial"/>
          <w:sz w:val="17"/>
          <w:szCs w:val="17"/>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588010</wp:posOffset>
            </wp:positionH>
            <wp:positionV relativeFrom="paragraph">
              <wp:posOffset>453390</wp:posOffset>
            </wp:positionV>
            <wp:extent cx="5966460" cy="771525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966460" cy="7715250"/>
                    </a:xfrm>
                    <a:prstGeom prst="rect">
                      <a:avLst/>
                    </a:prstGeom>
                    <a:noFill/>
                  </pic:spPr>
                </pic:pic>
              </a:graphicData>
            </a:graphic>
          </wp:anchor>
        </w:drawing>
      </w:r>
    </w:p>
    <w:sectPr>
      <w:pgSz w:w="11900" w:h="16838" w:orient="portrait"/>
      <w:cols w:equalWidth="0" w:num="1">
        <w:col w:w="10139"/>
      </w:cols>
      <w:pgMar w:left="320" w:top="12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E7FF521"/>
    <w:multiLevelType w:val="hybridMultilevel"/>
    <w:lvl w:ilvl="0">
      <w:lvlJc w:val="left"/>
      <w:lvlText w:val="☐"/>
      <w:numFmt w:val="bullet"/>
      <w:start w:val="1"/>
    </w:lvl>
  </w:abstractNum>
  <w:abstractNum w:abstractNumId="1">
    <w:nsid w:val="7C3DBD3D"/>
    <w:multiLevelType w:val="hybridMultilevel"/>
    <w:lvl w:ilvl="0">
      <w:lvlJc w:val="left"/>
      <w:lvlText w:val="x"/>
      <w:numFmt w:val="bullet"/>
      <w:start w:val="1"/>
    </w:lvl>
  </w:abstractNum>
  <w:abstractNum w:abstractNumId="2">
    <w:nsid w:val="737B8DDC"/>
    <w:multiLevelType w:val="hybridMultilevel"/>
    <w:lvl w:ilvl="0">
      <w:lvlJc w:val="left"/>
      <w:lvlText w:val="☐"/>
      <w:numFmt w:val="bullet"/>
      <w:start w:val="1"/>
    </w:lvl>
  </w:abstractNum>
  <w:abstractNum w:abstractNumId="3">
    <w:nsid w:val="6CEAF087"/>
    <w:multiLevelType w:val="hybridMultilevel"/>
    <w:lvl w:ilvl="0">
      <w:lvlJc w:val="left"/>
      <w:lvlText w:val="1"/>
      <w:numFmt w:val="bullet"/>
      <w:start w:val="1"/>
    </w:lvl>
  </w:abstractNum>
  <w:abstractNum w:abstractNumId="4">
    <w:nsid w:val="22221A70"/>
    <w:multiLevelType w:val="hybridMultilevel"/>
    <w:lvl w:ilvl="0">
      <w:lvlJc w:val="left"/>
      <w:lvlText w:val="2"/>
      <w:numFmt w:val="bullet"/>
      <w:start w:val="1"/>
    </w:lvl>
  </w:abstractNum>
  <w:abstractNum w:abstractNumId="5">
    <w:nsid w:val="4516DDE9"/>
    <w:multiLevelType w:val="hybridMultilevel"/>
    <w:lvl w:ilvl="0">
      <w:lvlJc w:val="left"/>
      <w:lvlText w:val="4"/>
      <w:numFmt w:val="bullet"/>
      <w:start w:val="1"/>
    </w:lvl>
  </w:abstractNum>
  <w:abstractNum w:abstractNumId="6">
    <w:nsid w:val="3006C83E"/>
    <w:multiLevelType w:val="hybridMultilevel"/>
    <w:lvl w:ilvl="0">
      <w:lvlJc w:val="left"/>
      <w:lvlText w:val="5"/>
      <w:numFmt w:val="bullet"/>
      <w:start w:val="1"/>
    </w:lvl>
  </w:abstractNum>
  <w:abstractNum w:abstractNumId="7">
    <w:nsid w:val="614FD4A1"/>
    <w:multiLevelType w:val="hybridMultilevel"/>
    <w:lvl w:ilvl="0">
      <w:lvlJc w:val="left"/>
      <w:lvlText w:val="2"/>
      <w:numFmt w:val="bullet"/>
      <w:start w:val="1"/>
    </w:lvl>
  </w:abstractNum>
  <w:abstractNum w:abstractNumId="8">
    <w:nsid w:val="419AC241"/>
    <w:multiLevelType w:val="hybridMultilevel"/>
    <w:lvl w:ilvl="0">
      <w:lvlJc w:val="left"/>
      <w:lvlText w:val="4"/>
      <w:numFmt w:val="bullet"/>
      <w:start w:val="1"/>
    </w:lvl>
  </w:abstractNum>
  <w:abstractNum w:abstractNumId="9">
    <w:nsid w:val="5577F8E1"/>
    <w:multiLevelType w:val="hybridMultilevel"/>
    <w:lvl w:ilvl="0">
      <w:lvlJc w:val="left"/>
      <w:lvlText w:val="•"/>
      <w:numFmt w:val="bullet"/>
      <w:start w:val="1"/>
    </w:lvl>
  </w:abstractNum>
  <w:abstractNum w:abstractNumId="10">
    <w:nsid w:val="440BADFC"/>
    <w:multiLevelType w:val="hybridMultilevel"/>
    <w:lvl w:ilvl="0">
      <w:lvlJc w:val="left"/>
      <w:lvlText w:val="6"/>
      <w:numFmt w:val="bullet"/>
      <w:start w:val="1"/>
    </w:lvl>
  </w:abstractNum>
  <w:abstractNum w:abstractNumId="11">
    <w:nsid w:val="5072367"/>
    <w:multiLevelType w:val="hybridMultilevel"/>
    <w:lvl w:ilvl="0">
      <w:lvlJc w:val="left"/>
      <w:lvlText w:val="•"/>
      <w:numFmt w:val="bullet"/>
      <w:start w:val="1"/>
    </w:lvl>
  </w:abstractNum>
  <w:abstractNum w:abstractNumId="12">
    <w:nsid w:val="3804823E"/>
    <w:multiLevelType w:val="hybridMultilevel"/>
    <w:lvl w:ilvl="0">
      <w:lvlJc w:val="left"/>
      <w:lvlText w:val="•"/>
      <w:numFmt w:val="bullet"/>
      <w:start w:val="1"/>
    </w:lvl>
  </w:abstractNum>
  <w:abstractNum w:abstractNumId="13">
    <w:nsid w:val="77465F01"/>
    <w:multiLevelType w:val="hybridMultilevel"/>
    <w:lvl w:ilvl="0">
      <w:lvlJc w:val="left"/>
      <w:lvlText w:val="•"/>
      <w:numFmt w:val="bullet"/>
      <w:start w:val="1"/>
    </w:lvl>
  </w:abstractNum>
  <w:abstractNum w:abstractNumId="14">
    <w:nsid w:val="7724C67E"/>
    <w:multiLevelType w:val="hybridMultilevel"/>
    <w:lvl w:ilvl="0">
      <w:lvlJc w:val="left"/>
      <w:lvlText w:val="•"/>
      <w:numFmt w:val="bullet"/>
      <w:start w:val="1"/>
    </w:lvl>
  </w:abstractNum>
  <w:abstractNum w:abstractNumId="15">
    <w:nsid w:val="5C482A97"/>
    <w:multiLevelType w:val="hybridMultilevel"/>
    <w:lvl w:ilvl="0">
      <w:lvlJc w:val="left"/>
      <w:lvlText w:val="(%1)"/>
      <w:numFmt w:val="decimal"/>
      <w:start w:val="1"/>
    </w:lvl>
  </w:abstractNum>
  <w:abstractNum w:abstractNumId="16">
    <w:nsid w:val="2463B9EA"/>
    <w:multiLevelType w:val="hybridMultilevel"/>
    <w:lvl w:ilvl="0">
      <w:lvlJc w:val="left"/>
      <w:lvlText w:val="8"/>
      <w:numFmt w:val="bullet"/>
      <w:start w:val="1"/>
    </w:lvl>
  </w:abstractNum>
  <w:abstractNum w:abstractNumId="17">
    <w:nsid w:val="5E884ADC"/>
    <w:multiLevelType w:val="hybridMultilevel"/>
    <w:lvl w:ilvl="0">
      <w:lvlJc w:val="left"/>
      <w:lvlText w:val="•"/>
      <w:numFmt w:val="bullet"/>
      <w:start w:val="1"/>
    </w:lvl>
  </w:abstractNum>
  <w:abstractNum w:abstractNumId="18">
    <w:nsid w:val="51EAD36B"/>
    <w:multiLevelType w:val="hybridMultilevel"/>
    <w:lvl w:ilvl="0">
      <w:lvlJc w:val="left"/>
      <w:lvlText w:val="(%1)"/>
      <w:numFmt w:val="decimal"/>
      <w:start w:val="2"/>
    </w:lvl>
  </w:abstractNum>
  <w:abstractNum w:abstractNumId="19">
    <w:nsid w:val="2D517796"/>
    <w:multiLevelType w:val="hybridMultilevel"/>
    <w:lvl w:ilvl="0">
      <w:lvlJc w:val="left"/>
      <w:lvlText w:val="•"/>
      <w:numFmt w:val="bullet"/>
      <w:start w:val="1"/>
    </w:lvl>
  </w:abstractNum>
  <w:abstractNum w:abstractNumId="20">
    <w:nsid w:val="580BD78F"/>
    <w:multiLevelType w:val="hybridMultilevel"/>
    <w:lvl w:ilvl="0">
      <w:lvlJc w:val="left"/>
      <w:lvlText w:val="•"/>
      <w:numFmt w:val="bullet"/>
      <w:start w:val="1"/>
    </w:lvl>
  </w:abstractNum>
  <w:abstractNum w:abstractNumId="21">
    <w:nsid w:val="153EA438"/>
    <w:multiLevelType w:val="hybridMultilevel"/>
    <w:lvl w:ilvl="0">
      <w:lvlJc w:val="left"/>
      <w:lvlText w:val="•"/>
      <w:numFmt w:val="bullet"/>
      <w:start w:val="1"/>
    </w:lvl>
  </w:abstractNum>
  <w:abstractNum w:abstractNumId="22">
    <w:nsid w:val="3855585C"/>
    <w:multiLevelType w:val="hybridMultilevel"/>
    <w:lvl w:ilvl="0">
      <w:lvlJc w:val="left"/>
      <w:lvlText w:val="•"/>
      <w:numFmt w:val="bullet"/>
      <w:start w:val="1"/>
    </w:lvl>
  </w:abstractNum>
  <w:abstractNum w:abstractNumId="23">
    <w:nsid w:val="70A64E2A"/>
    <w:multiLevelType w:val="hybridMultilevel"/>
    <w:lvl w:ilvl="0">
      <w:lvlJc w:val="left"/>
      <w:lvlText w:val="•"/>
      <w:numFmt w:val="bullet"/>
      <w:start w:val="1"/>
    </w:lvl>
  </w:abstractNum>
  <w:abstractNum w:abstractNumId="24">
    <w:nsid w:val="6A2342EC"/>
    <w:multiLevelType w:val="hybridMultilevel"/>
    <w:lvl w:ilvl="0">
      <w:lvlJc w:val="left"/>
      <w:lvlText w:val="(%1)"/>
      <w:numFmt w:val="decimal"/>
      <w:start w:val="1"/>
    </w:lvl>
  </w:abstractNum>
  <w:abstractNum w:abstractNumId="25">
    <w:nsid w:val="2A487CB0"/>
    <w:multiLevelType w:val="hybridMultilevel"/>
    <w:lvl w:ilvl="0">
      <w:lvlJc w:val="left"/>
      <w:lvlText w:val="•"/>
      <w:numFmt w:val="bullet"/>
      <w:start w:val="1"/>
    </w:lvl>
  </w:abstractNum>
  <w:abstractNum w:abstractNumId="26">
    <w:nsid w:val="1D4ED43B"/>
    <w:multiLevelType w:val="hybridMultilevel"/>
    <w:lvl w:ilvl="0">
      <w:lvlJc w:val="left"/>
      <w:lvlText w:val="•"/>
      <w:numFmt w:val="bullet"/>
      <w:start w:val="1"/>
    </w:lvl>
  </w:abstractNum>
  <w:abstractNum w:abstractNumId="27">
    <w:nsid w:val="725A06FB"/>
    <w:multiLevelType w:val="hybridMultilevel"/>
    <w:lvl w:ilvl="0">
      <w:lvlJc w:val="left"/>
      <w:lvlText w:val="•"/>
      <w:numFmt w:val="bullet"/>
      <w:start w:val="1"/>
    </w:lvl>
  </w:abstractNum>
  <w:abstractNum w:abstractNumId="28">
    <w:nsid w:val="2CD89A32"/>
    <w:multiLevelType w:val="hybridMultilevel"/>
    <w:lvl w:ilvl="0">
      <w:lvlJc w:val="left"/>
      <w:lvlText w:val="•"/>
      <w:numFmt w:val="bullet"/>
      <w:start w:val="1"/>
    </w:lvl>
  </w:abstractNum>
  <w:abstractNum w:abstractNumId="29">
    <w:nsid w:val="57E4CCAF"/>
    <w:multiLevelType w:val="hybridMultilevel"/>
    <w:lvl w:ilvl="0">
      <w:lvlJc w:val="left"/>
      <w:lvlText w:val="(%1)"/>
      <w:numFmt w:val="decimal"/>
      <w:start w:val="1"/>
    </w:lvl>
  </w:abstractNum>
  <w:abstractNum w:abstractNumId="30">
    <w:nsid w:val="7A6D8D3C"/>
    <w:multiLevelType w:val="hybridMultilevel"/>
    <w:lvl w:ilvl="0">
      <w:lvlJc w:val="left"/>
      <w:lvlText w:val="(%1)"/>
      <w:numFmt w:val="decimal"/>
      <w:start w:val="1"/>
    </w:lvl>
  </w:abstractNum>
  <w:abstractNum w:abstractNumId="31">
    <w:nsid w:val="4B588F54"/>
    <w:multiLevelType w:val="hybridMultilevel"/>
    <w:lvl w:ilvl="0">
      <w:lvlJc w:val="left"/>
      <w:lvlText w:val="(%1)"/>
      <w:numFmt w:val="decimal"/>
      <w:start w:val="1"/>
    </w:lvl>
  </w:abstractNum>
  <w:abstractNum w:abstractNumId="32">
    <w:nsid w:val="542289EC"/>
    <w:multiLevelType w:val="hybridMultilevel"/>
    <w:lvl w:ilvl="0">
      <w:lvlJc w:val="left"/>
      <w:lvlText w:val="(%1)"/>
      <w:numFmt w:val="decimal"/>
      <w:start w:val="1"/>
    </w:lvl>
  </w:abstractNum>
  <w:abstractNum w:abstractNumId="33">
    <w:nsid w:val="6DE91B18"/>
    <w:multiLevelType w:val="hybridMultilevel"/>
    <w:lvl w:ilvl="0">
      <w:lvlJc w:val="left"/>
      <w:lvlText w:val="(%1)"/>
      <w:numFmt w:val="decimal"/>
      <w:start w:val="1"/>
    </w:lvl>
  </w:abstractNum>
  <w:abstractNum w:abstractNumId="34">
    <w:nsid w:val="38437FDB"/>
    <w:multiLevelType w:val="hybridMultilevel"/>
    <w:lvl w:ilvl="0">
      <w:lvlJc w:val="left"/>
      <w:lvlText w:val="(%1)"/>
      <w:numFmt w:val="decimal"/>
      <w:start w:val="4"/>
    </w:lvl>
  </w:abstractNum>
  <w:abstractNum w:abstractNumId="35">
    <w:nsid w:val="7644A45C"/>
    <w:multiLevelType w:val="hybridMultilevel"/>
    <w:lvl w:ilvl="0">
      <w:lvlJc w:val="left"/>
      <w:lvlText w:val="(%1)"/>
      <w:numFmt w:val="decimal"/>
      <w:start w:val="1"/>
    </w:lvl>
  </w:abstractNum>
  <w:abstractNum w:abstractNumId="36">
    <w:nsid w:val="32FFF902"/>
    <w:multiLevelType w:val="hybridMultilevel"/>
    <w:lvl w:ilvl="0">
      <w:lvlJc w:val="left"/>
      <w:lvlText w:val="•"/>
      <w:numFmt w:val="bullet"/>
      <w:start w:val="1"/>
    </w:lvl>
  </w:abstractNum>
  <w:abstractNum w:abstractNumId="37">
    <w:nsid w:val="684A481A"/>
    <w:multiLevelType w:val="hybridMultilevel"/>
    <w:lvl w:ilvl="0">
      <w:lvlJc w:val="left"/>
      <w:lvlText w:val="•"/>
      <w:numFmt w:val="bullet"/>
      <w:start w:val="1"/>
    </w:lvl>
  </w:abstractNum>
  <w:abstractNum w:abstractNumId="38">
    <w:nsid w:val="579478FE"/>
    <w:multiLevelType w:val="hybridMultilevel"/>
    <w:lvl w:ilvl="0">
      <w:lvlJc w:val="left"/>
      <w:lvlText w:val="•"/>
      <w:numFmt w:val="bullet"/>
      <w:start w:val="1"/>
    </w:lvl>
  </w:abstractNum>
  <w:abstractNum w:abstractNumId="39">
    <w:nsid w:val="749ABB43"/>
    <w:multiLevelType w:val="hybridMultilevel"/>
    <w:lvl w:ilvl="0">
      <w:lvlJc w:val="left"/>
      <w:lvlText w:val="•"/>
      <w:numFmt w:val="bullet"/>
      <w:start w:val="1"/>
    </w:lvl>
  </w:abstractNum>
  <w:abstractNum w:abstractNumId="40">
    <w:nsid w:val="3DC240FB"/>
    <w:multiLevelType w:val="hybridMultilevel"/>
    <w:lvl w:ilvl="0">
      <w:lvlJc w:val="left"/>
      <w:lvlText w:val="•"/>
      <w:numFmt w:val="bullet"/>
      <w:start w:val="1"/>
    </w:lvl>
  </w:abstractNum>
  <w:abstractNum w:abstractNumId="41">
    <w:nsid w:val="1BA026FA"/>
    <w:multiLevelType w:val="hybridMultilevel"/>
    <w:lvl w:ilvl="0">
      <w:lvlJc w:val="left"/>
      <w:lvlText w:val="•"/>
      <w:numFmt w:val="bullet"/>
      <w:start w:val="1"/>
    </w:lvl>
  </w:abstractNum>
  <w:abstractNum w:abstractNumId="42">
    <w:nsid w:val="79A1DEAA"/>
    <w:multiLevelType w:val="hybridMultilevel"/>
    <w:lvl w:ilvl="0">
      <w:lvlJc w:val="left"/>
      <w:lvlText w:val="•"/>
      <w:numFmt w:val="bullet"/>
      <w:start w:val="1"/>
    </w:lvl>
  </w:abstractNum>
  <w:abstractNum w:abstractNumId="43">
    <w:nsid w:val="75C6C33A"/>
    <w:multiLevelType w:val="hybridMultilevel"/>
    <w:lvl w:ilvl="0">
      <w:lvlJc w:val="left"/>
      <w:lvlText w:val="•"/>
      <w:numFmt w:val="bullet"/>
      <w:start w:val="1"/>
    </w:lvl>
  </w:abstractNum>
  <w:abstractNum w:abstractNumId="44">
    <w:nsid w:val="12E685FB"/>
    <w:multiLevelType w:val="hybridMultilevel"/>
    <w:lvl w:ilvl="0">
      <w:lvlJc w:val="left"/>
      <w:lvlText w:val="(%1)"/>
      <w:numFmt w:val="decimal"/>
      <w:start w:val="1"/>
    </w:lvl>
  </w:abstractNum>
  <w:abstractNum w:abstractNumId="45">
    <w:nsid w:val="70C6A529"/>
    <w:multiLevelType w:val="hybridMultilevel"/>
    <w:lvl w:ilvl="0">
      <w:lvlJc w:val="left"/>
      <w:lvlText w:val="(%1)"/>
      <w:numFmt w:val="decimal"/>
      <w:start w:val="1"/>
    </w:lvl>
  </w:abstractNum>
  <w:abstractNum w:abstractNumId="46">
    <w:nsid w:val="520EEDD1"/>
    <w:multiLevelType w:val="hybridMultilevel"/>
    <w:lvl w:ilvl="0">
      <w:lvlJc w:val="left"/>
      <w:lvlText w:val="(%1)"/>
      <w:numFmt w:val="decimal"/>
      <w:start w:val="1"/>
    </w:lvl>
  </w:abstractNum>
  <w:abstractNum w:abstractNumId="47">
    <w:nsid w:val="374A3FE6"/>
    <w:multiLevelType w:val="hybridMultilevel"/>
    <w:lvl w:ilvl="0">
      <w:lvlJc w:val="left"/>
      <w:lvlText w:val="(%1)"/>
      <w:numFmt w:val="decimal"/>
      <w:start w:val="1"/>
    </w:lvl>
  </w:abstractNum>
  <w:abstractNum w:abstractNumId="48">
    <w:nsid w:val="4F4EF005"/>
    <w:multiLevelType w:val="hybridMultilevel"/>
    <w:lvl w:ilvl="0">
      <w:lvlJc w:val="left"/>
      <w:lvlText w:val="(%1)"/>
      <w:numFmt w:val="decimal"/>
      <w:start w:val="1"/>
    </w:lvl>
  </w:abstractNum>
  <w:abstractNum w:abstractNumId="49">
    <w:nsid w:val="23F9C13C"/>
    <w:multiLevelType w:val="hybridMultilevel"/>
    <w:lvl w:ilvl="0">
      <w:lvlJc w:val="left"/>
      <w:lvlText w:val="(%1)"/>
      <w:numFmt w:val="decimal"/>
      <w:start w:val="1"/>
    </w:lvl>
  </w:abstractNum>
  <w:abstractNum w:abstractNumId="50">
    <w:nsid w:val="649BB77C"/>
    <w:multiLevelType w:val="hybridMultilevel"/>
    <w:lvl w:ilvl="0">
      <w:lvlJc w:val="left"/>
      <w:lvlText w:val="•"/>
      <w:numFmt w:val="bullet"/>
      <w:start w:val="1"/>
    </w:lvl>
  </w:abstractNum>
  <w:abstractNum w:abstractNumId="51">
    <w:nsid w:val="275AC794"/>
    <w:multiLevelType w:val="hybridMultilevel"/>
    <w:lvl w:ilvl="0">
      <w:lvlJc w:val="left"/>
      <w:lvlText w:val="•"/>
      <w:numFmt w:val="bullet"/>
      <w:start w:val="1"/>
    </w:lvl>
  </w:abstractNum>
  <w:abstractNum w:abstractNumId="52">
    <w:nsid w:val="39386575"/>
    <w:multiLevelType w:val="hybridMultilevel"/>
    <w:lvl w:ilvl="0">
      <w:lvlJc w:val="left"/>
      <w:lvlText w:val="•"/>
      <w:numFmt w:val="bullet"/>
      <w:start w:val="1"/>
    </w:lvl>
  </w:abstractNum>
  <w:abstractNum w:abstractNumId="53">
    <w:nsid w:val="1CF10FD8"/>
    <w:multiLevelType w:val="hybridMultilevel"/>
    <w:lvl w:ilvl="0">
      <w:lvlJc w:val="left"/>
      <w:lvlText w:val="•"/>
      <w:numFmt w:val="bullet"/>
      <w:start w:val="1"/>
    </w:lvl>
  </w:abstractNum>
  <w:abstractNum w:abstractNumId="54">
    <w:nsid w:val="180115BE"/>
    <w:multiLevelType w:val="hybridMultilevel"/>
    <w:lvl w:ilvl="0">
      <w:lvlJc w:val="left"/>
      <w:lvlText w:val="•"/>
      <w:numFmt w:val="bullet"/>
      <w:start w:val="1"/>
    </w:lvl>
  </w:abstractNum>
  <w:abstractNum w:abstractNumId="55">
    <w:nsid w:val="235BA861"/>
    <w:multiLevelType w:val="hybridMultilevel"/>
    <w:lvl w:ilvl="0">
      <w:lvlJc w:val="left"/>
      <w:lvlText w:val="*"/>
      <w:numFmt w:val="bullet"/>
      <w:start w:val="1"/>
    </w:lvl>
  </w:abstractNum>
  <w:abstractNum w:abstractNumId="56">
    <w:nsid w:val="47398C89"/>
    <w:multiLevelType w:val="hybridMultilevel"/>
    <w:lvl w:ilvl="0">
      <w:lvlJc w:val="left"/>
      <w:lvlText w:val="(%1)"/>
      <w:numFmt w:val="decimal"/>
      <w:start w:val="1"/>
    </w:lvl>
  </w:abstractNum>
  <w:abstractNum w:abstractNumId="57">
    <w:nsid w:val="354FE9F9"/>
    <w:multiLevelType w:val="hybridMultilevel"/>
    <w:lvl w:ilvl="0">
      <w:lvlJc w:val="left"/>
      <w:lvlText w:val="(%1)"/>
      <w:numFmt w:val="decimal"/>
      <w:start w:val="2"/>
    </w:lvl>
  </w:abstractNum>
  <w:abstractNum w:abstractNumId="58">
    <w:nsid w:val="15B5AF5C"/>
    <w:multiLevelType w:val="hybridMultilevel"/>
    <w:lvl w:ilvl="0">
      <w:lvlJc w:val="left"/>
      <w:lvlText w:val="•"/>
      <w:numFmt w:val="bullet"/>
      <w:start w:val="1"/>
    </w:lvl>
  </w:abstractNum>
  <w:abstractNum w:abstractNumId="59">
    <w:nsid w:val="741226B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jpe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jpe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jpe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jpe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jpe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jpe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jpe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2025-04-11T15:12:04Z</dcterms:created>
  <dcterms:modified xsi:type="dcterms:W3CDTF">2025-04-11T15:12:04Z</dcterms:modified>
</cp:coreProperties>
</file>