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407035</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432435</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0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June 30,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37"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2" w:lineRule="exact"/>
        <w:rPr>
          <w:sz w:val="24"/>
          <w:szCs w:val="24"/>
          <w:color w:val="auto"/>
        </w:rPr>
      </w:pPr>
    </w:p>
    <w:tbl>
      <w:tblPr>
        <w:tblLayout w:type="fixed"/>
        <w:tblInd w:w="370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to</w:t>
            </w:r>
          </w:p>
        </w:tc>
        <w:tc>
          <w:tcPr>
            <w:tcW w:w="720" w:type="dxa"/>
            <w:vAlign w:val="bottom"/>
            <w:tcBorders>
              <w:bottom w:val="single" w:sz="8" w:color="auto"/>
            </w:tcBorders>
          </w:tcPr>
          <w:p>
            <w:pPr>
              <w:spacing w:after="0"/>
              <w:rPr>
                <w:sz w:val="17"/>
                <w:szCs w:val="17"/>
                <w:color w:val="auto"/>
              </w:rPr>
            </w:pPr>
          </w:p>
        </w:tc>
      </w:tr>
      <w:tr>
        <w:trPr>
          <w:trHeight w:val="291"/>
        </w:trPr>
        <w:tc>
          <w:tcPr>
            <w:tcW w:w="3860" w:type="dxa"/>
            <w:vAlign w:val="bottom"/>
            <w:gridSpan w:val="4"/>
          </w:tcPr>
          <w:p>
            <w:pPr>
              <w:ind w:left="520"/>
              <w:spacing w:after="0"/>
              <w:rPr>
                <w:sz w:val="20"/>
                <w:szCs w:val="20"/>
                <w:color w:val="auto"/>
              </w:rPr>
            </w:pPr>
            <w:r>
              <w:rPr>
                <w:rFonts w:ascii="Arial" w:cs="Arial" w:eastAsia="Arial" w:hAnsi="Arial"/>
                <w:sz w:val="18"/>
                <w:szCs w:val="18"/>
                <w:color w:val="auto"/>
              </w:rPr>
              <w:t>Commission File Number: 000-23593</w:t>
            </w:r>
          </w:p>
        </w:tc>
      </w:tr>
    </w:tbl>
    <w:p>
      <w:pPr>
        <w:spacing w:after="0" w:line="20" w:lineRule="exact"/>
        <w:rPr>
          <w:sz w:val="24"/>
          <w:szCs w:val="24"/>
          <w:color w:val="auto"/>
        </w:rPr>
      </w:pPr>
    </w:p>
    <w:tbl>
      <w:tblPr>
        <w:tblLayout w:type="fixed"/>
        <w:tblInd w:w="1380" w:type="dxa"/>
        <w:tblCellMar>
          <w:top w:w="0" w:type="dxa"/>
          <w:left w:w="0" w:type="dxa"/>
          <w:bottom w:w="0" w:type="dxa"/>
          <w:right w:w="0" w:type="dxa"/>
        </w:tblCellMar>
      </w:tblPr>
      <w:tr>
        <w:trPr>
          <w:trHeight w:val="484"/>
        </w:trPr>
        <w:tc>
          <w:tcPr>
            <w:tcW w:w="2520" w:type="dxa"/>
            <w:vAlign w:val="bottom"/>
          </w:tcPr>
          <w:p>
            <w:pPr>
              <w:spacing w:after="0"/>
              <w:rPr>
                <w:sz w:val="24"/>
                <w:szCs w:val="24"/>
                <w:color w:val="auto"/>
              </w:rPr>
            </w:pPr>
          </w:p>
        </w:tc>
        <w:tc>
          <w:tcPr>
            <w:tcW w:w="5480" w:type="dxa"/>
            <w:vAlign w:val="bottom"/>
          </w:tcPr>
          <w:p>
            <w:pPr>
              <w:jc w:val="center"/>
              <w:ind w:right="1925"/>
              <w:spacing w:after="0"/>
              <w:rPr>
                <w:sz w:val="20"/>
                <w:szCs w:val="20"/>
                <w:color w:val="auto"/>
              </w:rPr>
            </w:pPr>
            <w:r>
              <w:rPr>
                <w:rFonts w:ascii="Arial" w:cs="Arial" w:eastAsia="Arial" w:hAnsi="Arial"/>
                <w:sz w:val="40"/>
                <w:szCs w:val="40"/>
                <w:b w:val="1"/>
                <w:bCs w:val="1"/>
                <w:color w:val="auto"/>
              </w:rPr>
              <w:t>VERISIGN, INC.</w:t>
            </w:r>
          </w:p>
        </w:tc>
      </w:tr>
      <w:tr>
        <w:trPr>
          <w:trHeight w:val="186"/>
        </w:trPr>
        <w:tc>
          <w:tcPr>
            <w:tcW w:w="2520" w:type="dxa"/>
            <w:vAlign w:val="bottom"/>
          </w:tcPr>
          <w:p>
            <w:pPr>
              <w:spacing w:after="0"/>
              <w:rPr>
                <w:sz w:val="16"/>
                <w:szCs w:val="16"/>
                <w:color w:val="auto"/>
              </w:rPr>
            </w:pPr>
          </w:p>
        </w:tc>
        <w:tc>
          <w:tcPr>
            <w:tcW w:w="5480" w:type="dxa"/>
            <w:vAlign w:val="bottom"/>
          </w:tcPr>
          <w:p>
            <w:pPr>
              <w:jc w:val="center"/>
              <w:ind w:right="1925"/>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40"/>
        </w:trPr>
        <w:tc>
          <w:tcPr>
            <w:tcW w:w="25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Delaware</w:t>
            </w:r>
          </w:p>
        </w:tc>
        <w:tc>
          <w:tcPr>
            <w:tcW w:w="5480" w:type="dxa"/>
            <w:vAlign w:val="bottom"/>
          </w:tcPr>
          <w:p>
            <w:pPr>
              <w:jc w:val="right"/>
              <w:ind w:right="25"/>
              <w:spacing w:after="0"/>
              <w:rPr>
                <w:sz w:val="20"/>
                <w:szCs w:val="20"/>
                <w:color w:val="auto"/>
              </w:rPr>
            </w:pPr>
            <w:r>
              <w:rPr>
                <w:rFonts w:ascii="Arial" w:cs="Arial" w:eastAsia="Arial" w:hAnsi="Arial"/>
                <w:sz w:val="18"/>
                <w:szCs w:val="18"/>
                <w:b w:val="1"/>
                <w:bCs w:val="1"/>
                <w:color w:val="auto"/>
              </w:rPr>
              <w:t>94-3221585</w:t>
            </w:r>
          </w:p>
        </w:tc>
      </w:tr>
      <w:tr>
        <w:trPr>
          <w:trHeight w:val="144"/>
        </w:trPr>
        <w:tc>
          <w:tcPr>
            <w:tcW w:w="252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5480" w:type="dxa"/>
            <w:vAlign w:val="bottom"/>
          </w:tcPr>
          <w:p>
            <w:pPr>
              <w:jc w:val="center"/>
              <w:ind w:left="4265"/>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2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incorporation or organization)</w:t>
            </w:r>
          </w:p>
        </w:tc>
        <w:tc>
          <w:tcPr>
            <w:tcW w:w="5480" w:type="dxa"/>
            <w:vAlign w:val="bottom"/>
          </w:tcPr>
          <w:p>
            <w:pPr>
              <w:jc w:val="center"/>
              <w:ind w:left="4265"/>
              <w:spacing w:after="0"/>
              <w:rPr>
                <w:sz w:val="20"/>
                <w:szCs w:val="20"/>
                <w:color w:val="auto"/>
              </w:rPr>
            </w:pPr>
            <w:r>
              <w:rPr>
                <w:rFonts w:ascii="Arial" w:cs="Arial" w:eastAsia="Arial" w:hAnsi="Arial"/>
                <w:sz w:val="14"/>
                <w:szCs w:val="14"/>
                <w:b w:val="1"/>
                <w:bCs w:val="1"/>
                <w:color w:val="auto"/>
                <w:w w:val="94"/>
              </w:rPr>
              <w:t>Identification No.)</w:t>
            </w:r>
          </w:p>
        </w:tc>
      </w:tr>
      <w:tr>
        <w:trPr>
          <w:trHeight w:val="281"/>
        </w:trPr>
        <w:tc>
          <w:tcPr>
            <w:tcW w:w="2520" w:type="dxa"/>
            <w:vAlign w:val="bottom"/>
          </w:tcPr>
          <w:p>
            <w:pPr>
              <w:jc w:val="center"/>
              <w:ind w:right="79"/>
              <w:spacing w:after="0"/>
              <w:rPr>
                <w:sz w:val="20"/>
                <w:szCs w:val="20"/>
                <w:color w:val="auto"/>
              </w:rPr>
            </w:pPr>
            <w:r>
              <w:rPr>
                <w:rFonts w:ascii="Arial" w:cs="Arial" w:eastAsia="Arial" w:hAnsi="Arial"/>
                <w:sz w:val="18"/>
                <w:szCs w:val="18"/>
                <w:b w:val="1"/>
                <w:bCs w:val="1"/>
                <w:color w:val="auto"/>
                <w:w w:val="90"/>
              </w:rPr>
              <w:t>12061 Bluemont Way,</w:t>
            </w:r>
          </w:p>
        </w:tc>
        <w:tc>
          <w:tcPr>
            <w:tcW w:w="5480" w:type="dxa"/>
            <w:vAlign w:val="bottom"/>
          </w:tcPr>
          <w:p>
            <w:pPr>
              <w:spacing w:after="0"/>
              <w:rPr>
                <w:sz w:val="24"/>
                <w:szCs w:val="24"/>
                <w:color w:val="auto"/>
              </w:rPr>
            </w:pPr>
          </w:p>
        </w:tc>
      </w:tr>
      <w:tr>
        <w:trPr>
          <w:trHeight w:val="225"/>
        </w:trPr>
        <w:tc>
          <w:tcPr>
            <w:tcW w:w="252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Reston, Virginia</w:t>
            </w:r>
          </w:p>
        </w:tc>
        <w:tc>
          <w:tcPr>
            <w:tcW w:w="5480" w:type="dxa"/>
            <w:vAlign w:val="bottom"/>
          </w:tcPr>
          <w:p>
            <w:pPr>
              <w:jc w:val="right"/>
              <w:ind w:right="245"/>
              <w:spacing w:after="0"/>
              <w:rPr>
                <w:sz w:val="20"/>
                <w:szCs w:val="20"/>
                <w:color w:val="auto"/>
              </w:rPr>
            </w:pPr>
            <w:r>
              <w:rPr>
                <w:rFonts w:ascii="Arial" w:cs="Arial" w:eastAsia="Arial" w:hAnsi="Arial"/>
                <w:sz w:val="18"/>
                <w:szCs w:val="18"/>
                <w:b w:val="1"/>
                <w:bCs w:val="1"/>
                <w:color w:val="auto"/>
              </w:rPr>
              <w:t>20190</w:t>
            </w:r>
          </w:p>
        </w:tc>
      </w:tr>
      <w:tr>
        <w:trPr>
          <w:trHeight w:val="186"/>
        </w:trPr>
        <w:tc>
          <w:tcPr>
            <w:tcW w:w="252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480" w:type="dxa"/>
            <w:vAlign w:val="bottom"/>
          </w:tcPr>
          <w:p>
            <w:pPr>
              <w:jc w:val="center"/>
              <w:ind w:left="4265"/>
              <w:spacing w:after="0"/>
              <w:rPr>
                <w:sz w:val="20"/>
                <w:szCs w:val="20"/>
                <w:color w:val="auto"/>
              </w:rPr>
            </w:pPr>
            <w:r>
              <w:rPr>
                <w:rFonts w:ascii="Arial" w:cs="Arial" w:eastAsia="Arial" w:hAnsi="Arial"/>
                <w:sz w:val="14"/>
                <w:szCs w:val="14"/>
                <w:b w:val="1"/>
                <w:bCs w:val="1"/>
                <w:color w:val="auto"/>
                <w:w w:val="98"/>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(703) 948-3200</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76"/>
        </w:trPr>
        <w:tc>
          <w:tcPr>
            <w:tcW w:w="1220" w:type="dxa"/>
            <w:vAlign w:val="bottom"/>
          </w:tcPr>
          <w:p>
            <w:pPr>
              <w:spacing w:after="0"/>
              <w:rPr>
                <w:sz w:val="24"/>
                <w:szCs w:val="24"/>
                <w:color w:val="auto"/>
              </w:rPr>
            </w:pPr>
          </w:p>
        </w:tc>
        <w:tc>
          <w:tcPr>
            <w:tcW w:w="3360" w:type="dxa"/>
            <w:vAlign w:val="bottom"/>
            <w:gridSpan w:val="2"/>
          </w:tcPr>
          <w:p>
            <w:pPr>
              <w:jc w:val="center"/>
              <w:ind w:right="2140"/>
              <w:spacing w:after="0"/>
              <w:rPr>
                <w:sz w:val="20"/>
                <w:szCs w:val="20"/>
                <w:color w:val="auto"/>
              </w:rPr>
            </w:pPr>
            <w:r>
              <w:rPr>
                <w:rFonts w:ascii="Arial" w:cs="Arial" w:eastAsia="Arial" w:hAnsi="Arial"/>
                <w:sz w:val="16"/>
                <w:szCs w:val="16"/>
                <w:b w:val="1"/>
                <w:bCs w:val="1"/>
                <w:color w:val="auto"/>
                <w:w w:val="88"/>
              </w:rPr>
              <w:t>Title of each class</w:t>
            </w:r>
          </w:p>
        </w:tc>
        <w:tc>
          <w:tcPr>
            <w:tcW w:w="2920" w:type="dxa"/>
            <w:vAlign w:val="bottom"/>
            <w:gridSpan w:val="2"/>
          </w:tcPr>
          <w:p>
            <w:pPr>
              <w:jc w:val="center"/>
              <w:ind w:right="1620"/>
              <w:spacing w:after="0"/>
              <w:rPr>
                <w:sz w:val="20"/>
                <w:szCs w:val="20"/>
                <w:color w:val="auto"/>
              </w:rPr>
            </w:pPr>
            <w:r>
              <w:rPr>
                <w:rFonts w:ascii="Arial" w:cs="Arial" w:eastAsia="Arial" w:hAnsi="Arial"/>
                <w:sz w:val="16"/>
                <w:szCs w:val="16"/>
                <w:b w:val="1"/>
                <w:bCs w:val="1"/>
                <w:color w:val="auto"/>
                <w:w w:val="92"/>
              </w:rPr>
              <w:t>Trading Symbol(s)</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4580" w:type="dxa"/>
            <w:vAlign w:val="bottom"/>
            <w:gridSpan w:val="3"/>
          </w:tcPr>
          <w:p>
            <w:pPr>
              <w:jc w:val="center"/>
              <w:ind w:right="900"/>
              <w:spacing w:after="0"/>
              <w:rPr>
                <w:sz w:val="20"/>
                <w:szCs w:val="20"/>
                <w:color w:val="auto"/>
              </w:rPr>
            </w:pPr>
            <w:r>
              <w:rPr>
                <w:rFonts w:ascii="Arial" w:cs="Arial" w:eastAsia="Arial" w:hAnsi="Arial"/>
                <w:sz w:val="16"/>
                <w:szCs w:val="16"/>
                <w:color w:val="auto"/>
                <w:w w:val="90"/>
              </w:rPr>
              <w:t>Common Stock, $0.001 par value per share</w:t>
            </w:r>
          </w:p>
        </w:tc>
        <w:tc>
          <w:tcPr>
            <w:tcW w:w="2920" w:type="dxa"/>
            <w:vAlign w:val="bottom"/>
            <w:gridSpan w:val="2"/>
          </w:tcPr>
          <w:p>
            <w:pPr>
              <w:jc w:val="center"/>
              <w:ind w:right="1640"/>
              <w:spacing w:after="0"/>
              <w:rPr>
                <w:sz w:val="20"/>
                <w:szCs w:val="20"/>
                <w:color w:val="auto"/>
              </w:rPr>
            </w:pPr>
            <w:r>
              <w:rPr>
                <w:rFonts w:ascii="Arial" w:cs="Arial" w:eastAsia="Arial" w:hAnsi="Arial"/>
                <w:sz w:val="16"/>
                <w:szCs w:val="16"/>
                <w:color w:val="auto"/>
                <w:w w:val="98"/>
              </w:rPr>
              <w:t>VRSN</w:t>
            </w:r>
          </w:p>
        </w:tc>
        <w:tc>
          <w:tcPr>
            <w:tcW w:w="302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8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10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8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8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17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Non-accelerated filer</w:t>
            </w:r>
          </w:p>
        </w:tc>
        <w:tc>
          <w:tcPr>
            <w:tcW w:w="288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17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500" w:type="dxa"/>
            <w:vAlign w:val="bottom"/>
          </w:tcPr>
          <w:p>
            <w:pPr>
              <w:ind w:left="1740"/>
              <w:spacing w:after="0"/>
              <w:rPr>
                <w:sz w:val="20"/>
                <w:szCs w:val="20"/>
                <w:color w:val="auto"/>
              </w:rPr>
            </w:pPr>
            <w:r>
              <w:rPr>
                <w:rFonts w:ascii="Arial" w:cs="Arial" w:eastAsia="Arial" w:hAnsi="Arial"/>
                <w:sz w:val="18"/>
                <w:szCs w:val="18"/>
                <w:color w:val="auto"/>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0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tabs>
          <w:tab w:leader="none" w:pos="888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700" w:type="dxa"/>
            <w:vAlign w:val="bottom"/>
            <w:gridSpan w:val="2"/>
          </w:tcPr>
          <w:p>
            <w:pPr>
              <w:jc w:val="center"/>
              <w:ind w:right="4380"/>
              <w:spacing w:after="0"/>
              <w:rPr>
                <w:sz w:val="20"/>
                <w:szCs w:val="20"/>
                <w:color w:val="auto"/>
              </w:rPr>
            </w:pPr>
            <w:r>
              <w:rPr>
                <w:rFonts w:ascii="Arial" w:cs="Arial" w:eastAsia="Arial" w:hAnsi="Arial"/>
                <w:sz w:val="14"/>
                <w:szCs w:val="14"/>
                <w:b w:val="1"/>
                <w:bCs w:val="1"/>
                <w:color w:val="auto"/>
                <w:w w:val="85"/>
              </w:rPr>
              <w:t>Class</w:t>
            </w:r>
          </w:p>
        </w:tc>
        <w:tc>
          <w:tcPr>
            <w:tcW w:w="41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1"/>
              </w:rPr>
              <w:t>Shares Outstanding as of July 16, 2021</w:t>
            </w:r>
          </w:p>
        </w:tc>
      </w:tr>
      <w:tr>
        <w:trPr>
          <w:trHeight w:val="20"/>
        </w:trPr>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960" w:type="dxa"/>
            <w:vAlign w:val="bottom"/>
            <w:gridSpan w:val="3"/>
          </w:tcPr>
          <w:p>
            <w:pPr>
              <w:jc w:val="center"/>
              <w:ind w:right="2100"/>
              <w:spacing w:after="0"/>
              <w:rPr>
                <w:sz w:val="20"/>
                <w:szCs w:val="20"/>
                <w:color w:val="auto"/>
              </w:rPr>
            </w:pPr>
            <w:r>
              <w:rPr>
                <w:rFonts w:ascii="Arial" w:cs="Arial" w:eastAsia="Arial" w:hAnsi="Arial"/>
                <w:sz w:val="18"/>
                <w:szCs w:val="18"/>
                <w:color w:val="auto"/>
                <w:w w:val="89"/>
              </w:rPr>
              <w:t>Common stock, $0.001 par value per share</w:t>
            </w:r>
          </w:p>
        </w:tc>
        <w:tc>
          <w:tcPr>
            <w:tcW w:w="2380" w:type="dxa"/>
            <w:vAlign w:val="bottom"/>
          </w:tcPr>
          <w:p>
            <w:pPr>
              <w:jc w:val="right"/>
              <w:ind w:right="659"/>
              <w:spacing w:after="0"/>
              <w:rPr>
                <w:sz w:val="20"/>
                <w:szCs w:val="20"/>
                <w:color w:val="auto"/>
              </w:rPr>
            </w:pPr>
            <w:r>
              <w:rPr>
                <w:rFonts w:ascii="Arial" w:cs="Arial" w:eastAsia="Arial" w:hAnsi="Arial"/>
                <w:sz w:val="18"/>
                <w:szCs w:val="18"/>
                <w:color w:val="auto"/>
              </w:rPr>
              <w:t>111,874,436</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 w:type="dxa"/>
            <w:vAlign w:val="bottom"/>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3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5"/>
        </w:trPr>
        <w:tc>
          <w:tcPr>
            <w:tcW w:w="1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960" w:type="dxa"/>
            <w:vAlign w:val="bottom"/>
            <w:gridSpan w:val="12"/>
          </w:tcPr>
          <w:p>
            <w:pPr>
              <w:jc w:val="center"/>
              <w:ind w:right="2800"/>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6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w:t>
              </w:r>
            </w:hyperlink>
          </w:p>
        </w:tc>
        <w:tc>
          <w:tcPr>
            <w:tcW w:w="3160" w:type="dxa"/>
            <w:vAlign w:val="bottom"/>
            <w:tcBorders>
              <w:top w:val="single" w:sz="8" w:color="0000FF"/>
            </w:tcBorders>
            <w:gridSpan w:val="6"/>
          </w:tcPr>
          <w:p>
            <w:pPr>
              <w:spacing w:after="0"/>
              <w:rPr>
                <w:sz w:val="18"/>
                <w:szCs w:val="18"/>
                <w:color w:val="auto"/>
              </w:rPr>
            </w:pPr>
          </w:p>
        </w:tc>
        <w:tc>
          <w:tcPr>
            <w:tcW w:w="2800" w:type="dxa"/>
            <w:vAlign w:val="bottom"/>
            <w:gridSpan w:val="6"/>
          </w:tcPr>
          <w:p>
            <w:pPr>
              <w:spacing w:after="0"/>
              <w:rPr>
                <w:sz w:val="18"/>
                <w:szCs w:val="18"/>
                <w:color w:val="auto"/>
              </w:rPr>
            </w:pPr>
          </w:p>
        </w:tc>
        <w:tc>
          <w:tcPr>
            <w:tcW w:w="130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40" w:type="dxa"/>
            <w:vAlign w:val="bottom"/>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as of June 30, 2021 and December 31, 2020</w:t>
              </w:r>
            </w:hyperlink>
          </w:p>
        </w:tc>
        <w:tc>
          <w:tcPr>
            <w:tcW w:w="2400" w:type="dxa"/>
            <w:vAlign w:val="bottom"/>
            <w:gridSpan w:val="5"/>
          </w:tcPr>
          <w:p>
            <w:pPr>
              <w:spacing w:after="0"/>
              <w:rPr>
                <w:sz w:val="18"/>
                <w:szCs w:val="18"/>
                <w:color w:val="auto"/>
              </w:rPr>
            </w:pPr>
          </w:p>
        </w:tc>
        <w:tc>
          <w:tcPr>
            <w:tcW w:w="13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40" w:type="dxa"/>
            <w:vAlign w:val="bottom"/>
            <w:gridSpan w:val="19"/>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Condensed Consolidated Statements of Comprehensive Income for the Three and Six Months Ended June 30, 2021</w:t>
              </w:r>
            </w:hyperlink>
          </w:p>
        </w:tc>
        <w:tc>
          <w:tcPr>
            <w:tcW w:w="1300" w:type="dxa"/>
            <w:vAlign w:val="bottom"/>
            <w:gridSpan w:val="4"/>
            <w:vMerge w:val="restart"/>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3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and 2020</w:t>
              </w:r>
            </w:hyperlink>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40" w:type="dxa"/>
            <w:vAlign w:val="bottom"/>
            <w:gridSpan w:val="19"/>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Condensed Consolidated Statements of Stockholders’ Deficit for the Three and Six Months Ended June 30, 2021 and</w:t>
              </w:r>
            </w:hyperlink>
          </w:p>
        </w:tc>
        <w:tc>
          <w:tcPr>
            <w:tcW w:w="130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360" w:type="dxa"/>
            <w:vAlign w:val="bottom"/>
            <w:tcBorders>
              <w:top w:val="single" w:sz="8" w:color="0000FF"/>
            </w:tcBorders>
          </w:tcPr>
          <w:p>
            <w:pPr>
              <w:spacing w:after="0" w:line="15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2020</w:t>
              </w:r>
            </w:hyperlink>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80" w:type="dxa"/>
            <w:vAlign w:val="bottom"/>
            <w:gridSpan w:val="16"/>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Cash Flows for the Six Months Ended June 30, 2021 and 2020</w:t>
              </w:r>
            </w:hyperlink>
          </w:p>
        </w:tc>
        <w:tc>
          <w:tcPr>
            <w:tcW w:w="1160" w:type="dxa"/>
            <w:vAlign w:val="bottom"/>
            <w:gridSpan w:val="3"/>
          </w:tcPr>
          <w:p>
            <w:pPr>
              <w:spacing w:after="0"/>
              <w:rPr>
                <w:sz w:val="18"/>
                <w:szCs w:val="18"/>
                <w:color w:val="auto"/>
              </w:rPr>
            </w:pPr>
          </w:p>
        </w:tc>
        <w:tc>
          <w:tcPr>
            <w:tcW w:w="13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gridSpan w:val="9"/>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3380" w:type="dxa"/>
            <w:vAlign w:val="bottom"/>
            <w:gridSpan w:val="7"/>
          </w:tcPr>
          <w:p>
            <w:pPr>
              <w:spacing w:after="0"/>
              <w:rPr>
                <w:sz w:val="18"/>
                <w:szCs w:val="18"/>
                <w:color w:val="auto"/>
              </w:rPr>
            </w:pPr>
          </w:p>
        </w:tc>
        <w:tc>
          <w:tcPr>
            <w:tcW w:w="1160" w:type="dxa"/>
            <w:vAlign w:val="bottom"/>
            <w:gridSpan w:val="3"/>
          </w:tcPr>
          <w:p>
            <w:pPr>
              <w:spacing w:after="0"/>
              <w:rPr>
                <w:sz w:val="18"/>
                <w:szCs w:val="18"/>
                <w:color w:val="auto"/>
              </w:rPr>
            </w:pPr>
          </w:p>
        </w:tc>
        <w:tc>
          <w:tcPr>
            <w:tcW w:w="13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Item 2.</w:t>
              </w:r>
            </w:hyperlink>
          </w:p>
        </w:tc>
        <w:tc>
          <w:tcPr>
            <w:tcW w:w="46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64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Management’s Discussion and Analysis of Financial Condition and Results of Operations</w:t>
              </w:r>
            </w:hyperlink>
          </w:p>
        </w:tc>
        <w:tc>
          <w:tcPr>
            <w:tcW w:w="2280" w:type="dxa"/>
            <w:vAlign w:val="bottom"/>
            <w:gridSpan w:val="4"/>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Item 3.</w:t>
              </w:r>
            </w:hyperlink>
          </w:p>
        </w:tc>
        <w:tc>
          <w:tcPr>
            <w:tcW w:w="46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19">
              <w:r>
                <w:rPr>
                  <w:rFonts w:ascii="Arial" w:cs="Arial" w:eastAsia="Arial" w:hAnsi="Arial"/>
                  <w:sz w:val="18"/>
                  <w:szCs w:val="18"/>
                  <w:color w:val="0000FF"/>
                  <w:w w:val="92"/>
                </w:rPr>
                <w:t>Quantitative and Qualitative Disclosures About Market Risk</w:t>
              </w:r>
            </w:hyperlink>
          </w:p>
        </w:tc>
        <w:tc>
          <w:tcPr>
            <w:tcW w:w="4380" w:type="dxa"/>
            <w:vAlign w:val="bottom"/>
            <w:gridSpan w:val="8"/>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4"/>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4.</w:t>
              </w:r>
            </w:hyperlink>
          </w:p>
        </w:tc>
        <w:tc>
          <w:tcPr>
            <w:tcW w:w="8940" w:type="dxa"/>
            <w:vAlign w:val="bottom"/>
            <w:gridSpan w:val="21"/>
          </w:tcPr>
          <w:p>
            <w:pPr>
              <w:ind w:left="200"/>
              <w:spacing w:after="0"/>
              <w:rPr>
                <w:rFonts w:ascii="Arial" w:cs="Arial" w:eastAsia="Arial" w:hAnsi="Arial"/>
                <w:sz w:val="18"/>
                <w:szCs w:val="18"/>
                <w:color w:val="0000FF"/>
              </w:rPr>
            </w:pPr>
            <w:hyperlink w:anchor="page19">
              <w:r>
                <w:rPr>
                  <w:rFonts w:ascii="Arial" w:cs="Arial" w:eastAsia="Arial" w:hAnsi="Arial"/>
                  <w:sz w:val="18"/>
                  <w:szCs w:val="18"/>
                  <w:color w:val="0000FF"/>
                </w:rPr>
                <w:t>Controls and Procedures</w:t>
              </w:r>
            </w:hyperlink>
          </w:p>
        </w:tc>
        <w:tc>
          <w:tcPr>
            <w:tcW w:w="128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20" w:type="dxa"/>
            <w:vAlign w:val="bottom"/>
          </w:tcPr>
          <w:p>
            <w:pPr>
              <w:spacing w:after="0"/>
              <w:rPr>
                <w:sz w:val="18"/>
                <w:szCs w:val="18"/>
                <w:color w:val="auto"/>
              </w:rPr>
            </w:pPr>
          </w:p>
        </w:tc>
        <w:tc>
          <w:tcPr>
            <w:tcW w:w="5960" w:type="dxa"/>
            <w:vAlign w:val="bottom"/>
            <w:gridSpan w:val="12"/>
          </w:tcPr>
          <w:p>
            <w:pPr>
              <w:jc w:val="center"/>
              <w:ind w:right="2780"/>
              <w:spacing w:after="0"/>
              <w:rPr>
                <w:rFonts w:ascii="Arial" w:cs="Arial" w:eastAsia="Arial" w:hAnsi="Arial"/>
                <w:sz w:val="18"/>
                <w:szCs w:val="18"/>
                <w:b w:val="1"/>
                <w:bCs w:val="1"/>
                <w:color w:val="0000FF"/>
              </w:rPr>
            </w:pPr>
            <w:hyperlink w:anchor="page19">
              <w:r>
                <w:rPr>
                  <w:rFonts w:ascii="Arial" w:cs="Arial" w:eastAsia="Arial" w:hAnsi="Arial"/>
                  <w:sz w:val="18"/>
                  <w:szCs w:val="18"/>
                  <w:b w:val="1"/>
                  <w:bCs w:val="1"/>
                  <w:color w:val="0000FF"/>
                </w:rPr>
                <w:t>PART II—OTHER INFORMATION</w:t>
              </w:r>
            </w:hyperlink>
          </w:p>
        </w:tc>
        <w:tc>
          <w:tcPr>
            <w:tcW w:w="110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Item 1.</w:t>
              </w:r>
            </w:hyperlink>
          </w:p>
        </w:tc>
        <w:tc>
          <w:tcPr>
            <w:tcW w:w="46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20">
              <w:r>
                <w:rPr>
                  <w:rFonts w:ascii="Arial" w:cs="Arial" w:eastAsia="Arial" w:hAnsi="Arial"/>
                  <w:sz w:val="18"/>
                  <w:szCs w:val="18"/>
                  <w:color w:val="0000FF"/>
                  <w:w w:val="88"/>
                </w:rPr>
                <w:t>Legal Proceedings</w:t>
              </w:r>
            </w:hyperlink>
          </w:p>
        </w:tc>
        <w:tc>
          <w:tcPr>
            <w:tcW w:w="1600" w:type="dxa"/>
            <w:vAlign w:val="bottom"/>
            <w:gridSpan w:val="4"/>
          </w:tcPr>
          <w:p>
            <w:pPr>
              <w:spacing w:after="0"/>
              <w:rPr>
                <w:sz w:val="18"/>
                <w:szCs w:val="18"/>
                <w:color w:val="auto"/>
              </w:rPr>
            </w:pPr>
          </w:p>
        </w:tc>
        <w:tc>
          <w:tcPr>
            <w:tcW w:w="2860" w:type="dxa"/>
            <w:vAlign w:val="bottom"/>
            <w:tcBorders>
              <w:top w:val="single" w:sz="8" w:color="0000FF"/>
            </w:tcBorders>
            <w:gridSpan w:val="4"/>
          </w:tcPr>
          <w:p>
            <w:pPr>
              <w:spacing w:after="0"/>
              <w:rPr>
                <w:sz w:val="18"/>
                <w:szCs w:val="18"/>
                <w:color w:val="auto"/>
              </w:rPr>
            </w:pPr>
          </w:p>
        </w:tc>
        <w:tc>
          <w:tcPr>
            <w:tcW w:w="2940" w:type="dxa"/>
            <w:vAlign w:val="bottom"/>
            <w:gridSpan w:val="7"/>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4"/>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Item 1A.</w:t>
              </w:r>
            </w:hyperlink>
          </w:p>
        </w:tc>
        <w:tc>
          <w:tcPr>
            <w:tcW w:w="8940" w:type="dxa"/>
            <w:vAlign w:val="bottom"/>
            <w:gridSpan w:val="21"/>
          </w:tcPr>
          <w:p>
            <w:pPr>
              <w:ind w:left="200"/>
              <w:spacing w:after="0"/>
              <w:rPr>
                <w:rFonts w:ascii="Arial" w:cs="Arial" w:eastAsia="Arial" w:hAnsi="Arial"/>
                <w:sz w:val="18"/>
                <w:szCs w:val="18"/>
                <w:color w:val="0000FF"/>
              </w:rPr>
            </w:pPr>
            <w:hyperlink w:anchor="page20">
              <w:r>
                <w:rPr>
                  <w:rFonts w:ascii="Arial" w:cs="Arial" w:eastAsia="Arial" w:hAnsi="Arial"/>
                  <w:sz w:val="18"/>
                  <w:szCs w:val="18"/>
                  <w:color w:val="0000FF"/>
                </w:rPr>
                <w:t>Risk Factors</w:t>
              </w:r>
            </w:hyperlink>
          </w:p>
        </w:tc>
        <w:tc>
          <w:tcPr>
            <w:tcW w:w="128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Item 2.</w:t>
              </w:r>
            </w:hyperlink>
          </w:p>
        </w:tc>
        <w:tc>
          <w:tcPr>
            <w:tcW w:w="1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740" w:type="dxa"/>
            <w:vAlign w:val="bottom"/>
            <w:gridSpan w:val="2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Unregistered Sales of Equity Securities and Use of Proceeds</w:t>
              </w:r>
            </w:hyperlink>
          </w:p>
        </w:tc>
        <w:tc>
          <w:tcPr>
            <w:tcW w:w="128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6.</w:t>
              </w:r>
            </w:hyperlink>
          </w:p>
        </w:tc>
        <w:tc>
          <w:tcPr>
            <w:tcW w:w="46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4340" w:type="dxa"/>
            <w:vAlign w:val="bottom"/>
            <w:tcBorders>
              <w:top w:val="single" w:sz="8" w:color="0000FF"/>
            </w:tcBorders>
            <w:gridSpan w:val="11"/>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Exhibits</w:t>
              </w:r>
            </w:hyperlink>
          </w:p>
        </w:tc>
        <w:tc>
          <w:tcPr>
            <w:tcW w:w="4400" w:type="dxa"/>
            <w:vAlign w:val="bottom"/>
            <w:gridSpan w:val="9"/>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gridSpan w:val="4"/>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Signatures</w:t>
              </w:r>
            </w:hyperlink>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000" w:type="dxa"/>
            <w:vAlign w:val="bottom"/>
            <w:gridSpan w:val="14"/>
          </w:tcPr>
          <w:p>
            <w:pPr>
              <w:jc w:val="right"/>
              <w:ind w:right="13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30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14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2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4440" w:type="dxa"/>
            <w:vAlign w:val="bottom"/>
            <w:gridSpan w:val="3"/>
            <w:shd w:val="clear" w:color="auto" w:fill="CCEEFF"/>
          </w:tcPr>
          <w:p>
            <w:pPr>
              <w:jc w:val="center"/>
              <w:ind w:right="3780"/>
              <w:spacing w:after="0" w:line="170" w:lineRule="exact"/>
              <w:rPr>
                <w:sz w:val="20"/>
                <w:szCs w:val="20"/>
                <w:color w:val="auto"/>
              </w:rPr>
            </w:pPr>
            <w:r>
              <w:rPr>
                <w:rFonts w:ascii="Arial" w:cs="Arial" w:eastAsia="Arial" w:hAnsi="Arial"/>
                <w:sz w:val="18"/>
                <w:szCs w:val="18"/>
                <w:b w:val="1"/>
                <w:bCs w:val="1"/>
                <w:color w:val="auto"/>
                <w:w w:val="91"/>
              </w:rPr>
              <w:t>ASSETS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Current assets:</w:t>
            </w:r>
          </w:p>
        </w:tc>
        <w:tc>
          <w:tcPr>
            <w:tcW w:w="660" w:type="dxa"/>
            <w:vAlign w:val="bottom"/>
            <w:tcBorders>
              <w:top w:val="single" w:sz="8" w:color="auto"/>
            </w:tcBorders>
          </w:tcPr>
          <w:p>
            <w:pPr>
              <w:spacing w:after="0"/>
              <w:rPr>
                <w:sz w:val="19"/>
                <w:szCs w:val="19"/>
                <w:color w:val="auto"/>
              </w:rPr>
            </w:pPr>
          </w:p>
        </w:tc>
        <w:tc>
          <w:tcPr>
            <w:tcW w:w="378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401,194</w:t>
            </w:r>
          </w:p>
        </w:tc>
        <w:tc>
          <w:tcPr>
            <w:tcW w:w="0" w:type="dxa"/>
            <w:vAlign w:val="bottom"/>
          </w:tcPr>
          <w:p>
            <w:pPr>
              <w:spacing w:after="0"/>
              <w:rPr>
                <w:sz w:val="1"/>
                <w:szCs w:val="1"/>
                <w:color w:val="auto"/>
              </w:rPr>
            </w:pPr>
          </w:p>
        </w:tc>
      </w:tr>
      <w:tr>
        <w:trPr>
          <w:trHeight w:val="229"/>
        </w:trPr>
        <w:tc>
          <w:tcPr>
            <w:tcW w:w="8240" w:type="dxa"/>
            <w:vAlign w:val="bottom"/>
            <w:gridSpan w:val="5"/>
          </w:tcPr>
          <w:p>
            <w:pPr>
              <w:ind w:left="36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906,492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765,713</w:t>
            </w:r>
          </w:p>
        </w:tc>
        <w:tc>
          <w:tcPr>
            <w:tcW w:w="0" w:type="dxa"/>
            <w:vAlign w:val="bottom"/>
          </w:tcPr>
          <w:p>
            <w:pPr>
              <w:spacing w:after="0"/>
              <w:rPr>
                <w:sz w:val="1"/>
                <w:szCs w:val="1"/>
                <w:color w:val="auto"/>
              </w:rPr>
            </w:pPr>
          </w:p>
        </w:tc>
      </w:tr>
      <w:tr>
        <w:trPr>
          <w:trHeight w:val="229"/>
        </w:trPr>
        <w:tc>
          <w:tcPr>
            <w:tcW w:w="82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5"/>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1,189,067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1,217,940</w:t>
            </w:r>
          </w:p>
        </w:tc>
        <w:tc>
          <w:tcPr>
            <w:tcW w:w="0" w:type="dxa"/>
            <w:vAlign w:val="bottom"/>
          </w:tcPr>
          <w:p>
            <w:pPr>
              <w:spacing w:after="0"/>
              <w:rPr>
                <w:sz w:val="1"/>
                <w:szCs w:val="1"/>
                <w:color w:val="auto"/>
              </w:rPr>
            </w:pPr>
          </w:p>
        </w:tc>
      </w:tr>
      <w:tr>
        <w:trPr>
          <w:trHeight w:val="223"/>
        </w:trPr>
        <w:tc>
          <w:tcPr>
            <w:tcW w:w="82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245,571</w:t>
            </w:r>
          </w:p>
        </w:tc>
        <w:tc>
          <w:tcPr>
            <w:tcW w:w="0" w:type="dxa"/>
            <w:vAlign w:val="bottom"/>
          </w:tcPr>
          <w:p>
            <w:pPr>
              <w:spacing w:after="0"/>
              <w:rPr>
                <w:sz w:val="1"/>
                <w:szCs w:val="1"/>
                <w:color w:val="auto"/>
              </w:rPr>
            </w:pPr>
          </w:p>
        </w:tc>
      </w:tr>
      <w:tr>
        <w:trPr>
          <w:trHeight w:val="229"/>
        </w:trPr>
        <w:tc>
          <w:tcPr>
            <w:tcW w:w="8240" w:type="dxa"/>
            <w:vAlign w:val="bottom"/>
            <w:gridSpan w:val="5"/>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52,527</w:t>
            </w:r>
          </w:p>
        </w:tc>
        <w:tc>
          <w:tcPr>
            <w:tcW w:w="0" w:type="dxa"/>
            <w:vAlign w:val="bottom"/>
          </w:tcPr>
          <w:p>
            <w:pPr>
              <w:spacing w:after="0"/>
              <w:rPr>
                <w:sz w:val="1"/>
                <w:szCs w:val="1"/>
                <w:color w:val="auto"/>
              </w:rPr>
            </w:pPr>
          </w:p>
        </w:tc>
      </w:tr>
      <w:tr>
        <w:trPr>
          <w:trHeight w:val="229"/>
        </w:trPr>
        <w:tc>
          <w:tcPr>
            <w:tcW w:w="82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67,914</w:t>
            </w:r>
          </w:p>
        </w:tc>
        <w:tc>
          <w:tcPr>
            <w:tcW w:w="0" w:type="dxa"/>
            <w:vAlign w:val="bottom"/>
          </w:tcPr>
          <w:p>
            <w:pPr>
              <w:spacing w:after="0"/>
              <w:rPr>
                <w:sz w:val="1"/>
                <w:szCs w:val="1"/>
                <w:color w:val="auto"/>
              </w:rPr>
            </w:pPr>
          </w:p>
        </w:tc>
      </w:tr>
      <w:tr>
        <w:trPr>
          <w:trHeight w:val="230"/>
        </w:trPr>
        <w:tc>
          <w:tcPr>
            <w:tcW w:w="8240" w:type="dxa"/>
            <w:vAlign w:val="bottom"/>
            <w:gridSpan w:val="5"/>
          </w:tcPr>
          <w:p>
            <w:pPr>
              <w:ind w:left="20"/>
              <w:spacing w:after="0"/>
              <w:rPr>
                <w:sz w:val="20"/>
                <w:szCs w:val="20"/>
                <w:color w:val="auto"/>
              </w:rPr>
            </w:pPr>
            <w:r>
              <w:rPr>
                <w:rFonts w:ascii="Arial" w:cs="Arial" w:eastAsia="Arial" w:hAnsi="Arial"/>
                <w:sz w:val="18"/>
                <w:szCs w:val="18"/>
                <w:color w:val="auto"/>
              </w:rPr>
              <w:t>Deposits to acquire intangible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29"/>
        </w:trPr>
        <w:tc>
          <w:tcPr>
            <w:tcW w:w="82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5"/>
          </w:tcPr>
          <w:p>
            <w:pPr>
              <w:ind w:left="680"/>
              <w:spacing w:after="0"/>
              <w:rPr>
                <w:sz w:val="20"/>
                <w:szCs w:val="20"/>
                <w:color w:val="auto"/>
              </w:rPr>
            </w:pPr>
            <w:r>
              <w:rPr>
                <w:rFonts w:ascii="Arial" w:cs="Arial" w:eastAsia="Arial" w:hAnsi="Arial"/>
                <w:sz w:val="18"/>
                <w:szCs w:val="18"/>
                <w:color w:val="auto"/>
              </w:rPr>
              <w:t>Total long-term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548,970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1,766,910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5"/>
            <w:vMerge w:val="restart"/>
          </w:tcPr>
          <w:p>
            <w:pPr>
              <w:jc w:val="center"/>
              <w:spacing w:after="0" w:line="176" w:lineRule="exact"/>
              <w:rPr>
                <w:sz w:val="20"/>
                <w:szCs w:val="20"/>
                <w:color w:val="auto"/>
              </w:rPr>
            </w:pPr>
            <w:r>
              <w:rPr>
                <w:rFonts w:ascii="Arial" w:cs="Arial" w:eastAsia="Arial" w:hAnsi="Arial"/>
                <w:sz w:val="18"/>
                <w:szCs w:val="18"/>
                <w:b w:val="1"/>
                <w:bCs w:val="1"/>
                <w:color w:val="auto"/>
              </w:rPr>
              <w:t>LIABILITIES AND STOCKHOLDERS’ DEFICIT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4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5"/>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175,350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208,642</w:t>
            </w:r>
          </w:p>
        </w:tc>
        <w:tc>
          <w:tcPr>
            <w:tcW w:w="0" w:type="dxa"/>
            <w:vAlign w:val="bottom"/>
          </w:tcPr>
          <w:p>
            <w:pPr>
              <w:spacing w:after="0"/>
              <w:rPr>
                <w:sz w:val="1"/>
                <w:szCs w:val="1"/>
                <w:color w:val="auto"/>
              </w:rPr>
            </w:pPr>
          </w:p>
        </w:tc>
      </w:tr>
      <w:tr>
        <w:trPr>
          <w:trHeight w:val="229"/>
        </w:trPr>
        <w:tc>
          <w:tcPr>
            <w:tcW w:w="82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Deferred revenues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780,051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5"/>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998,334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988,693</w:t>
            </w:r>
          </w:p>
        </w:tc>
        <w:tc>
          <w:tcPr>
            <w:tcW w:w="0" w:type="dxa"/>
            <w:vAlign w:val="bottom"/>
          </w:tcPr>
          <w:p>
            <w:pPr>
              <w:spacing w:after="0"/>
              <w:rPr>
                <w:sz w:val="1"/>
                <w:szCs w:val="1"/>
                <w:color w:val="auto"/>
              </w:rPr>
            </w:pPr>
          </w:p>
        </w:tc>
      </w:tr>
      <w:tr>
        <w:trPr>
          <w:trHeight w:val="223"/>
        </w:trPr>
        <w:tc>
          <w:tcPr>
            <w:tcW w:w="82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Long-term deferred revenues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282,838</w:t>
            </w:r>
          </w:p>
        </w:tc>
        <w:tc>
          <w:tcPr>
            <w:tcW w:w="0" w:type="dxa"/>
            <w:vAlign w:val="bottom"/>
          </w:tcPr>
          <w:p>
            <w:pPr>
              <w:spacing w:after="0"/>
              <w:rPr>
                <w:sz w:val="1"/>
                <w:szCs w:val="1"/>
                <w:color w:val="auto"/>
              </w:rPr>
            </w:pPr>
          </w:p>
        </w:tc>
      </w:tr>
      <w:tr>
        <w:trPr>
          <w:trHeight w:val="229"/>
        </w:trPr>
        <w:tc>
          <w:tcPr>
            <w:tcW w:w="8240" w:type="dxa"/>
            <w:vAlign w:val="bottom"/>
            <w:gridSpan w:val="5"/>
          </w:tcPr>
          <w:p>
            <w:pPr>
              <w:ind w:left="20"/>
              <w:spacing w:after="0"/>
              <w:rPr>
                <w:sz w:val="20"/>
                <w:szCs w:val="20"/>
                <w:color w:val="auto"/>
              </w:rPr>
            </w:pPr>
            <w:r>
              <w:rPr>
                <w:rFonts w:ascii="Arial" w:cs="Arial" w:eastAsia="Arial" w:hAnsi="Arial"/>
                <w:sz w:val="18"/>
                <w:szCs w:val="18"/>
                <w:color w:val="auto"/>
              </w:rPr>
              <w:t>Senior notes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1,784,654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1,790,083</w:t>
            </w:r>
          </w:p>
        </w:tc>
        <w:tc>
          <w:tcPr>
            <w:tcW w:w="0" w:type="dxa"/>
            <w:vAlign w:val="bottom"/>
          </w:tcPr>
          <w:p>
            <w:pPr>
              <w:spacing w:after="0"/>
              <w:rPr>
                <w:sz w:val="1"/>
                <w:szCs w:val="1"/>
                <w:color w:val="auto"/>
              </w:rPr>
            </w:pPr>
          </w:p>
        </w:tc>
      </w:tr>
      <w:tr>
        <w:trPr>
          <w:trHeight w:val="230"/>
        </w:trPr>
        <w:tc>
          <w:tcPr>
            <w:tcW w:w="82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Long-term tax and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95,494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5"/>
          </w:tcPr>
          <w:p>
            <w:pPr>
              <w:ind w:left="68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2,160,831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2,168,415</w:t>
            </w:r>
          </w:p>
        </w:tc>
        <w:tc>
          <w:tcPr>
            <w:tcW w:w="0" w:type="dxa"/>
            <w:vAlign w:val="bottom"/>
          </w:tcPr>
          <w:p>
            <w:pPr>
              <w:spacing w:after="0"/>
              <w:rPr>
                <w:sz w:val="1"/>
                <w:szCs w:val="1"/>
                <w:color w:val="auto"/>
              </w:rPr>
            </w:pPr>
          </w:p>
        </w:tc>
      </w:tr>
      <w:tr>
        <w:trPr>
          <w:trHeight w:val="223"/>
        </w:trPr>
        <w:tc>
          <w:tcPr>
            <w:tcW w:w="8240" w:type="dxa"/>
            <w:vAlign w:val="bottom"/>
            <w:gridSpan w:val="5"/>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3,159,165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3,157,108</w:t>
            </w:r>
          </w:p>
        </w:tc>
        <w:tc>
          <w:tcPr>
            <w:tcW w:w="0" w:type="dxa"/>
            <w:vAlign w:val="bottom"/>
          </w:tcPr>
          <w:p>
            <w:pPr>
              <w:spacing w:after="0"/>
              <w:rPr>
                <w:sz w:val="1"/>
                <w:szCs w:val="1"/>
                <w:color w:val="auto"/>
              </w:rPr>
            </w:pPr>
          </w:p>
        </w:tc>
      </w:tr>
      <w:tr>
        <w:trPr>
          <w:trHeight w:val="209"/>
        </w:trPr>
        <w:tc>
          <w:tcPr>
            <w:tcW w:w="8240" w:type="dxa"/>
            <w:vAlign w:val="bottom"/>
            <w:gridSpan w:val="5"/>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5"/>
          </w:tcPr>
          <w:p>
            <w:pPr>
              <w:ind w:left="360"/>
              <w:spacing w:after="0"/>
              <w:rPr>
                <w:sz w:val="20"/>
                <w:szCs w:val="20"/>
                <w:color w:val="auto"/>
              </w:rPr>
            </w:pPr>
            <w:r>
              <w:rPr>
                <w:rFonts w:ascii="Arial" w:cs="Arial" w:eastAsia="Arial" w:hAnsi="Arial"/>
                <w:sz w:val="18"/>
                <w:szCs w:val="18"/>
                <w:color w:val="auto"/>
                <w:w w:val="91"/>
              </w:rPr>
              <w:t>Preferred stock—par value $.001 per share; Authorized shares: 5,000; Issued and outstanding shares: none</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Common stock and additional paid-in capital—par value $.001 per share; Authorized shares: 1,000,000;</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40" w:type="dxa"/>
            <w:vAlign w:val="bottom"/>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Issued shares: 354,071 at June 30, 2021 and 353,789 at December 31, 2020; Outstanding shares: 112,001 at</w:t>
            </w: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13,949,525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14,275,160</w:t>
            </w:r>
          </w:p>
        </w:tc>
        <w:tc>
          <w:tcPr>
            <w:tcW w:w="0" w:type="dxa"/>
            <w:vAlign w:val="bottom"/>
          </w:tcPr>
          <w:p>
            <w:pPr>
              <w:spacing w:after="0"/>
              <w:rPr>
                <w:sz w:val="1"/>
                <w:szCs w:val="1"/>
                <w:color w:val="auto"/>
              </w:rPr>
            </w:pPr>
          </w:p>
        </w:tc>
      </w:tr>
      <w:tr>
        <w:trPr>
          <w:trHeight w:val="230"/>
        </w:trPr>
        <w:tc>
          <w:tcPr>
            <w:tcW w:w="82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June 30, 2021 and 113,470 at December 31, 2020</w:t>
            </w: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5"/>
          </w:tcPr>
          <w:p>
            <w:pPr>
              <w:ind w:left="3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(15,364,476)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(15,662,602)</w:t>
            </w:r>
          </w:p>
        </w:tc>
        <w:tc>
          <w:tcPr>
            <w:tcW w:w="0" w:type="dxa"/>
            <w:vAlign w:val="bottom"/>
          </w:tcPr>
          <w:p>
            <w:pPr>
              <w:spacing w:after="0"/>
              <w:rPr>
                <w:sz w:val="1"/>
                <w:szCs w:val="1"/>
                <w:color w:val="auto"/>
              </w:rPr>
            </w:pPr>
          </w:p>
        </w:tc>
      </w:tr>
      <w:tr>
        <w:trPr>
          <w:trHeight w:val="229"/>
        </w:trPr>
        <w:tc>
          <w:tcPr>
            <w:tcW w:w="82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5"/>
          </w:tcPr>
          <w:p>
            <w:pPr>
              <w:ind w:left="680"/>
              <w:spacing w:after="0"/>
              <w:rPr>
                <w:sz w:val="20"/>
                <w:szCs w:val="20"/>
                <w:color w:val="auto"/>
              </w:rPr>
            </w:pPr>
            <w:r>
              <w:rPr>
                <w:rFonts w:ascii="Arial" w:cs="Arial" w:eastAsia="Arial" w:hAnsi="Arial"/>
                <w:sz w:val="18"/>
                <w:szCs w:val="18"/>
                <w:color w:val="auto"/>
              </w:rPr>
              <w:t>Total stockholders’ deficit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(1,417,785)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(1,390,198)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deficit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1,766,910</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626,889</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89,181</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15,494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73,610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213,845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212,979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206,780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413,044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Non-operating (loss)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382,461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486,595</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486,858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to compute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115,861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112,517</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115,544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112,905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116,137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68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 beginning of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(1,490,100)</w:t>
            </w:r>
          </w:p>
        </w:tc>
      </w:tr>
      <w:tr>
        <w:trPr>
          <w:trHeight w:val="148"/>
        </w:trPr>
        <w:tc>
          <w:tcPr>
            <w:tcW w:w="5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and additional paid-in capital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14,111,235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14,734,618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14,275,160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14,990,011</w:t>
            </w:r>
          </w:p>
        </w:tc>
      </w:tr>
      <w:tr>
        <w:trPr>
          <w:trHeight w:val="229"/>
        </w:trPr>
        <w:tc>
          <w:tcPr>
            <w:tcW w:w="5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Repurchase of common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(429,826)</w:t>
            </w:r>
          </w:p>
        </w:tc>
      </w:tr>
      <w:tr>
        <w:trPr>
          <w:trHeight w:val="230"/>
        </w:trPr>
        <w:tc>
          <w:tcPr>
            <w:tcW w:w="5200" w:type="dxa"/>
            <w:vAlign w:val="bottom"/>
          </w:tcPr>
          <w:p>
            <w:pPr>
              <w:ind w:left="56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24,448</w:t>
            </w:r>
          </w:p>
        </w:tc>
      </w:tr>
      <w:tr>
        <w:trPr>
          <w:trHeight w:val="229"/>
        </w:trPr>
        <w:tc>
          <w:tcPr>
            <w:tcW w:w="5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Issuance of common stock under stock plans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13,949,525</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14,592,929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13,949,525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14,592,929</w:t>
            </w:r>
          </w:p>
        </w:tc>
      </w:tr>
      <w:tr>
        <w:trPr>
          <w:trHeight w:val="129"/>
        </w:trPr>
        <w:tc>
          <w:tcPr>
            <w:tcW w:w="5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(15,512,248)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(16,477,490)</w:t>
            </w:r>
          </w:p>
        </w:tc>
      </w:tr>
      <w:tr>
        <w:trPr>
          <w:trHeight w:val="230"/>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486,595</w:t>
            </w:r>
          </w:p>
        </w:tc>
      </w:tr>
      <w:tr>
        <w:trPr>
          <w:trHeight w:val="22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(15,364,476)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(15,990,895)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(15,364,476)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(15,990,895)</w:t>
            </w:r>
          </w:p>
        </w:tc>
      </w:tr>
      <w:tr>
        <w:trPr>
          <w:trHeight w:val="129"/>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(2,621)</w:t>
            </w:r>
          </w:p>
        </w:tc>
      </w:tr>
      <w:tr>
        <w:trPr>
          <w:trHeight w:val="230"/>
        </w:trPr>
        <w:tc>
          <w:tcPr>
            <w:tcW w:w="5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r>
      <w:tr>
        <w:trPr>
          <w:trHeight w:val="128"/>
        </w:trPr>
        <w:tc>
          <w:tcPr>
            <w:tcW w:w="5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Total stockholders’ deficit,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(1,417,785)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(1,400,324)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(1,417,785)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(1,400,324)</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298,126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486,595</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680"/>
              <w:spacing w:after="0"/>
              <w:rPr>
                <w:sz w:val="20"/>
                <w:szCs w:val="20"/>
                <w:color w:val="auto"/>
              </w:rPr>
            </w:pPr>
            <w:r>
              <w:rPr>
                <w:rFonts w:ascii="Arial" w:cs="Arial" w:eastAsia="Arial" w:hAnsi="Arial"/>
                <w:sz w:val="18"/>
                <w:szCs w:val="18"/>
                <w:color w:val="auto"/>
              </w:rPr>
              <w:t>Depreciation of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22,841</w:t>
            </w:r>
          </w:p>
        </w:tc>
      </w:tr>
      <w:tr>
        <w:trPr>
          <w:trHeight w:val="230"/>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23,428</w:t>
            </w:r>
          </w:p>
        </w:tc>
      </w:tr>
      <w:tr>
        <w:trPr>
          <w:trHeight w:val="229"/>
        </w:trPr>
        <w:tc>
          <w:tcPr>
            <w:tcW w:w="8240" w:type="dxa"/>
            <w:vAlign w:val="bottom"/>
          </w:tcPr>
          <w:p>
            <w:pPr>
              <w:ind w:left="6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(8,101)</w:t>
            </w:r>
          </w:p>
        </w:tc>
      </w:tr>
      <w:tr>
        <w:trPr>
          <w:trHeight w:val="229"/>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8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(10,146)</w:t>
            </w:r>
          </w:p>
        </w:tc>
      </w:tr>
      <w:tr>
        <w:trPr>
          <w:trHeight w:val="229"/>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25,796</w:t>
            </w:r>
          </w:p>
        </w:tc>
      </w:tr>
      <w:tr>
        <w:trPr>
          <w:trHeight w:val="229"/>
        </w:trPr>
        <w:tc>
          <w:tcPr>
            <w:tcW w:w="8240" w:type="dxa"/>
            <w:vAlign w:val="bottom"/>
          </w:tcPr>
          <w:p>
            <w:pPr>
              <w:ind w:left="880"/>
              <w:spacing w:after="0"/>
              <w:rPr>
                <w:sz w:val="20"/>
                <w:szCs w:val="20"/>
                <w:color w:val="auto"/>
              </w:rPr>
            </w:pPr>
            <w:r>
              <w:rPr>
                <w:rFonts w:ascii="Arial" w:cs="Arial" w:eastAsia="Arial" w:hAnsi="Arial"/>
                <w:sz w:val="18"/>
                <w:szCs w:val="18"/>
                <w:color w:val="auto"/>
              </w:rPr>
              <w:t>Deferred revenues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30,430</w:t>
            </w:r>
          </w:p>
        </w:tc>
      </w:tr>
      <w:tr>
        <w:trPr>
          <w:trHeight w:val="230"/>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deferred income taxes and other long-term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(175,471)</w:t>
            </w:r>
          </w:p>
        </w:tc>
      </w:tr>
      <w:tr>
        <w:trPr>
          <w:trHeight w:val="223"/>
        </w:trPr>
        <w:tc>
          <w:tcPr>
            <w:tcW w:w="82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395,372</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Proceeds from maturities and sales of 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1,482,952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995,194</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(1,167,680)</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(21,891)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received related to sale of business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20,009</w:t>
            </w:r>
          </w:p>
        </w:tc>
      </w:tr>
      <w:tr>
        <w:trPr>
          <w:trHeight w:val="223"/>
        </w:trPr>
        <w:tc>
          <w:tcPr>
            <w:tcW w:w="82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(164,884)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(174,368)</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Repayment of borrowings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senior note issuance, net of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(429,826)</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employee stock purchase plan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r>
      <w:tr>
        <w:trPr>
          <w:trHeight w:val="223"/>
        </w:trPr>
        <w:tc>
          <w:tcPr>
            <w:tcW w:w="82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(421,530)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(201,491)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517,601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316,110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Supplemental cash flow disclosures: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9"/>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for income taxes, net of refunds received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Interim Financial Statements</w:t>
      </w:r>
    </w:p>
    <w:p>
      <w:pPr>
        <w:spacing w:after="0" w:line="90"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by VeriSign, Inc. (“Verisign” or the “Company”) in accordance with the instructions to Form 10-Q pursuant to the rules and regulations of the Securities and Exchange Commission (“SEC”) and, therefore, do not include all information and notes normally provided in audited financial statements. In the opinion of management, all adjustments (consisting of normal recurring accruals and other adjustments) considered necessary for a fair presentation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Verisign’s Annual Report on Form 10-K for the year ended December 31, 2020 (the “2020 Form 10-K”) filed with the SEC on February 19,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Marketable Securities</w:t>
      </w:r>
    </w:p>
    <w:p>
      <w:pPr>
        <w:spacing w:after="0" w:line="63"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following table summarizes the Company’s cash, cash equivalents, and marketable securities and the fair value categorization of the financial instruments measured at fair value on a recurring basis: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6"/>
                <w:szCs w:val="16"/>
                <w:color w:val="auto"/>
              </w:rPr>
            </w:pPr>
          </w:p>
        </w:tc>
        <w:tc>
          <w:tcPr>
            <w:tcW w:w="1240" w:type="dxa"/>
            <w:vAlign w:val="bottom"/>
          </w:tcPr>
          <w:p>
            <w:pPr>
              <w:jc w:val="right"/>
              <w:ind w:right="313"/>
              <w:spacing w:after="0"/>
              <w:rPr>
                <w:sz w:val="20"/>
                <w:szCs w:val="20"/>
                <w:color w:val="auto"/>
              </w:rPr>
            </w:pPr>
            <w:r>
              <w:rPr>
                <w:rFonts w:ascii="Arial" w:cs="Arial" w:eastAsia="Arial" w:hAnsi="Arial"/>
                <w:sz w:val="14"/>
                <w:szCs w:val="14"/>
                <w:b w:val="1"/>
                <w:bCs w:val="1"/>
                <w:color w:val="auto"/>
                <w:w w:val="90"/>
              </w:rPr>
              <w:t>December 31,</w:t>
            </w:r>
          </w:p>
        </w:tc>
      </w:tr>
      <w:tr>
        <w:trPr>
          <w:trHeight w:val="195"/>
        </w:trPr>
        <w:tc>
          <w:tcPr>
            <w:tcW w:w="7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187"/>
        </w:trPr>
        <w:tc>
          <w:tcPr>
            <w:tcW w:w="7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6"/>
                <w:szCs w:val="16"/>
                <w:color w:val="auto"/>
              </w:rPr>
            </w:pPr>
          </w:p>
        </w:tc>
      </w:tr>
      <w:tr>
        <w:trPr>
          <w:trHeight w:val="231"/>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28,832</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4,176</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 (Level 1)</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129,627</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securities issued by the U.S. Treasury (Level 1)</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1,013,679</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1,131,920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1,176,314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401,194</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long-term assets)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9,407</w:t>
            </w:r>
          </w:p>
        </w:tc>
      </w:tr>
      <w:tr>
        <w:trPr>
          <w:trHeight w:val="223"/>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410,601</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securities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765,713</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1,131,920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1,176,314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fair value of the debt securities held as of June 30, 2021, included less than $0.1 million of gross and net unrealized losses. All of the debt securities held as of June 30, 2021 are scheduled to mature in less than one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fair value of the Company’s investments in money market funds approximates their face value. Such instruments are included in Cash and cash equivalents. The fair value of the debt securities consisting of U.S. Treasury bills is based on their quoted market prices. Debt securities purchased with original maturities in excess of three months are included in Marketable securities. The fair value of all of these financial instruments are classified as Level 1 in the fair value hierarchy.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other financial instruments include cash, accounts receivable, restricted cash, and accounts payable. As of June 30, 2021, the carrying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value of these financial instruments approximated their fair value. The fair values of the senior notes due 2025, 2027, and 2031 were $568.2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$586.5 million, and $761.6 million, respectively, as of June 30, 2021. The fair values of these debt instruments are based on available market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public data sources and are classified as Level 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Selected Balance Sheet Items</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Current Assets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assets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080" w:type="dxa"/>
            <w:vAlign w:val="bottom"/>
          </w:tcPr>
          <w:p>
            <w:pPr>
              <w:jc w:val="center"/>
              <w:ind w:left="479"/>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center"/>
              <w:ind w:right="3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5"/>
        </w:trPr>
        <w:tc>
          <w:tcPr>
            <w:tcW w:w="7840" w:type="dxa"/>
            <w:vAlign w:val="bottom"/>
          </w:tcPr>
          <w:p>
            <w:pPr>
              <w:spacing w:after="0"/>
              <w:rPr>
                <w:sz w:val="16"/>
                <w:szCs w:val="16"/>
                <w:color w:val="auto"/>
              </w:rPr>
            </w:pPr>
          </w:p>
        </w:tc>
        <w:tc>
          <w:tcPr>
            <w:tcW w:w="1080" w:type="dxa"/>
            <w:vAlign w:val="bottom"/>
            <w:tcBorders>
              <w:bottom w:val="single" w:sz="8" w:color="auto"/>
            </w:tcBorders>
          </w:tcPr>
          <w:p>
            <w:pPr>
              <w:jc w:val="center"/>
              <w:ind w:left="479"/>
              <w:spacing w:after="0"/>
              <w:rPr>
                <w:sz w:val="20"/>
                <w:szCs w:val="20"/>
                <w:color w:val="auto"/>
              </w:rPr>
            </w:pPr>
            <w:r>
              <w:rPr>
                <w:rFonts w:ascii="Arial" w:cs="Arial" w:eastAsia="Arial" w:hAnsi="Arial"/>
                <w:sz w:val="14"/>
                <w:szCs w:val="14"/>
                <w:b w:val="1"/>
                <w:bCs w:val="1"/>
                <w:color w:val="auto"/>
                <w:w w:val="89"/>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30,690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17,920</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Prepaid registry fees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23,974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22,654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Taxes receivable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other current assets</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66,078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51,033</w:t>
            </w:r>
          </w:p>
        </w:tc>
        <w:tc>
          <w:tcPr>
            <w:tcW w:w="0" w:type="dxa"/>
            <w:vAlign w:val="bottom"/>
          </w:tcPr>
          <w:p>
            <w:pPr>
              <w:spacing w:after="0"/>
              <w:rPr>
                <w:sz w:val="1"/>
                <w:szCs w:val="1"/>
                <w:color w:val="auto"/>
              </w:rPr>
            </w:pPr>
          </w:p>
        </w:tc>
      </w:tr>
      <w:tr>
        <w:trPr>
          <w:trHeight w:val="21"/>
        </w:trPr>
        <w:tc>
          <w:tcPr>
            <w:tcW w:w="784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Other Long-Term Assets</w:t>
            </w: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8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40" w:type="dxa"/>
            <w:vAlign w:val="bottom"/>
          </w:tcPr>
          <w:p>
            <w:pPr>
              <w:ind w:left="460"/>
              <w:spacing w:after="0"/>
              <w:rPr>
                <w:sz w:val="20"/>
                <w:szCs w:val="20"/>
                <w:color w:val="auto"/>
              </w:rPr>
            </w:pPr>
            <w:r>
              <w:rPr>
                <w:rFonts w:ascii="Arial" w:cs="Arial" w:eastAsia="Arial" w:hAnsi="Arial"/>
                <w:sz w:val="18"/>
                <w:szCs w:val="18"/>
                <w:color w:val="auto"/>
              </w:rPr>
              <w:t>Other long-term assets consist of the following:</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7840" w:type="dxa"/>
            <w:vAlign w:val="bottom"/>
          </w:tcPr>
          <w:p>
            <w:pPr>
              <w:spacing w:after="0"/>
              <w:rPr>
                <w:sz w:val="24"/>
                <w:szCs w:val="24"/>
                <w:color w:val="auto"/>
              </w:rPr>
            </w:pPr>
          </w:p>
        </w:tc>
        <w:tc>
          <w:tcPr>
            <w:tcW w:w="1080" w:type="dxa"/>
            <w:vAlign w:val="bottom"/>
          </w:tcPr>
          <w:p>
            <w:pPr>
              <w:jc w:val="center"/>
              <w:ind w:left="479"/>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center"/>
              <w:ind w:right="3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5"/>
        </w:trPr>
        <w:tc>
          <w:tcPr>
            <w:tcW w:w="7840" w:type="dxa"/>
            <w:vAlign w:val="bottom"/>
          </w:tcPr>
          <w:p>
            <w:pPr>
              <w:spacing w:after="0"/>
              <w:rPr>
                <w:sz w:val="16"/>
                <w:szCs w:val="16"/>
                <w:color w:val="auto"/>
              </w:rPr>
            </w:pPr>
          </w:p>
        </w:tc>
        <w:tc>
          <w:tcPr>
            <w:tcW w:w="1080" w:type="dxa"/>
            <w:vAlign w:val="bottom"/>
            <w:tcBorders>
              <w:bottom w:val="single" w:sz="8" w:color="auto"/>
            </w:tcBorders>
          </w:tcPr>
          <w:p>
            <w:pPr>
              <w:jc w:val="center"/>
              <w:ind w:left="479"/>
              <w:spacing w:after="0"/>
              <w:rPr>
                <w:sz w:val="20"/>
                <w:szCs w:val="20"/>
                <w:color w:val="auto"/>
              </w:rPr>
            </w:pPr>
            <w:r>
              <w:rPr>
                <w:rFonts w:ascii="Arial" w:cs="Arial" w:eastAsia="Arial" w:hAnsi="Arial"/>
                <w:sz w:val="14"/>
                <w:szCs w:val="14"/>
                <w:b w:val="1"/>
                <w:bCs w:val="1"/>
                <w:color w:val="auto"/>
                <w:w w:val="89"/>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prepaid expenses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11,089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10,318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11,277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Long-term prepaid registry fees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other long-term assets</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40,651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37,958</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The prepaid expenses included in Other current assets and Other long-term assets as of June 30, 2021 are primarily related to prepaid hardware and software maintenance expenses. The current and long-term prepaid registry fees in the tables above relate to the fees the Company pays to Internet Corporation for Assigned Names and Numbers (“ICANN”) for each annual increment of .</w:t>
      </w:r>
      <w:r>
        <w:rPr>
          <w:rFonts w:ascii="Arial" w:cs="Arial" w:eastAsia="Arial" w:hAnsi="Arial"/>
          <w:sz w:val="16"/>
          <w:szCs w:val="16"/>
          <w:i w:val="1"/>
          <w:iCs w:val="1"/>
          <w:color w:val="auto"/>
        </w:rPr>
        <w:t>com</w:t>
      </w:r>
      <w:r>
        <w:rPr>
          <w:rFonts w:ascii="Arial" w:cs="Arial" w:eastAsia="Arial" w:hAnsi="Arial"/>
          <w:sz w:val="16"/>
          <w:szCs w:val="16"/>
          <w:color w:val="auto"/>
        </w:rPr>
        <w:t xml:space="preserve"> domain name registrations and renewals which are deferred and amortized over the domain name registration term. The amount of prepaid registry fees as of June 30, 2021 reflects amortization of $9.5 million and $18.8 million during the three and six months ended June 30, 2021 which was recorded in Cost of Revenues.</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Accounts Payable and Accrued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6"/>
                <w:szCs w:val="16"/>
                <w:color w:val="auto"/>
              </w:rPr>
            </w:pPr>
          </w:p>
        </w:tc>
        <w:tc>
          <w:tcPr>
            <w:tcW w:w="1240" w:type="dxa"/>
            <w:vAlign w:val="bottom"/>
          </w:tcPr>
          <w:p>
            <w:pPr>
              <w:jc w:val="right"/>
              <w:ind w:right="313"/>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3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3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52,659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53,631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 compensation</w:t>
            </w:r>
          </w:p>
        </w:tc>
        <w:tc>
          <w:tcPr>
            <w:tcW w:w="3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54,596</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3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24,408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payable and other non-income tax liabilities</w:t>
            </w:r>
          </w:p>
        </w:tc>
        <w:tc>
          <w:tcPr>
            <w:tcW w:w="3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27,194</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Accrued registry fees</w:t>
            </w:r>
          </w:p>
        </w:tc>
        <w:tc>
          <w:tcPr>
            <w:tcW w:w="3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13,090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incentives payable</w:t>
            </w:r>
          </w:p>
        </w:tc>
        <w:tc>
          <w:tcPr>
            <w:tcW w:w="3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liabilities</w:t>
            </w:r>
          </w:p>
        </w:tc>
        <w:tc>
          <w:tcPr>
            <w:tcW w:w="3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10,827</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accounts payable and accrued liabilities</w:t>
            </w:r>
          </w:p>
        </w:tc>
        <w:tc>
          <w:tcPr>
            <w:tcW w:w="3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208,642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2090"/>
              <w:spacing w:after="0"/>
              <w:rPr>
                <w:sz w:val="20"/>
                <w:szCs w:val="20"/>
                <w:color w:val="auto"/>
              </w:rPr>
            </w:pPr>
            <w:r>
              <w:rPr>
                <w:rFonts w:ascii="Arial" w:cs="Arial" w:eastAsia="Arial" w:hAnsi="Arial"/>
                <w:sz w:val="18"/>
                <w:szCs w:val="18"/>
                <w:color w:val="auto"/>
              </w:rPr>
              <w:t>8</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6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4" w:lineRule="exact"/>
        <w:rPr>
          <w:sz w:val="20"/>
          <w:szCs w:val="20"/>
          <w:color w:val="auto"/>
        </w:rPr>
      </w:pPr>
    </w:p>
    <w:p>
      <w:pPr>
        <w:ind w:right="100" w:firstLine="445"/>
        <w:spacing w:after="0" w:line="293" w:lineRule="auto"/>
        <w:rPr>
          <w:sz w:val="20"/>
          <w:szCs w:val="20"/>
          <w:color w:val="auto"/>
        </w:rPr>
      </w:pPr>
      <w:r>
        <w:rPr>
          <w:rFonts w:ascii="Arial" w:cs="Arial" w:eastAsia="Arial" w:hAnsi="Arial"/>
          <w:sz w:val="16"/>
          <w:szCs w:val="16"/>
          <w:color w:val="auto"/>
        </w:rPr>
        <w:t>Customer deposits primarily relate to advance payments to cover domain name registration activity by registrars. Accrued employee compensation primarily consists of liabilities for employee leave, salaries, payroll taxes, employee contributions to the employee stock purchase plan, and incentive compensation. Accrued employee incentive compensation as of December 31, 2020, was paid during the six months ended June 30, 2021. Interest payable varies at each period-end based on the payment due dates for each senior note issuance. Taxes payable and other tax liabilities reflect amounts accrued for the income tax provision and payments made during the period. Customer incentives payable includes amounts related to rebates and marketing programs payable to registrars. These amounts may vary from period to period due to the timing of payments.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Long-term Tax and Other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tax and other liabilities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317"/>
              <w:spacing w:after="0"/>
              <w:rPr>
                <w:sz w:val="20"/>
                <w:szCs w:val="20"/>
                <w:color w:val="auto"/>
              </w:rPr>
            </w:pPr>
            <w:r>
              <w:rPr>
                <w:rFonts w:ascii="Arial" w:cs="Arial" w:eastAsia="Arial" w:hAnsi="Arial"/>
                <w:sz w:val="14"/>
                <w:szCs w:val="14"/>
                <w:b w:val="1"/>
                <w:bCs w:val="1"/>
                <w:color w:val="auto"/>
                <w:w w:val="90"/>
              </w:rPr>
              <w:t>December 31,</w:t>
            </w:r>
          </w:p>
        </w:tc>
      </w:tr>
      <w:tr>
        <w:trPr>
          <w:trHeight w:val="195"/>
        </w:trPr>
        <w:tc>
          <w:tcPr>
            <w:tcW w:w="7700" w:type="dxa"/>
            <w:vAlign w:val="bottom"/>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r>
      <w:tr>
        <w:trPr>
          <w:trHeight w:val="187"/>
        </w:trPr>
        <w:tc>
          <w:tcPr>
            <w:tcW w:w="7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6"/>
                <w:szCs w:val="16"/>
                <w:color w:val="auto"/>
              </w:rPr>
            </w:pPr>
          </w:p>
        </w:tc>
      </w:tr>
      <w:tr>
        <w:trPr>
          <w:trHeight w:val="231"/>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tax liabilities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82,427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90,335</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operating lease liability</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r>
      <w:tr>
        <w:trPr>
          <w:trHeight w:val="248"/>
        </w:trPr>
        <w:tc>
          <w:tcPr>
            <w:tcW w:w="7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tax and other liabilities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86,296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95,494</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0" w:firstLine="405"/>
        <w:spacing w:after="0" w:line="277" w:lineRule="auto"/>
        <w:rPr>
          <w:sz w:val="20"/>
          <w:szCs w:val="20"/>
          <w:color w:val="auto"/>
        </w:rPr>
      </w:pPr>
      <w:r>
        <w:rPr>
          <w:rFonts w:ascii="Arial" w:cs="Arial" w:eastAsia="Arial" w:hAnsi="Arial"/>
          <w:sz w:val="18"/>
          <w:szCs w:val="18"/>
          <w:color w:val="auto"/>
        </w:rPr>
        <w:t>Long-term tax liabilities as of June 30, 2021 reflects a $7.7 million reclassification of a portion of the transition tax liability on accumulated foreign earnings from non-current to current as of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Stockholders’ Deficit</w:t>
      </w:r>
    </w:p>
    <w:p>
      <w:pPr>
        <w:spacing w:after="0" w:line="121" w:lineRule="exact"/>
        <w:rPr>
          <w:sz w:val="20"/>
          <w:szCs w:val="20"/>
          <w:color w:val="auto"/>
        </w:rPr>
      </w:pPr>
    </w:p>
    <w:p>
      <w:pPr>
        <w:ind w:right="220" w:firstLine="405"/>
        <w:spacing w:after="0" w:line="291" w:lineRule="auto"/>
        <w:rPr>
          <w:sz w:val="20"/>
          <w:szCs w:val="20"/>
          <w:color w:val="auto"/>
        </w:rPr>
      </w:pPr>
      <w:r>
        <w:rPr>
          <w:rFonts w:ascii="Arial" w:cs="Arial" w:eastAsia="Arial" w:hAnsi="Arial"/>
          <w:sz w:val="16"/>
          <w:szCs w:val="16"/>
          <w:color w:val="auto"/>
        </w:rPr>
        <w:t>Effective February 11, 2021, the Company’s Board of Directors authorized the repurchase of its common stock in the amount of $747.0 million, in addition to the $253.0 million that remained available for repurchases under the share repurchase program, for a total repurchase authorization of up to $1.00 billion under the program. The program has no expiration date. Purchases made under the program could be effected through open market transactions, block purchases, accelerated share repurchase agreements or other negotiated transactions. During the three and six months ended June 30, 2021, the Company repurchased 0.8 million and 1.7 million shares of its common stock, respectively, at an average stock price of $216.48 and $206.29, respectively. The aggregate cost of the repurchases in the three and six months ended June 30, 2021 was $172.5 million and $345.1 million, respectively. As of June 30, 2021, there was approximately $737.5 million remaining available for future share repurchases under the share repurchase program.</w:t>
      </w:r>
    </w:p>
    <w:p>
      <w:pPr>
        <w:spacing w:after="0" w:line="58"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During the six months ended June 30, 2021, the Company placed 0.1 million shares, at an average stock price of $203.95, and for an aggregate cost of $16.1 million, into treasury stock for purposes related to tax withholding upon vesting of Restricted Stock Units (“RSUs”).</w:t>
      </w:r>
    </w:p>
    <w:p>
      <w:pPr>
        <w:spacing w:after="0" w:line="62"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Since inception, the Company has repurchased 242.1 million shares of its common stock for an aggregate cost of $11.34 billion, which is presented as a reduction of Additional paid-in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Calculation of Earnings per Share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computation of weighted-average shares used in the calculation of basic and diluted earnings per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3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June 30,</w:t>
            </w:r>
          </w:p>
        </w:tc>
        <w:tc>
          <w:tcPr>
            <w:tcW w:w="2300" w:type="dxa"/>
            <w:vAlign w:val="bottom"/>
            <w:gridSpan w:val="3"/>
          </w:tcPr>
          <w:p>
            <w:pPr>
              <w:jc w:val="right"/>
              <w:ind w:right="455"/>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87"/>
        </w:trPr>
        <w:tc>
          <w:tcPr>
            <w:tcW w:w="564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3"/>
        </w:trPr>
        <w:tc>
          <w:tcPr>
            <w:tcW w:w="5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3"/>
          </w:tcPr>
          <w:p>
            <w:pPr>
              <w:ind w:left="940"/>
              <w:spacing w:after="0"/>
              <w:rPr>
                <w:sz w:val="20"/>
                <w:szCs w:val="20"/>
                <w:color w:val="auto"/>
              </w:rPr>
            </w:pPr>
            <w:r>
              <w:rPr>
                <w:rFonts w:ascii="Arial" w:cs="Arial" w:eastAsia="Arial" w:hAnsi="Arial"/>
                <w:sz w:val="14"/>
                <w:szCs w:val="14"/>
                <w:b w:val="1"/>
                <w:bCs w:val="1"/>
                <w:color w:val="auto"/>
                <w:w w:val="95"/>
              </w:rPr>
              <w:t>(In thousands)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1"/>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of common stock outstanding</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112,387</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112,757</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115,861</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Weighted-average potential shares of common stock outstanding:</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Unvested RSUs and ESPP</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Shares used to compute diluted earnings per share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112,517</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115,544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112,905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116,137</w:t>
            </w:r>
          </w:p>
        </w:tc>
      </w:tr>
      <w:tr>
        <w:trPr>
          <w:trHeight w:val="20"/>
        </w:trPr>
        <w:tc>
          <w:tcPr>
            <w:tcW w:w="5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color w:val="auto"/>
        </w:rPr>
        <w:t>The calculation of diluted weighted average shares outstanding excludes performance-based RSUs granted by the Company for which the relevant performance criteria have not been achieved. The number of potential shares excluded from the calculation was not significant in any period presented.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Revenues</w:t>
      </w:r>
    </w:p>
    <w:p>
      <w:pPr>
        <w:spacing w:after="0" w:line="10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Company generates revenues in the U.S.; Europe, the Middle East and Africa (“EMEA”); China; and certain other countries, including Canada, Australia, and Japan.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revenues disaggregated by geography, based on the billing addresses of our customers: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30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87"/>
        </w:trPr>
        <w:tc>
          <w:tcPr>
            <w:tcW w:w="56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83"/>
        </w:trPr>
        <w:tc>
          <w:tcPr>
            <w:tcW w:w="5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199,408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396,911</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105,069</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59,213</w:t>
            </w:r>
          </w:p>
        </w:tc>
      </w:tr>
      <w:tr>
        <w:trPr>
          <w:trHeight w:val="22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65,696</w:t>
            </w:r>
          </w:p>
        </w:tc>
      </w:tr>
      <w:tr>
        <w:trPr>
          <w:trHeight w:val="248"/>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626,889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firstLine="445"/>
        <w:spacing w:after="0" w:line="259" w:lineRule="auto"/>
        <w:rPr>
          <w:sz w:val="20"/>
          <w:szCs w:val="20"/>
          <w:color w:val="auto"/>
        </w:rPr>
      </w:pPr>
      <w:r>
        <w:rPr>
          <w:rFonts w:ascii="Arial" w:cs="Arial" w:eastAsia="Arial" w:hAnsi="Arial"/>
          <w:sz w:val="18"/>
          <w:szCs w:val="18"/>
          <w:color w:val="auto"/>
        </w:rPr>
        <w:t>Revenues in the table above are attributed to the country of domicile and the respective regions in which registrars are located; however, this may differ from the regions where the registrars operate or where registrants are located. Revenues for each region may be impacted by registrars reincorporating, relocating, or from acquisitions or changes in affiliations of resellers. Revenues for each region may also be impacted by registrars domiciled in one region, registering domain names in another region.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117"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As payment for domain name registrations and renewals are due in advance of our performance, we record these amounts as deferred revenues. The increase in the deferred revenues balance for the six months ended June 30, 2021 was primarily driven by amounts billed in the first half of 2021 for domain name registrations and renewals to be recognized as revenues in future periods, offset by refunds for domain name renewals deleted during the 45-day grace period, and $510.5 million of revenues recognized that were included in the deferred revenues balance at the beginning of the period. The balance of deferred revenues as of June 30, 2021 represents our aggregate remaining performance obligations. Amounts included in current deferred revenues are all expected to be recognized in revenues within 12 months, except for a portion of deferred revenues that relates to domain name renewals that are deleted in the 45-day grace period following the transaction. The long-term deferred revenues amounts will be recognized in revenues over several years and in some cases up to 10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108"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Stock-based compensation is classified in the Condensed Consolidated Statements of Comprehensive Income in the same expense line items as cash compensation. The following table presents the classification of stock-based compensation: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23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96"/>
        </w:trPr>
        <w:tc>
          <w:tcPr>
            <w:tcW w:w="56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87"/>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15,041</w:t>
            </w:r>
          </w:p>
        </w:tc>
      </w:tr>
      <w:tr>
        <w:trPr>
          <w:trHeight w:val="248"/>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nature of the Company’s total stock-based compensation: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23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87"/>
        </w:trPr>
        <w:tc>
          <w:tcPr>
            <w:tcW w:w="56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82"/>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18,189</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Performance-based RSUs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4,044</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Capitalization (included in Property and equipment,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r>
      <w:tr>
        <w:trPr>
          <w:trHeight w:val="248"/>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0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June 8, 2021, the Company issued $750.0 million of 2.700% senior unsecured notes due June 15, 2031 (“2031 Notes”). The 2031 Notes were issued at 99.712% of par value. The Company will pay interest on the notes semi-annually on June 15 and December 15, commencing on December 15, 2021. The total discount and issuance costs of $8.9 million are presented on the balance sheet as a reduction of the debt obligation and are being amortized to Interest expense over the 10-year term of the notes.</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June 23, 2021, the Company used the net proceeds from the 2031 Notes and cash on hand, to redeem all of its $750.0 million aggregate principal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amount of outstanding 4.625% senior notes due 2023 (“2023 Notes”). The redemption of the 2023 Notes resulted in a loss on debt extinguishment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 million related to the unamortized debt issuance costs on the notes. The loss on extinguishment is included in Non-operating (loss) income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and six months ended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Non-operating (Loss) Income, Net</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components of Non-operating income,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23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87"/>
        </w:trPr>
        <w:tc>
          <w:tcPr>
            <w:tcW w:w="56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83"/>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6,695</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Transition services income</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Total non-operating (loss) income,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14,487</w:t>
            </w:r>
          </w:p>
        </w:tc>
      </w:tr>
      <w:tr>
        <w:trPr>
          <w:trHeight w:val="21"/>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The lower interest income during the three and six months ended June 30, 2021 reflects a decline in interest rates on our investments in debt securities. The gain on sale of business in 2020 represents the excess of the contingent consideration received related to the divested security services business compared to the estimated receivable. The transition services income in 2020 relates to the divested security services business. The transition services agreement ended in February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Income tax expense (benefit) and the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183"/>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60" w:type="dxa"/>
            <w:vAlign w:val="bottom"/>
            <w:gridSpan w:val="4"/>
          </w:tcPr>
          <w:p>
            <w:pPr>
              <w:jc w:val="right"/>
              <w:ind w:right="759"/>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40,102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39,169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78,065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(104,134)</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21 %</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21 %</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47" w:lineRule="exact"/>
        <w:rPr>
          <w:sz w:val="20"/>
          <w:szCs w:val="20"/>
          <w:color w:val="auto"/>
        </w:rPr>
      </w:pPr>
    </w:p>
    <w:p>
      <w:pPr>
        <w:ind w:right="200" w:firstLine="405"/>
        <w:spacing w:after="0" w:line="248" w:lineRule="auto"/>
        <w:rPr>
          <w:sz w:val="20"/>
          <w:szCs w:val="20"/>
          <w:color w:val="auto"/>
        </w:rPr>
      </w:pPr>
      <w:r>
        <w:rPr>
          <w:rFonts w:ascii="Arial" w:cs="Arial" w:eastAsia="Arial" w:hAnsi="Arial"/>
          <w:sz w:val="18"/>
          <w:szCs w:val="18"/>
          <w:color w:val="auto"/>
        </w:rPr>
        <w:t>When compared to the statutory federal rate of 21%, the effective tax rates above reflect a lower effective tax rate on foreign income and excess tax benefits related to stock-based compensation, which are offset by state income taxes. The effective tax rate for the six months ended June 30, 2020 also reflected the remeasurement of unrecognized tax benefits discussed below.</w:t>
      </w:r>
    </w:p>
    <w:p>
      <w:pPr>
        <w:spacing w:after="0" w:line="20" w:lineRule="exact"/>
        <w:rPr>
          <w:sz w:val="20"/>
          <w:szCs w:val="20"/>
          <w:color w:val="auto"/>
        </w:rPr>
      </w:pPr>
    </w:p>
    <w:p>
      <w:pPr>
        <w:ind w:right="140" w:firstLine="405"/>
        <w:spacing w:after="0" w:line="284" w:lineRule="auto"/>
        <w:rPr>
          <w:sz w:val="20"/>
          <w:szCs w:val="20"/>
          <w:color w:val="auto"/>
        </w:rPr>
      </w:pPr>
      <w:r>
        <w:rPr>
          <w:rFonts w:ascii="Arial" w:cs="Arial" w:eastAsia="Arial" w:hAnsi="Arial"/>
          <w:sz w:val="16"/>
          <w:szCs w:val="16"/>
          <w:color w:val="auto"/>
        </w:rPr>
        <w:t>During the three months ended March 31, 2020, the Company remeasured its previously unrecognized income tax benefits relating to the worthless stock deduction taken in 2013. The remeasurement, which resulted in the recognition of a $167.8 million benefit in the first quarter of 2020, was based on Internal Revenue Service (“IRS”) written confirmation indicating no examination adjustment would be proposed. Notwithstanding this written confirmation, the Company’s U.S. federal income tax returns remain under examination by the IRS for 2010 through 2014.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i w:val="1"/>
          <w:iCs w:val="1"/>
          <w:color w:val="auto"/>
        </w:rPr>
        <w:t>You should read the following discussion in conjunction with the 2020 Form 10-K and the interim unaudited Condensed Consolidated Financial Statements and related notes included in Part I, Item I of this Quarterly Report on Form 10-Q.</w:t>
      </w:r>
    </w:p>
    <w:p>
      <w:pPr>
        <w:spacing w:after="0" w:line="62" w:lineRule="exact"/>
        <w:rPr>
          <w:sz w:val="20"/>
          <w:szCs w:val="20"/>
          <w:color w:val="auto"/>
        </w:rPr>
      </w:pPr>
    </w:p>
    <w:p>
      <w:pPr>
        <w:ind w:right="140" w:firstLine="445"/>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and Section 21E of the Securities Exchange Act of 1934, as amended (the “Exchange Act”). These forward-looking statements are based on current expectations and assumptions and involve risks and uncertainties, including, among other things, statements regarding our expectations about (i) the impact from the effects of the COVID-19 pandemic, (ii) the growth in revenues for the remainder of 2021, (iii) Cost of revenues, Sales and marketing expenses, Research and development expenses, General and administrative expenses, quarterly Interest expense, and quarterly Non-operating (loss) income, net, for the remainder of 2021, (iv) our annual effective tax rate for 2021, and (v) the sufficiency of our existing cash, cash equivalents and marketable securities, and funds generated from operations, together with our borrowing capacity under the unsecured revolving credit facility. Forward-looking statements include, among others, those statements including the words “expects,” “anticipates,” “intends,” “believes” and similar language. Our actual results may differ significantly from those projected in the forward-looking statements. Factors that might cause or contribute to such differences include, but are not limited to, those discussed in the section titled “Risk Factors” in Part I, Item 1A of the 2020 Form 10-K. You should also carefully review the risks described in other documents we file from time to time with the Securities and Exchange Commission, including the Quarterly Reports on Form 10-Q or Current Reports on Form 8-K that we file in 2021. You are cautioned not to place undue reliance on the forward-looking statements, which speak only as of the date of this Quarterly Report on Form 10-Q. We undertake no obligation to update publicly or revise such statements, whether as a result of new information, future events, or otherwise, except as required by law.</w:t>
      </w:r>
    </w:p>
    <w:p>
      <w:pPr>
        <w:spacing w:after="0" w:line="63"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i w:val="1"/>
          <w:iCs w:val="1"/>
          <w:color w:val="auto"/>
        </w:rPr>
        <w:t>For purposes of this Quarterly Report on Form 10-Q, the terms “Verisign,” “the Company,” “we,” “us,” and “our” refer to VeriSign, Inc. and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are a global provider of domain name registry services and internet infrastructure, enabling internet navigation for many of the world’s most recognized domain names. We enable the security, stability, and resiliency of key internet infrastructure and services, including providing root zone maintainer services, operating two of the 13 global internet root servers, and providing registration services and authoritative resolution for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top-level domains (“TLDs”), which support the majority of global e-commerce.</w:t>
      </w:r>
    </w:p>
    <w:p>
      <w:pPr>
        <w:spacing w:after="0" w:line="21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 xml:space="preserve">As of June 30, 2021, we had 170.6 million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registrations in the domain name base. The number of domain names registered is largely driven by continued growth in online advertising, e-commerce, and the number of internet users, which is partially driven by greater availability of internet access, as well as marketing activities carried out by us and our registrars. Growth in the number of domain name registrations under our management may be hindered by certain factors, including overall economic conditions, competition from country code top-level domains (“ccTLDs”), other generic top-level domains (“gTLDs”), services that offer alternatives for an online presence, such as social media, and ongoing changes in the internet practices and behaviors of consumers and businesses. Factors such as the evolving practices and preferences of internet users, and how they navigate the internet, as well as the motivation of domain name registrants and how they will manage their investment in domain names, can negatively impact our business and the demand for new domain name registrations and renewals.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Highlights and Trends</w:t>
      </w:r>
    </w:p>
    <w:p>
      <w:pPr>
        <w:spacing w:after="0" w:line="117" w:lineRule="exact"/>
        <w:rPr>
          <w:sz w:val="20"/>
          <w:szCs w:val="20"/>
          <w:color w:val="auto"/>
        </w:rPr>
      </w:pPr>
    </w:p>
    <w:p>
      <w:pPr>
        <w:ind w:left="980" w:right="120" w:hanging="405"/>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recorded revenues of $329.4 million and $653.0 million during the three and six months ended June 30, 2021, an increase of 5% and 4%, respectively, compared to the same periods in 2020.</w:t>
      </w:r>
    </w:p>
    <w:p>
      <w:pPr>
        <w:spacing w:after="0" w:line="62" w:lineRule="exact"/>
        <w:rPr>
          <w:rFonts w:ascii="Arial" w:cs="Arial" w:eastAsia="Arial" w:hAnsi="Arial"/>
          <w:sz w:val="18"/>
          <w:szCs w:val="18"/>
          <w:color w:val="auto"/>
        </w:rPr>
      </w:pPr>
    </w:p>
    <w:p>
      <w:pPr>
        <w:ind w:left="980" w:right="140" w:hanging="405"/>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recorded operating income of $213.0 million and $423.4 million during the three and six months ended June 30, 2021, an increase of 3% compared to the same periods in 2020.</w:t>
      </w:r>
    </w:p>
    <w:p>
      <w:pPr>
        <w:spacing w:after="0" w:line="62" w:lineRule="exact"/>
        <w:rPr>
          <w:rFonts w:ascii="Arial" w:cs="Arial" w:eastAsia="Arial" w:hAnsi="Arial"/>
          <w:sz w:val="18"/>
          <w:szCs w:val="18"/>
          <w:color w:val="auto"/>
        </w:rPr>
      </w:pPr>
    </w:p>
    <w:p>
      <w:pPr>
        <w:ind w:left="980" w:right="40" w:hanging="405"/>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As of June 30, 2021, we had 170.6 million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registrations in the domain name base, which represents a 5% increase from June 30, 2020, and a net increase of 2.6 million domain name registrations from March 31, 2021.</w:t>
      </w:r>
    </w:p>
    <w:p>
      <w:pPr>
        <w:spacing w:after="0" w:line="62" w:lineRule="exact"/>
        <w:rPr>
          <w:rFonts w:ascii="Arial" w:cs="Arial" w:eastAsia="Arial" w:hAnsi="Arial"/>
          <w:sz w:val="18"/>
          <w:szCs w:val="18"/>
          <w:color w:val="auto"/>
        </w:rPr>
      </w:pPr>
    </w:p>
    <w:p>
      <w:pPr>
        <w:ind w:left="980" w:right="160" w:hanging="405"/>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During the three months ended June 30, 2021, we processed 11.7 million new domain name registrations for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compared to 11.1 million for the same period in 2020.</w:t>
      </w:r>
    </w:p>
    <w:p>
      <w:pPr>
        <w:spacing w:after="0" w:line="62" w:lineRule="exact"/>
        <w:rPr>
          <w:rFonts w:ascii="Arial" w:cs="Arial" w:eastAsia="Arial" w:hAnsi="Arial"/>
          <w:sz w:val="18"/>
          <w:szCs w:val="18"/>
          <w:color w:val="auto"/>
        </w:rPr>
      </w:pPr>
    </w:p>
    <w:p>
      <w:pPr>
        <w:ind w:left="980" w:hanging="405"/>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final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renewal rate for the first quarter of 2021 was 76.0% compared to 75.4% for the first quarter of 2020. Renewal rates are not fully measurable until 45 days after the end of the quarter.</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left="980" w:right="560" w:hanging="405"/>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three months ended June 30, 2021, we repurchased 0.8 million shares of our common stock for an aggregate cost of $172.5 million. As of June 30, 2021, there was approximately $737.5 million remaining available for future share repurchases under our share repurchase program.</w:t>
      </w:r>
    </w:p>
    <w:p>
      <w:pPr>
        <w:spacing w:after="0" w:line="75" w:lineRule="exact"/>
        <w:rPr>
          <w:rFonts w:ascii="Arial" w:cs="Arial" w:eastAsia="Arial" w:hAnsi="Arial"/>
          <w:sz w:val="18"/>
          <w:szCs w:val="18"/>
          <w:color w:val="auto"/>
        </w:rPr>
      </w:pPr>
    </w:p>
    <w:p>
      <w:pPr>
        <w:ind w:left="980" w:right="140" w:hanging="405"/>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$340.8 million during the six months ended June 30, 2021, compared to $395.4 million for the same period in 2020.</w:t>
      </w:r>
    </w:p>
    <w:p>
      <w:pPr>
        <w:spacing w:after="0" w:line="62" w:lineRule="exact"/>
        <w:rPr>
          <w:rFonts w:ascii="Arial" w:cs="Arial" w:eastAsia="Arial" w:hAnsi="Arial"/>
          <w:sz w:val="18"/>
          <w:szCs w:val="18"/>
          <w:color w:val="auto"/>
        </w:rPr>
      </w:pPr>
    </w:p>
    <w:p>
      <w:pPr>
        <w:ind w:left="980" w:hanging="405"/>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June 8, 2021, we issued $750.0 million of 2.700% Senior Notes due June 15, 2031. On June 23, 2021, we used the net proceeds from the 2031 Notes, along with cash on hand, to redeem all of our $750.0 million aggregate principal amount of outstanding 4.625% Senior Notes due 2023.</w:t>
      </w:r>
    </w:p>
    <w:p>
      <w:pPr>
        <w:spacing w:after="0" w:line="21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Pursuant to our agreements with the Internet Corporation for Assigned Names and Numbers (“ICANN”), we make available files containing all active domain names registered in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registries. Further, we also make available a summary of the active zone count registered in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registries and the number of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domain name registrations in the domain name base. The zone counts and information on how to obtain access to the zone files can be found at https://www.Verisign.com/zone. The domain name base is the active zone plus the number of domain names that are registered but not configured for use in the respective top-level domain zone file plus the number of domain names that are in a client or server hold status. The domain name base may also reflect compensated or uncompensated judicial or administrative actions to add or remove from the active zone an immaterial number of domain names. These files and the related summary data are updated at least once per day. The update times may vary each day. The number of domain names provided in this Form 10-Q are as of midnight of the date reported.</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The United States and the global community we serve are facing unprecedented challenges posed by the COVID-19 pandemic. In response to the pandemic, we have established a task force to monitor the pandemic and have taken a number of actions to protect our employees, including restricting travel, modifying our sick leave policy to encourage quarantine and isolation when warranted, and directing most of our employees to work from home. We have implemented our readiness plans, which include the ability to maintain critical internet infrastructure with most employees working remotely. We believe that the effects of the pandemic to date have led to an increase in the demand for domain names, particularly as businesses and entrepreneurs have been seeking to establish or expand their presence online in response to the pandemic. Our revenues continued to grow during 2020 and the first half of 2021 primarily driven by an increase in the domain name base for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TLD; however, the situation remains uncertain and hard to predict. The broader implications of the pandemic on our business and operations and our financial results, including the extent to which the effects of the pandemic will impact future growth in the domain name base, remain uncertain. The duration and severity of the economic disruptions from the pandemic may ultimately result in negative impacts on our business and operations, results of operations, financial condition, cash flows, liquidity and capital and financial resources. For further discussion, see “Risk Factors – The effects of the COVID-19 pandemic have impacted how we operate our business, and the extent to which the effects of the pandemic will impact our business, operations, financial condition and results of operations remains uncertain” in Part 1, Item 1A of the 2020 Form 10-K.</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regarding our results of operations as a percentage of revenues: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10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3000" w:type="dxa"/>
            <w:vAlign w:val="bottom"/>
            <w:gridSpan w:val="3"/>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514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514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14.2</w:t>
            </w:r>
          </w:p>
        </w:tc>
      </w:tr>
      <w:tr>
        <w:trPr>
          <w:trHeight w:val="229"/>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5.7</w:t>
            </w:r>
          </w:p>
        </w:tc>
      </w:tr>
      <w:tr>
        <w:trPr>
          <w:trHeight w:val="229"/>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11.7</w:t>
            </w:r>
          </w:p>
        </w:tc>
      </w:tr>
      <w:tr>
        <w:trPr>
          <w:trHeight w:val="223"/>
        </w:trPr>
        <w:tc>
          <w:tcPr>
            <w:tcW w:w="51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34.1</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65.9</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(7.2)</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(loss) income, net</w:t>
            </w:r>
          </w:p>
        </w:tc>
        <w:tc>
          <w:tcPr>
            <w:tcW w:w="14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61.0</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4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16.6</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44.9 %</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45.7 %</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77.6 %</w:t>
            </w:r>
          </w:p>
        </w:tc>
      </w:tr>
      <w:tr>
        <w:trPr>
          <w:trHeight w:val="20"/>
        </w:trPr>
        <w:tc>
          <w:tcPr>
            <w:tcW w:w="5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 xml:space="preserve">Our revenues are primarily derived from registrations for domain names in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domain name registries. We also derive revenues from operating domain name registries for several other TLDs and from providing back-end registry services to a number of TLD registry operators, all of which are not significant in relation to our consolidated revenues. For domain names registered in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registries we receive a fee from registrars per annual registration that is determined pursuant to our agreements with ICANN. Individual customers, called registrants, contract directly with registrars or their resellers, and the registrars in turn register the domain names with Verisign. Changes in revenues are driven largely by changes in the number of new domain name registrations and the renewal rate for existing registrations as well as the impact of new and prior price increases, to the extent permitted by ICANN and the Department of Commerce (“DOC”). New registrations and the renewal rate for existing registrations are impacted by continued growth in online advertising, e-commerce, and the number of internet users, as well as marketing activities carried out by us and our registrars. We also offer promotional incentive-based discount programs to registrars based upon market conditions and the business environment in which the registrars operate.</w:t>
      </w:r>
    </w:p>
    <w:p>
      <w:pPr>
        <w:spacing w:after="0" w:line="5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 xml:space="preserve">The annual fee for a </w:t>
      </w:r>
      <w:r>
        <w:rPr>
          <w:rFonts w:ascii="Arial" w:cs="Arial" w:eastAsia="Arial" w:hAnsi="Arial"/>
          <w:sz w:val="16"/>
          <w:szCs w:val="16"/>
          <w:i w:val="1"/>
          <w:iCs w:val="1"/>
          <w:color w:val="auto"/>
        </w:rPr>
        <w:t>.com</w:t>
      </w:r>
      <w:r>
        <w:rPr>
          <w:rFonts w:ascii="Arial" w:cs="Arial" w:eastAsia="Arial" w:hAnsi="Arial"/>
          <w:sz w:val="16"/>
          <w:szCs w:val="16"/>
          <w:color w:val="auto"/>
        </w:rPr>
        <w:t xml:space="preserve"> domain name registration has been fixed at $7.85 since 2012. On October 26, 2018, Verisign and the DOC amended the Cooperative Agreement. The amendment, among other items, extends the term of the Cooperative Agreement until November 30, 2024 and permits the price of a </w:t>
      </w:r>
      <w:r>
        <w:rPr>
          <w:rFonts w:ascii="Arial" w:cs="Arial" w:eastAsia="Arial" w:hAnsi="Arial"/>
          <w:sz w:val="16"/>
          <w:szCs w:val="16"/>
          <w:i w:val="1"/>
          <w:iCs w:val="1"/>
          <w:color w:val="auto"/>
        </w:rPr>
        <w:t>.com</w:t>
      </w:r>
      <w:r>
        <w:rPr>
          <w:rFonts w:ascii="Arial" w:cs="Arial" w:eastAsia="Arial" w:hAnsi="Arial"/>
          <w:sz w:val="16"/>
          <w:szCs w:val="16"/>
          <w:color w:val="auto"/>
        </w:rPr>
        <w:t xml:space="preserve"> domain name to be increased, subject to appropriate changes to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without further DOC approval, by up to 7% in each of the final four years of each six-year period beginning on October 26, 2018. On March 27, 2020, Verisign and ICANN amended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that, among other items, incorporates these changes agreed to with the DOC to the pricing terms. On February 11, 2021, we announced that we will increase the annual registry-level wholesale fee for each new and renewal .</w:t>
      </w:r>
      <w:r>
        <w:rPr>
          <w:rFonts w:ascii="Arial" w:cs="Arial" w:eastAsia="Arial" w:hAnsi="Arial"/>
          <w:sz w:val="16"/>
          <w:szCs w:val="16"/>
          <w:i w:val="1"/>
          <w:iCs w:val="1"/>
          <w:color w:val="auto"/>
        </w:rPr>
        <w:t>com</w:t>
      </w:r>
      <w:r>
        <w:rPr>
          <w:rFonts w:ascii="Arial" w:cs="Arial" w:eastAsia="Arial" w:hAnsi="Arial"/>
          <w:sz w:val="16"/>
          <w:szCs w:val="16"/>
          <w:color w:val="auto"/>
        </w:rPr>
        <w:t xml:space="preserve"> domain name registration from $7.85 to $8.39, effective September 1, 2021. We have the contractual right to increase the fees for .</w:t>
      </w:r>
      <w:r>
        <w:rPr>
          <w:rFonts w:ascii="Arial" w:cs="Arial" w:eastAsia="Arial" w:hAnsi="Arial"/>
          <w:sz w:val="16"/>
          <w:szCs w:val="16"/>
          <w:i w:val="1"/>
          <w:iCs w:val="1"/>
          <w:color w:val="auto"/>
        </w:rPr>
        <w:t>net</w:t>
      </w:r>
      <w:r>
        <w:rPr>
          <w:rFonts w:ascii="Arial" w:cs="Arial" w:eastAsia="Arial" w:hAnsi="Arial"/>
          <w:sz w:val="16"/>
          <w:szCs w:val="16"/>
          <w:color w:val="auto"/>
        </w:rPr>
        <w:t xml:space="preserve"> domain name registrations by up to 10% each year during the term of our agreement with ICANN, through June 30, 2023. All fees paid to us for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registrations are in U.S. dollars.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revenues is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center"/>
              <w:ind w:left="462"/>
              <w:spacing w:after="0"/>
              <w:rPr>
                <w:sz w:val="20"/>
                <w:szCs w:val="20"/>
                <w:color w:val="auto"/>
              </w:rPr>
            </w:pPr>
            <w:r>
              <w:rPr>
                <w:rFonts w:ascii="Arial" w:cs="Arial" w:eastAsia="Arial" w:hAnsi="Arial"/>
                <w:sz w:val="14"/>
                <w:szCs w:val="14"/>
                <w:b w:val="1"/>
                <w:bCs w:val="1"/>
                <w:color w:val="auto"/>
                <w:w w:val="93"/>
              </w:rPr>
              <w:t>Three Months Ended 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center"/>
              <w:ind w:left="502"/>
              <w:spacing w:after="0"/>
              <w:rPr>
                <w:sz w:val="20"/>
                <w:szCs w:val="20"/>
                <w:color w:val="auto"/>
              </w:rPr>
            </w:pPr>
            <w:r>
              <w:rPr>
                <w:rFonts w:ascii="Arial" w:cs="Arial" w:eastAsia="Arial" w:hAnsi="Arial"/>
                <w:sz w:val="14"/>
                <w:szCs w:val="14"/>
                <w:b w:val="1"/>
                <w:bCs w:val="1"/>
                <w:color w:val="auto"/>
                <w:w w:val="92"/>
              </w:rPr>
              <w:t>Six Months Ended June 30,</w:t>
            </w:r>
          </w:p>
        </w:tc>
        <w:tc>
          <w:tcPr>
            <w:tcW w:w="840" w:type="dxa"/>
            <w:vAlign w:val="bottom"/>
            <w:tcBorders>
              <w:bottom w:val="single" w:sz="8" w:color="auto"/>
            </w:tcBorders>
          </w:tcPr>
          <w:p>
            <w:pPr>
              <w:spacing w:after="0"/>
              <w:rPr>
                <w:sz w:val="16"/>
                <w:szCs w:val="16"/>
                <w:color w:val="auto"/>
              </w:rPr>
            </w:pPr>
          </w:p>
        </w:tc>
      </w:tr>
      <w:tr>
        <w:trPr>
          <w:trHeight w:val="187"/>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r>
      <w:tr>
        <w:trPr>
          <w:trHeight w:val="183"/>
        </w:trPr>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6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(Dollars in thousands)</w:t>
            </w: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1"/>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329,405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314,365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653,026</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626,889</w:t>
            </w: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The following table compares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domain name registrations in the domain name base: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 2021</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Change</w:t>
            </w:r>
          </w:p>
        </w:tc>
        <w:tc>
          <w:tcPr>
            <w:tcW w:w="162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 2020</w:t>
            </w:r>
          </w:p>
        </w:tc>
      </w:tr>
      <w:tr>
        <w:trPr>
          <w:trHeight w:val="22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w w:val="96"/>
              </w:rPr>
              <w:t xml:space="preserve">.com </w:t>
            </w:r>
            <w:r>
              <w:rPr>
                <w:rFonts w:ascii="Arial" w:cs="Arial" w:eastAsia="Arial" w:hAnsi="Arial"/>
                <w:sz w:val="18"/>
                <w:szCs w:val="18"/>
                <w:color w:val="auto"/>
                <w:w w:val="96"/>
              </w:rPr>
              <w:t>and</w:t>
            </w:r>
            <w:r>
              <w:rPr>
                <w:rFonts w:ascii="Arial" w:cs="Arial" w:eastAsia="Arial" w:hAnsi="Arial"/>
                <w:sz w:val="18"/>
                <w:szCs w:val="18"/>
                <w:i w:val="1"/>
                <w:iCs w:val="1"/>
                <w:color w:val="auto"/>
                <w:w w:val="96"/>
              </w:rPr>
              <w:t xml:space="preserve"> .net </w:t>
            </w:r>
            <w:r>
              <w:rPr>
                <w:rFonts w:ascii="Arial" w:cs="Arial" w:eastAsia="Arial" w:hAnsi="Arial"/>
                <w:sz w:val="18"/>
                <w:szCs w:val="18"/>
                <w:color w:val="auto"/>
                <w:w w:val="96"/>
              </w:rPr>
              <w:t>domain name registrations in the domain name base</w:t>
            </w:r>
          </w:p>
        </w:tc>
        <w:tc>
          <w:tcPr>
            <w:tcW w:w="15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6"/>
              </w:rPr>
              <w:t>170.6 million</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6"/>
              </w:rPr>
              <w:t>162.1 million</w:t>
            </w:r>
          </w:p>
        </w:tc>
        <w:tc>
          <w:tcPr>
            <w:tcW w:w="20" w:type="dxa"/>
            <w:vAlign w:val="bottom"/>
          </w:tcPr>
          <w:p>
            <w:pPr>
              <w:spacing w:after="0"/>
              <w:rPr>
                <w:sz w:val="19"/>
                <w:szCs w:val="19"/>
                <w:color w:val="auto"/>
              </w:rPr>
            </w:pPr>
          </w:p>
        </w:tc>
      </w:tr>
      <w:tr>
        <w:trPr>
          <w:trHeight w:val="729"/>
        </w:trPr>
        <w:tc>
          <w:tcPr>
            <w:tcW w:w="5160" w:type="dxa"/>
            <w:vAlign w:val="bottom"/>
          </w:tcPr>
          <w:p>
            <w:pPr>
              <w:spacing w:after="0"/>
              <w:rPr>
                <w:sz w:val="24"/>
                <w:szCs w:val="24"/>
                <w:color w:val="auto"/>
              </w:rPr>
            </w:pPr>
          </w:p>
        </w:tc>
        <w:tc>
          <w:tcPr>
            <w:tcW w:w="1540" w:type="dxa"/>
            <w:vAlign w:val="bottom"/>
          </w:tcPr>
          <w:p>
            <w:pPr>
              <w:jc w:val="right"/>
              <w:ind w:right="890"/>
              <w:spacing w:after="0"/>
              <w:rPr>
                <w:sz w:val="20"/>
                <w:szCs w:val="20"/>
                <w:color w:val="auto"/>
              </w:rPr>
            </w:pPr>
            <w:r>
              <w:rPr>
                <w:rFonts w:ascii="Arial" w:cs="Arial" w:eastAsia="Arial" w:hAnsi="Arial"/>
                <w:sz w:val="18"/>
                <w:szCs w:val="18"/>
                <w:color w:val="auto"/>
              </w:rPr>
              <w:t>14</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Revenues increased by $15.0 million and $26.1 million during the three and six months ended June 30, 2021, respectively, as compared to the same periods last year, primarily due to an increase in revenues from the operation of the registry for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TLD driven by a 6% increase in the domain name base for .</w:t>
      </w:r>
      <w:r>
        <w:rPr>
          <w:rFonts w:ascii="Arial" w:cs="Arial" w:eastAsia="Arial" w:hAnsi="Arial"/>
          <w:sz w:val="18"/>
          <w:szCs w:val="18"/>
          <w:i w:val="1"/>
          <w:iCs w:val="1"/>
          <w:color w:val="auto"/>
        </w:rPr>
        <w:t>com</w:t>
      </w:r>
      <w:r>
        <w:rPr>
          <w:rFonts w:ascii="Arial" w:cs="Arial" w:eastAsia="Arial" w:hAnsi="Arial"/>
          <w:sz w:val="18"/>
          <w:szCs w:val="18"/>
          <w:color w:val="auto"/>
        </w:rPr>
        <w:t>.</w:t>
      </w:r>
    </w:p>
    <w:p>
      <w:pPr>
        <w:spacing w:after="0" w:line="7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Growth in the domain name base has been primarily driven by continued internet growth and marketing activities carried out by us and our registrars. However, competitive pressure from ccTLDs, other gTLDs, services that offer alternatives for an online presence, such as social media, ongoing changes in internet practices and behaviors of consumers and business, as well as the motivation of existing domain name registrants managing their investment in domain names, and historical global economic uncertainty, has limited the rate of growth of the domain name base in recent years and may do so in the remainder of 2021 and beyond.</w:t>
      </w:r>
    </w:p>
    <w:p>
      <w:pPr>
        <w:spacing w:after="0" w:line="80"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We expect revenues will continue to grow during the remainder of 2021 compared to the six months ended June 30, 2021, as a result of continued growth in the aggregate number of .</w:t>
      </w:r>
      <w:r>
        <w:rPr>
          <w:rFonts w:ascii="Arial" w:cs="Arial" w:eastAsia="Arial" w:hAnsi="Arial"/>
          <w:sz w:val="18"/>
          <w:szCs w:val="18"/>
          <w:i w:val="1"/>
          <w:iCs w:val="1"/>
          <w:color w:val="auto"/>
        </w:rPr>
        <w:t>com</w:t>
      </w:r>
      <w:r>
        <w:rPr>
          <w:rFonts w:ascii="Arial" w:cs="Arial" w:eastAsia="Arial" w:hAnsi="Arial"/>
          <w:sz w:val="18"/>
          <w:szCs w:val="18"/>
          <w:color w:val="auto"/>
        </w:rPr>
        <w:t xml:space="preserve"> domain names and the impact of the price increase for </w:t>
      </w:r>
      <w:r>
        <w:rPr>
          <w:rFonts w:ascii="Arial" w:cs="Arial" w:eastAsia="Arial" w:hAnsi="Arial"/>
          <w:sz w:val="18"/>
          <w:szCs w:val="18"/>
          <w:i w:val="1"/>
          <w:iCs w:val="1"/>
          <w:color w:val="auto"/>
        </w:rPr>
        <w:t>.com</w:t>
      </w:r>
      <w:r>
        <w:rPr>
          <w:rFonts w:ascii="Arial" w:cs="Arial" w:eastAsia="Arial" w:hAnsi="Arial"/>
          <w:sz w:val="18"/>
          <w:szCs w:val="18"/>
          <w:color w:val="auto"/>
        </w:rPr>
        <w:t xml:space="preserve"> domain names which becomes effective September 1, 2021.</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Geographic revenues</w:t>
      </w:r>
    </w:p>
    <w:p>
      <w:pPr>
        <w:spacing w:after="0" w:line="104"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We generate revenues in the U.S.; Europe, the Middle East and Africa (“EMEA”); China; and certain other countries, including Canada, Australia, and Japan.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comparison of our geographic revenues: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93"/>
              </w:rPr>
              <w:t>Three Months Ended 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2"/>
              </w:rPr>
              <w:t>Six Months Ended June 30,</w:t>
            </w:r>
          </w:p>
        </w:tc>
        <w:tc>
          <w:tcPr>
            <w:tcW w:w="800" w:type="dxa"/>
            <w:vAlign w:val="bottom"/>
            <w:tcBorders>
              <w:bottom w:val="single" w:sz="8" w:color="auto"/>
            </w:tcBorders>
          </w:tcPr>
          <w:p>
            <w:pPr>
              <w:spacing w:after="0"/>
              <w:rPr>
                <w:sz w:val="16"/>
                <w:szCs w:val="16"/>
                <w:color w:val="auto"/>
              </w:rPr>
            </w:pPr>
          </w:p>
        </w:tc>
      </w:tr>
      <w:tr>
        <w:trPr>
          <w:trHeight w:val="187"/>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r>
      <w:tr>
        <w:trPr>
          <w:trHeight w:val="183"/>
        </w:trPr>
        <w:tc>
          <w:tcPr>
            <w:tcW w:w="4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211,010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199,408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418,072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396,911</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57,714</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114,102</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105,069</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50,367</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59,213</w:t>
            </w:r>
          </w:p>
        </w:tc>
      </w:tr>
      <w:tr>
        <w:trPr>
          <w:trHeight w:val="22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35,746</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8%</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70,485</w:t>
            </w: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7%</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65,696</w:t>
            </w:r>
          </w:p>
        </w:tc>
      </w:tr>
      <w:tr>
        <w:trPr>
          <w:trHeight w:val="248"/>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329,405</w:t>
            </w: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653,026</w:t>
            </w: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626,889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Revenues in the table above are attributed to the country of domicile and the respective regions in which our registrars are located; however, this may differ from the regions where the registrars operate or where registrants are located. Revenue growth for each region may be impacted by registrars reincorporating, relocating, or from acquisitions or changes in affiliations of resellers. Revenue growth for each region may also be impacted by registrars domiciled in one region, registering domain names in another region. During the three and six months ended June 30, 2021, revenues increased in all regions except China. Revenues from registrars based in China declined during the three and six months ended June 30, 2021 as a result of lower new registrations and renewal rates in the country.</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71"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Cost of revenues consist primarily of salaries and employee benefits expenses for our personnel who manage the operational systems, depreciation expenses, operational costs associated with the delivery of our services, fees paid to ICANN, customer support and training, costs of facilities and computer equipment used in these activities, telecommunications expense and allocations of indirect costs such as corporate overhead.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Cost of revenues is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93"/>
              </w:rPr>
              <w:t>Three Months Ended 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3"/>
              </w:rPr>
              <w:t>Six Months Ended June 30,</w:t>
            </w:r>
          </w:p>
        </w:tc>
        <w:tc>
          <w:tcPr>
            <w:tcW w:w="740" w:type="dxa"/>
            <w:vAlign w:val="bottom"/>
            <w:tcBorders>
              <w:bottom w:val="single" w:sz="8" w:color="auto"/>
            </w:tcBorders>
          </w:tcPr>
          <w:p>
            <w:pPr>
              <w:spacing w:after="0"/>
              <w:rPr>
                <w:sz w:val="16"/>
                <w:szCs w:val="16"/>
                <w:color w:val="auto"/>
              </w:rPr>
            </w:pPr>
          </w:p>
        </w:tc>
      </w:tr>
      <w:tr>
        <w:trPr>
          <w:trHeight w:val="187"/>
        </w:trPr>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r>
      <w:tr>
        <w:trPr>
          <w:trHeight w:val="182"/>
        </w:trPr>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6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w w:val="96"/>
              </w:rPr>
              <w:t>(Dollars in thousands)</w:t>
            </w: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1"/>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47,796</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94,764</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89,181</w:t>
            </w:r>
          </w:p>
        </w:tc>
      </w:tr>
    </w:tbl>
    <w:p>
      <w:pPr>
        <w:spacing w:after="0" w:line="148"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 xml:space="preserve">Cost of revenues increased by $4.2 million during the three months ended June 30, 2021, compared to the same period last year, primarily due to a $1.6 million increase in registry fees payable to ICANN in connection with the operation of the registry for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TLD. Salary and employee benefits expenses also increased slightly due to an increase in average headcount.</w:t>
      </w:r>
    </w:p>
    <w:p>
      <w:pPr>
        <w:spacing w:after="0" w:line="49"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 xml:space="preserve">Cost of revenues increased by $5.6 million during the six months ended June 30, 2021, compared to the same period last year, primarily due to a $2.8 million increase in registry fees payable to ICANN in connection with the operation of the registry for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TLD. Salary and employee benefits expenses also increased slightly as the functional realignment of some headcount to research and development in the first quarter of 2020 was offset by other headcount increases throughout the rest of 2020 and the first half of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0" w:firstLine="445"/>
        <w:spacing w:after="0" w:line="277" w:lineRule="auto"/>
        <w:rPr>
          <w:sz w:val="20"/>
          <w:szCs w:val="20"/>
          <w:color w:val="auto"/>
        </w:rPr>
      </w:pPr>
      <w:r>
        <w:rPr>
          <w:rFonts w:ascii="Arial" w:cs="Arial" w:eastAsia="Arial" w:hAnsi="Arial"/>
          <w:sz w:val="18"/>
          <w:szCs w:val="18"/>
          <w:color w:val="auto"/>
        </w:rPr>
        <w:t>We expect Cost of revenues as a percentage of revenues to remain consistent during the remainder of 2021 compared to the six months ended June 30, 2021.</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04" w:lineRule="exact"/>
        <w:rPr>
          <w:sz w:val="20"/>
          <w:szCs w:val="20"/>
          <w:color w:val="auto"/>
        </w:rPr>
      </w:pPr>
    </w:p>
    <w:p>
      <w:pPr>
        <w:jc w:val="both"/>
        <w:ind w:right="300" w:firstLine="405"/>
        <w:spacing w:after="0" w:line="286" w:lineRule="auto"/>
        <w:rPr>
          <w:sz w:val="20"/>
          <w:szCs w:val="20"/>
          <w:color w:val="auto"/>
        </w:rPr>
      </w:pPr>
      <w:r>
        <w:rPr>
          <w:rFonts w:ascii="Arial" w:cs="Arial" w:eastAsia="Arial" w:hAnsi="Arial"/>
          <w:sz w:val="17"/>
          <w:szCs w:val="17"/>
          <w:color w:val="auto"/>
        </w:rPr>
        <w:t>Sales and marketing expenses consist primarily of salaries and other personnel-related expenses, travel and related expenses, trade shows, costs of computer and communications equipment and support services, facilities costs, consulting fees, costs of marketing programs, such as online, television, radio, print and direct mail advertising costs, and allocations of indirect costs such as corporate overhead.</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comparison of Sales and marketing expenses is presented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center"/>
              <w:ind w:left="364"/>
              <w:spacing w:after="0"/>
              <w:rPr>
                <w:sz w:val="20"/>
                <w:szCs w:val="20"/>
                <w:color w:val="auto"/>
              </w:rPr>
            </w:pPr>
            <w:r>
              <w:rPr>
                <w:rFonts w:ascii="Arial" w:cs="Arial" w:eastAsia="Arial" w:hAnsi="Arial"/>
                <w:sz w:val="14"/>
                <w:szCs w:val="14"/>
                <w:b w:val="1"/>
                <w:bCs w:val="1"/>
                <w:color w:val="auto"/>
                <w:w w:val="93"/>
              </w:rPr>
              <w:t>Three Months Ended 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2"/>
              </w:rPr>
              <w:t>Six Months Ended June 30,</w:t>
            </w:r>
          </w:p>
        </w:tc>
        <w:tc>
          <w:tcPr>
            <w:tcW w:w="740" w:type="dxa"/>
            <w:vAlign w:val="bottom"/>
            <w:tcBorders>
              <w:bottom w:val="single" w:sz="8" w:color="auto"/>
            </w:tcBorders>
          </w:tcPr>
          <w:p>
            <w:pPr>
              <w:spacing w:after="0"/>
              <w:rPr>
                <w:sz w:val="16"/>
                <w:szCs w:val="16"/>
                <w:color w:val="auto"/>
              </w:rPr>
            </w:pPr>
          </w:p>
        </w:tc>
      </w:tr>
      <w:tr>
        <w:trPr>
          <w:trHeight w:val="187"/>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r>
      <w:tr>
        <w:trPr>
          <w:trHeight w:val="183"/>
        </w:trPr>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3"/>
          </w:tcPr>
          <w:p>
            <w:pPr>
              <w:jc w:val="center"/>
              <w:ind w:left="384"/>
              <w:spacing w:after="0"/>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3"/>
          </w:tcPr>
          <w:p>
            <w:pPr>
              <w:jc w:val="center"/>
              <w:ind w:left="424"/>
              <w:spacing w:after="0"/>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Pr>
          <w:p>
            <w:pPr>
              <w:spacing w:after="0"/>
              <w:rPr>
                <w:sz w:val="15"/>
                <w:szCs w:val="15"/>
                <w:color w:val="auto"/>
              </w:rPr>
            </w:pPr>
          </w:p>
        </w:tc>
      </w:tr>
      <w:tr>
        <w:trPr>
          <w:trHeight w:val="231"/>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10,221</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18,705</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15,494</w:t>
            </w:r>
          </w:p>
        </w:tc>
      </w:tr>
    </w:tbl>
    <w:p>
      <w:pPr>
        <w:spacing w:after="0" w:line="148"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Sales and marketing expenses increased by $1.3 million and $3.2 million during the three and six months ended June 30, 2021, respectively, compared to the same periods last year, due to a combination of individually insignificant factors.</w:t>
      </w:r>
    </w:p>
    <w:p>
      <w:pPr>
        <w:spacing w:after="0" w:line="62"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We expect Sales and marketing expenses as a percentage of revenues to remain consistent during the remainder of 2021, compared to the six months ended June 30, 2021.</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Research and development expenses consist primarily of costs related to research and development personnel, including salaries and other personnel-related expenses, consulting fees, facilities costs, computer and communications equipment, support services used in our service and technology development, and allocations of indirect costs such as corporate overhead.</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comparison of Research and development expenses is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93"/>
              </w:rPr>
              <w:t>Three Months Ended 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2"/>
              </w:rPr>
              <w:t>Six Months Ended June 30,</w:t>
            </w:r>
          </w:p>
        </w:tc>
        <w:tc>
          <w:tcPr>
            <w:tcW w:w="740" w:type="dxa"/>
            <w:vAlign w:val="bottom"/>
            <w:tcBorders>
              <w:bottom w:val="single" w:sz="8" w:color="auto"/>
            </w:tcBorders>
          </w:tcPr>
          <w:p>
            <w:pPr>
              <w:spacing w:after="0"/>
              <w:rPr>
                <w:sz w:val="16"/>
                <w:szCs w:val="16"/>
                <w:color w:val="auto"/>
              </w:rPr>
            </w:pPr>
          </w:p>
        </w:tc>
      </w:tr>
      <w:tr>
        <w:trPr>
          <w:trHeight w:val="187"/>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r>
      <w:tr>
        <w:trPr>
          <w:trHeight w:val="183"/>
        </w:trPr>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6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w w:val="96"/>
              </w:rPr>
              <w:t>(Dollars in thousands)</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1"/>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19,808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18,202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40,119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35,560</w:t>
            </w:r>
          </w:p>
        </w:tc>
      </w:tr>
    </w:tbl>
    <w:p>
      <w:pPr>
        <w:spacing w:after="0" w:line="148"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Research and development expenses increased by $1.6 million during the three months ended June 30, 2021, compared to the same period last year, due to a combination of individually insignificant factors.</w:t>
      </w:r>
    </w:p>
    <w:p>
      <w:pPr>
        <w:spacing w:after="0" w:line="62"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Research and development expenses increased by $4.6 million during the six months ended June 30, 2021, compared to the same period last year, primarily due to a $2.5 million increase in salary and employee benefits expenses, resulting from the functional realignment of some headcount from cost of revenues during the first quarter of 2020.</w:t>
      </w:r>
    </w:p>
    <w:p>
      <w:pPr>
        <w:spacing w:after="0" w:line="7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expect Research and development expenses as a percentage of revenues to remain consistent during the remainder of 2021 compared to the six months ended June 30, 2021.</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personnel-related expenses for our executive, administrative, legal, finance, information technology and human resources personnel, costs of facilities, computer and communications equipment, management information systems, support services, professional services fees, and certain tax and license fees, offset by allocations of indirect costs such as facilities and shared services expenses to other cost types.</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General and administrative expenses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93"/>
              </w:rPr>
              <w:t>Three Months Ended 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2"/>
              </w:rPr>
              <w:t>Six Months Ended June 30,</w:t>
            </w:r>
          </w:p>
        </w:tc>
        <w:tc>
          <w:tcPr>
            <w:tcW w:w="740" w:type="dxa"/>
            <w:vAlign w:val="bottom"/>
            <w:tcBorders>
              <w:bottom w:val="single" w:sz="8" w:color="auto"/>
            </w:tcBorders>
          </w:tcPr>
          <w:p>
            <w:pPr>
              <w:spacing w:after="0"/>
              <w:rPr>
                <w:sz w:val="16"/>
                <w:szCs w:val="16"/>
                <w:color w:val="auto"/>
              </w:rPr>
            </w:pPr>
          </w:p>
        </w:tc>
      </w:tr>
      <w:tr>
        <w:trPr>
          <w:trHeight w:val="187"/>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r>
      <w:tr>
        <w:trPr>
          <w:trHeight w:val="183"/>
        </w:trPr>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6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w w:val="96"/>
              </w:rPr>
              <w:t>(Dollars in thousands)</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1"/>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38,601</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36,885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76,052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73,610</w:t>
            </w:r>
          </w:p>
        </w:tc>
      </w:tr>
    </w:tbl>
    <w:p>
      <w:pPr>
        <w:spacing w:after="0" w:line="161"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General and administrative expenses increased by $1.7 million during the three months ended June 30, 2021, compared to the same period last year, due to a $2.8 million increase in salary and employee benefits expenses, partially offset by other individually insignificant factors. The increase in salary and employee benefits expenses was primarily due to an increase in average headcount and higher expenses for certain employee health insurance related benefits.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4" w:lineRule="exact"/>
        <w:rPr>
          <w:sz w:val="20"/>
          <w:szCs w:val="20"/>
          <w:color w:val="auto"/>
        </w:rPr>
      </w:pPr>
    </w:p>
    <w:p>
      <w:pPr>
        <w:jc w:val="both"/>
        <w:ind w:right="200" w:firstLine="445"/>
        <w:spacing w:after="0" w:line="305" w:lineRule="auto"/>
        <w:rPr>
          <w:sz w:val="20"/>
          <w:szCs w:val="20"/>
          <w:color w:val="auto"/>
        </w:rPr>
      </w:pPr>
      <w:r>
        <w:rPr>
          <w:rFonts w:ascii="Arial" w:cs="Arial" w:eastAsia="Arial" w:hAnsi="Arial"/>
          <w:sz w:val="15"/>
          <w:szCs w:val="15"/>
          <w:color w:val="auto"/>
        </w:rPr>
        <w:t>General and administrative expenses increased by $2.4 million during the six months ended June 30, 2021, compared to the same period last year, due to increases in salary and employee benefits expenses, stock-based compensation expenses, and equipment and software expenses, partially offset by an increase in overhead expenses allocated to other cost types and decreases in legal expenses and charitable contributions. Salary and employee benefits expenses increased by $4.8 million due to an increase in average headcount and higher expenses for certain employee health insurance related benefits.</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Stock-based compensation expenses increased by $2.3 million due to higher achievement levels on certain performance-based RSU grants and increases in the total value of RSUs granted in 2021. Overhead expenses allocated to other cost types increased by $2.5 million due to an increase in the total allocable expenses. Equipment and software expenses increased by $2.9 million due to expenses related to network security and other software services. Legal expenses decreased by $2.4 million due to a decrease in external legal costs on various projects. Charitable contributions decreased by $2.4 million due to contributions we made in the first half of 2020 to help with immediate COVID-related hardship and to support social justice efforts, compared to ongoing contributions in the first half of 2021.</w:t>
      </w:r>
    </w:p>
    <w:p>
      <w:pPr>
        <w:spacing w:after="0" w:line="8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expect General and administrative expenses as a percentage of revenues to remain consistent during the remainder of 2021 compared to the six months ended June 30, 2021.</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Interest expense remained consistent in the three and six months ended June 30, 2021 as compared to the same period last year. We expect quarterly Interest expense to decrease during the remainder of 2021 compared to the six months ended June 30, 2021 due to the lower interest rate on our 2031 Notes compared to the 2023 Notes which were redeemed in June 2021.</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Non-operating (loss) income, net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components of Non-operating income,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1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87"/>
        </w:trPr>
        <w:tc>
          <w:tcPr>
            <w:tcW w:w="59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183"/>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6,695</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Transition services income</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5940" w:type="dxa"/>
            <w:vAlign w:val="bottom"/>
          </w:tcPr>
          <w:p>
            <w:pPr>
              <w:ind w:left="360"/>
              <w:spacing w:after="0"/>
              <w:rPr>
                <w:sz w:val="20"/>
                <w:szCs w:val="20"/>
                <w:color w:val="auto"/>
              </w:rPr>
            </w:pPr>
            <w:r>
              <w:rPr>
                <w:rFonts w:ascii="Arial" w:cs="Arial" w:eastAsia="Arial" w:hAnsi="Arial"/>
                <w:sz w:val="18"/>
                <w:szCs w:val="18"/>
                <w:color w:val="auto"/>
              </w:rPr>
              <w:t>Total non-operating (loss) income,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14,487</w:t>
            </w: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redemption of the 2023 Notes resulted in a loss on debt extinguishment of $2.1 million related to the unamortized debt issuance costs on the notes. Interest income decreased in the three and six months ended June 30, 2021 due to a decline in interest rates on our investments in debt securities. The gain on sale of business in 2020 represents the excess of the contingent consideration received related to the divested security services business compared to the estimated receivable. The transition services income in 2020 relates to the divested security services business. The transition services agreement ended in February 2020.</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expect Non-operating (loss) income, net to be significant during the remainder of 2021.</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Income tax expense (benefit) and the effective tax rate: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0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5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183"/>
        </w:trPr>
        <w:tc>
          <w:tcPr>
            <w:tcW w:w="5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2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1"/>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40,102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39,169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78,065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(104,134)</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21 %</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21 %</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60" w:lineRule="exact"/>
        <w:rPr>
          <w:sz w:val="20"/>
          <w:szCs w:val="20"/>
          <w:color w:val="auto"/>
        </w:rPr>
      </w:pPr>
    </w:p>
    <w:p>
      <w:pPr>
        <w:ind w:right="200" w:firstLine="405"/>
        <w:spacing w:after="0" w:line="248" w:lineRule="auto"/>
        <w:rPr>
          <w:sz w:val="20"/>
          <w:szCs w:val="20"/>
          <w:color w:val="auto"/>
        </w:rPr>
      </w:pPr>
      <w:r>
        <w:rPr>
          <w:rFonts w:ascii="Arial" w:cs="Arial" w:eastAsia="Arial" w:hAnsi="Arial"/>
          <w:sz w:val="18"/>
          <w:szCs w:val="18"/>
          <w:color w:val="auto"/>
        </w:rPr>
        <w:t>When compared to the statutory federal rate of 21%, the effective tax rates above reflect a lower effective tax rate on foreign income and excess tax benefits related to stock-based compensation, which are offset by state income taxes. The effective tax rate for the six months ended June 30, 2020 also reflected the remeasurement of unrecognized tax benefits discussed below.</w:t>
      </w:r>
    </w:p>
    <w:p>
      <w:pPr>
        <w:spacing w:after="0" w:line="74" w:lineRule="exact"/>
        <w:rPr>
          <w:sz w:val="20"/>
          <w:szCs w:val="20"/>
          <w:color w:val="auto"/>
        </w:rPr>
      </w:pPr>
    </w:p>
    <w:p>
      <w:pPr>
        <w:ind w:firstLine="405"/>
        <w:spacing w:after="0" w:line="248" w:lineRule="auto"/>
        <w:rPr>
          <w:sz w:val="20"/>
          <w:szCs w:val="20"/>
          <w:color w:val="auto"/>
        </w:rPr>
      </w:pPr>
      <w:r>
        <w:rPr>
          <w:rFonts w:ascii="Arial" w:cs="Arial" w:eastAsia="Arial" w:hAnsi="Arial"/>
          <w:sz w:val="18"/>
          <w:szCs w:val="18"/>
          <w:color w:val="auto"/>
        </w:rPr>
        <w:t>During the three months ended March 31, 2020, we remeasured previously unrecognized income tax benefits relating to the worthless stock deduction taken in 2013. The remeasurement, which resulted in the recognition of a $167.8 million benefit in the first quarter of 2020, was based on IRS written confirmation indicating no examination adjustment would be proposed.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this written confirmation, our U.S. federal income tax returns remain under examination by the IRS for 2010 through 2014.</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expect our annual effective tax rate for 2021 to be between 20% and 23%.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principal sources of liquidity: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6"/>
                <w:szCs w:val="16"/>
                <w:color w:val="auto"/>
              </w:rPr>
            </w:pPr>
          </w:p>
        </w:tc>
        <w:tc>
          <w:tcPr>
            <w:tcW w:w="1240" w:type="dxa"/>
            <w:vAlign w:val="bottom"/>
          </w:tcPr>
          <w:p>
            <w:pPr>
              <w:jc w:val="right"/>
              <w:ind w:right="317"/>
              <w:spacing w:after="0"/>
              <w:rPr>
                <w:sz w:val="20"/>
                <w:szCs w:val="20"/>
                <w:color w:val="auto"/>
              </w:rPr>
            </w:pPr>
            <w:r>
              <w:rPr>
                <w:rFonts w:ascii="Arial" w:cs="Arial" w:eastAsia="Arial" w:hAnsi="Arial"/>
                <w:sz w:val="14"/>
                <w:szCs w:val="14"/>
                <w:b w:val="1"/>
                <w:bCs w:val="1"/>
                <w:color w:val="auto"/>
                <w:w w:val="90"/>
              </w:rPr>
              <w:t>December 31,</w:t>
            </w:r>
          </w:p>
        </w:tc>
      </w:tr>
      <w:tr>
        <w:trPr>
          <w:trHeight w:val="195"/>
        </w:trPr>
        <w:tc>
          <w:tcPr>
            <w:tcW w:w="7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r>
      <w:tr>
        <w:trPr>
          <w:trHeight w:val="186"/>
        </w:trPr>
        <w:tc>
          <w:tcPr>
            <w:tcW w:w="7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6"/>
                <w:szCs w:val="16"/>
                <w:color w:val="auto"/>
              </w:rPr>
            </w:pPr>
          </w:p>
        </w:tc>
      </w:tr>
      <w:tr>
        <w:trPr>
          <w:trHeight w:val="232"/>
        </w:trPr>
        <w:tc>
          <w:tcPr>
            <w:tcW w:w="78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216,497</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401,194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906,492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765,713</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1,122,989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1,166,907</w:t>
            </w:r>
          </w:p>
        </w:tc>
      </w:tr>
      <w:tr>
        <w:trPr>
          <w:trHeight w:val="21"/>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marketable securities primarily consist of debt securities issued by the U.S. Treasury meeting the criteria of our investment policy, which is focused on the preservation of our capital through investment in investment grade securities. The cash equivalents consist of amounts invested in money market funds, time deposits and U.S. Treasury bills purchased with original maturities of three months or less. As of June 30, 2021, all of our debt securities have contractual maturities of less than one year. Our cash and cash equivalents are readily accessible. For additional information on our investment portfolio, see Note 2, “Financial Instruments,” of our Notes to Condensed Consolidated Financial Statements in Part I, Item I of this Quarterly Report on Form 10-Q.</w:t>
      </w:r>
    </w:p>
    <w:p>
      <w:pPr>
        <w:spacing w:after="0" w:line="84"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During the three months ended June 30, 2021, we repurchased 0.8 million shares of our common stock for an aggregate cost of $172.5 million. As of June 30, 2021, there was approximately $737.5 million remaining available for future share repurchases under the share repurchase program which has no expiration date.</w:t>
      </w:r>
    </w:p>
    <w:p>
      <w:pPr>
        <w:spacing w:after="0" w:line="76"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June 8, 2021, the Company issued $750.0 million of 2.700% senior unsecured notes due June 15, 2031. On June 23, 2021, the Company used the net proceeds from the 2031 Notes, along with cash on hand, to redeem all of its $750.0 million aggregate principal amount of outstanding 4.625% senior notes due 2023. As of June 30, 2021, we also had $550.0 million principal amount outstanding of 4.75% senior unsecured notes due 2027 and $500.0 million principal amount outstanding of 5.25% senior unsecured notes due 2025. As of June 30, 2021, there were no borrowings outstanding under our $200.0 million credit facility that will expire in 2024.</w:t>
      </w:r>
    </w:p>
    <w:p>
      <w:pPr>
        <w:spacing w:after="0" w:line="80" w:lineRule="exact"/>
        <w:rPr>
          <w:sz w:val="20"/>
          <w:szCs w:val="20"/>
          <w:color w:val="auto"/>
        </w:rPr>
      </w:pPr>
    </w:p>
    <w:p>
      <w:pPr>
        <w:ind w:right="120" w:firstLine="405"/>
        <w:spacing w:after="0" w:line="311" w:lineRule="auto"/>
        <w:rPr>
          <w:sz w:val="20"/>
          <w:szCs w:val="20"/>
          <w:color w:val="auto"/>
        </w:rPr>
      </w:pPr>
      <w:r>
        <w:rPr>
          <w:rFonts w:ascii="Arial" w:cs="Arial" w:eastAsia="Arial" w:hAnsi="Arial"/>
          <w:sz w:val="16"/>
          <w:szCs w:val="16"/>
          <w:color w:val="auto"/>
        </w:rPr>
        <w:t>We believe existing cash, cash equivalents and marketable securities, and funds generated from operations, together with our borrowing capacity under the unsecured revolving credit facility should be sufficient to meet our working capital, capital expenditure requirements, and to service our debt for at least the next 12 months. We regularly assess our cash management approach and activities in view of our current and potential future needs.</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summary, our cash flows for the six months ended June 30, 2021 and 2020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183"/>
        </w:trPr>
        <w:tc>
          <w:tcPr>
            <w:tcW w:w="7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r>
      <w:tr>
        <w:trPr>
          <w:trHeight w:val="231"/>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340,844</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395,372</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(164,884)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(174,368)</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(421,530)</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decrease in cash, cash equivalents, and restricted cash</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(201,491)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740" w:firstLine="405"/>
        <w:spacing w:after="0" w:line="308" w:lineRule="auto"/>
        <w:rPr>
          <w:sz w:val="20"/>
          <w:szCs w:val="20"/>
          <w:color w:val="auto"/>
        </w:rPr>
      </w:pPr>
      <w:r>
        <w:rPr>
          <w:rFonts w:ascii="Arial" w:cs="Arial" w:eastAsia="Arial" w:hAnsi="Arial"/>
          <w:sz w:val="17"/>
          <w:szCs w:val="17"/>
          <w:color w:val="auto"/>
        </w:rPr>
        <w:t>Our largest source of operating cash flows is cash collections from our customers. Our primary uses of cash from operating activities are for personnel-related expenditures, and other general operating expenses, as well as payments related to taxes, interest and facilities.</w:t>
      </w:r>
    </w:p>
    <w:p>
      <w:pPr>
        <w:spacing w:after="0" w:line="38"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Net cash provided by operating activities decreased during the six months ended June 30, 2021, compared to the same period last year, primarily due to increases in cash paid for income taxes, cash paid to employees and vendors, cash paid for interest, and decreases in cash received from interest on investments and from transition services, partially offset by an increase in cash received from customers. Cash paid for income taxes increased primarily because we had deferred the U.S. federal tax payments due in the first half of 2020 to the third quarter of 2020 as allowed by IRS guidance, and we also paid comparatively higher state and foreign taxes. Cash paid to employees and vendors increased primarily due to the timing of payments and an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increase in operating expenses. Cash paid for interest increased as the result of the payment of interest on our 2023 Notes through the date of redemption. Cash received from interest on investments decreased due to a decline in interest rates. Cash received from transition services decreased due to the expiration of the transition services agreement related to our divested security services business in February 2020. Cash received from customers increased primarily due to higher domain name registrations and renewals.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changes in cash flows from investing activities primarily relate to purchases, maturities and sales of marketable securities, purchases of property and equipment and the sale of businesses.</w:t>
      </w:r>
    </w:p>
    <w:p>
      <w:pPr>
        <w:spacing w:after="0" w:line="62"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Net cash used in investing activities decreased during the six months ended June 30, 2021, compared to the same period last year, primarily due to a decrease in purchases of marketable securities, net of proceeds from maturities and sales of marketable securities, partially offset by payments received during 2020 related to our divested security services business and an increase in purchases of property and equipment.</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changes in cash flows from financing activities primarily relate to share repurchases, proceeds from and repayment of borrowings, and our employee stock purchase plan.</w:t>
      </w:r>
    </w:p>
    <w:p>
      <w:pPr>
        <w:spacing w:after="0" w:line="62" w:lineRule="exact"/>
        <w:rPr>
          <w:sz w:val="20"/>
          <w:szCs w:val="20"/>
          <w:color w:val="auto"/>
        </w:rPr>
      </w:pPr>
    </w:p>
    <w:p>
      <w:pPr>
        <w:ind w:right="240" w:firstLine="445"/>
        <w:spacing w:after="0" w:line="342" w:lineRule="auto"/>
        <w:rPr>
          <w:sz w:val="20"/>
          <w:szCs w:val="20"/>
          <w:color w:val="auto"/>
        </w:rPr>
      </w:pPr>
      <w:r>
        <w:rPr>
          <w:rFonts w:ascii="Arial" w:cs="Arial" w:eastAsia="Arial" w:hAnsi="Arial"/>
          <w:sz w:val="16"/>
          <w:szCs w:val="16"/>
          <w:color w:val="auto"/>
        </w:rPr>
        <w:t>Net cash used in financing activities decreased during the six months ended June 30, 2021, compared to the same period last year, primarily due to proceeds received from the issuance of the 2031 Notes and a decrease in share repurchases, partially offset by the redemption of our 2023 Notes.</w:t>
      </w:r>
    </w:p>
    <w:p>
      <w:pPr>
        <w:spacing w:after="0" w:line="255" w:lineRule="exact"/>
        <w:rPr>
          <w:sz w:val="20"/>
          <w:szCs w:val="20"/>
          <w:color w:val="auto"/>
        </w:rPr>
      </w:pPr>
    </w:p>
    <w:p>
      <w:pPr>
        <w:jc w:val="right"/>
        <w:ind w:right="3900"/>
        <w:spacing w:after="0" w:line="428" w:lineRule="auto"/>
        <w:rPr>
          <w:sz w:val="20"/>
          <w:szCs w:val="20"/>
          <w:color w:val="auto"/>
        </w:rPr>
      </w:pPr>
      <w:r>
        <w:rPr>
          <w:rFonts w:ascii="Arial" w:cs="Arial" w:eastAsia="Arial" w:hAnsi="Arial"/>
          <w:sz w:val="17"/>
          <w:szCs w:val="17"/>
          <w:b w:val="1"/>
          <w:bCs w:val="1"/>
          <w:color w:val="auto"/>
        </w:rPr>
        <w:t xml:space="preserve">ITEM 3.  QUANTITATIVE AND QUALITATIVE DISCLOSURES ABOUT MARKET RISK </w:t>
      </w:r>
      <w:r>
        <w:rPr>
          <w:rFonts w:ascii="Arial" w:cs="Arial" w:eastAsia="Arial" w:hAnsi="Arial"/>
          <w:sz w:val="17"/>
          <w:szCs w:val="17"/>
          <w:color w:val="auto"/>
        </w:rPr>
        <w:t>There have been no significant changes in our market risk exposures since December 31, 2020.</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Based on our management’s evaluation, with the participation of our Chief Executive Officer (our principal executive officer) and our Chief Financial Officer (our principal financial officer), as of June 30, 2021, our principal executive officer and principal financial officer have concluded that our disclosure controls and procedures (as defined in Rules 13a-15(e) and 15d-15(e) under the Exchange Act) are effective to ensure that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20" w:firstLine="445"/>
        <w:spacing w:after="0" w:line="263" w:lineRule="auto"/>
        <w:rPr>
          <w:sz w:val="20"/>
          <w:szCs w:val="20"/>
          <w:color w:val="auto"/>
        </w:rPr>
      </w:pPr>
      <w:r>
        <w:rPr>
          <w:rFonts w:ascii="Arial" w:cs="Arial" w:eastAsia="Arial" w:hAnsi="Arial"/>
          <w:sz w:val="18"/>
          <w:szCs w:val="18"/>
          <w:color w:val="auto"/>
        </w:rPr>
        <w:t>There was no change in our internal control over financial reporting (as such term is defined in Rules 13a-15(f) and 15d-15(f) under the Exchange Act) during the three months ended June 30, 2021 that has materially affected, or is reasonably likely to materially affect, the Company’s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Disclosure Controls and Internal Control over Financial Reporting</w:t>
      </w:r>
    </w:p>
    <w:p>
      <w:pPr>
        <w:spacing w:after="0" w:line="121"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 may become inadequate because of changes in conditions or that the degree of compliance with our policies or procedures may deteriorate.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260" w:firstLine="405"/>
        <w:spacing w:after="0" w:line="255" w:lineRule="auto"/>
        <w:rPr>
          <w:sz w:val="20"/>
          <w:szCs w:val="20"/>
          <w:color w:val="auto"/>
        </w:rPr>
      </w:pPr>
      <w:r>
        <w:rPr>
          <w:rFonts w:ascii="Arial" w:cs="Arial" w:eastAsia="Arial" w:hAnsi="Arial"/>
          <w:sz w:val="17"/>
          <w:szCs w:val="17"/>
          <w:color w:val="auto"/>
        </w:rPr>
        <w:t xml:space="preserve">As previously disclosed, a subsidiary of Afilias plc (“Afilias”), a competitor and losing bidder in the .web auction, filed a form of arbitration proceeding against ICANN, an Independent Review Process (“IRP”) under ICANN’s bylaws, on November 14, 2018. Afilias alleges that the agreement between Verisign and Nu Dotco, LLC (“NDC”) pertaining to </w:t>
      </w:r>
      <w:r>
        <w:rPr>
          <w:rFonts w:ascii="Arial" w:cs="Arial" w:eastAsia="Arial" w:hAnsi="Arial"/>
          <w:sz w:val="17"/>
          <w:szCs w:val="17"/>
          <w:i w:val="1"/>
          <w:iCs w:val="1"/>
          <w:color w:val="auto"/>
        </w:rPr>
        <w:t>.web</w:t>
      </w:r>
      <w:r>
        <w:rPr>
          <w:rFonts w:ascii="Arial" w:cs="Arial" w:eastAsia="Arial" w:hAnsi="Arial"/>
          <w:sz w:val="17"/>
          <w:szCs w:val="17"/>
          <w:color w:val="auto"/>
        </w:rPr>
        <w:t xml:space="preserve"> violated ICANN’s new gTLD Applicant Guidebook. As a result, Afilias claims that ICANN had a duty to disqualify NDC’s bid and award the </w:t>
      </w:r>
      <w:r>
        <w:rPr>
          <w:rFonts w:ascii="Arial" w:cs="Arial" w:eastAsia="Arial" w:hAnsi="Arial"/>
          <w:sz w:val="17"/>
          <w:szCs w:val="17"/>
          <w:i w:val="1"/>
          <w:iCs w:val="1"/>
          <w:color w:val="auto"/>
        </w:rPr>
        <w:t>.web</w:t>
      </w:r>
      <w:r>
        <w:rPr>
          <w:rFonts w:ascii="Arial" w:cs="Arial" w:eastAsia="Arial" w:hAnsi="Arial"/>
          <w:sz w:val="17"/>
          <w:szCs w:val="17"/>
          <w:color w:val="auto"/>
        </w:rPr>
        <w:t xml:space="preserve"> gTLD to Afilias. Afilias also claims that ICANN would violate its bylaws pertaining to competition by awarding the </w:t>
      </w:r>
      <w:r>
        <w:rPr>
          <w:rFonts w:ascii="Arial" w:cs="Arial" w:eastAsia="Arial" w:hAnsi="Arial"/>
          <w:sz w:val="17"/>
          <w:szCs w:val="17"/>
          <w:i w:val="1"/>
          <w:iCs w:val="1"/>
          <w:color w:val="auto"/>
        </w:rPr>
        <w:t>.web</w:t>
      </w:r>
      <w:r>
        <w:rPr>
          <w:rFonts w:ascii="Arial" w:cs="Arial" w:eastAsia="Arial" w:hAnsi="Arial"/>
          <w:sz w:val="17"/>
          <w:szCs w:val="17"/>
          <w:color w:val="auto"/>
        </w:rPr>
        <w:t xml:space="preserve"> gTLD to Verisign. Afilias amended its IRP request on March 21, 2019 in part to oppose Verisign’s and NDC’s participation in the IRP. A hearing was held on Verisign’s and NDC’s applications for participation and, on February 12, 2020, the IRP panel permitted Verisign and NDC to participate in aspects of the IRP. In early August 2020, the IRP panel held a hearing on Afilias’ claims.</w:t>
      </w:r>
    </w:p>
    <w:p>
      <w:pPr>
        <w:spacing w:after="0" w:line="20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7"/>
          <w:szCs w:val="17"/>
          <w:color w:val="auto"/>
        </w:rPr>
        <w:t xml:space="preserve">The IRP panel delivered its final decision on May 20, 2021. Consistent with Verisign’s position, the IRP panel dismissed Afilias’ claims for relief seeking to invalidate the </w:t>
      </w:r>
      <w:r>
        <w:rPr>
          <w:rFonts w:ascii="Arial" w:cs="Arial" w:eastAsia="Arial" w:hAnsi="Arial"/>
          <w:sz w:val="17"/>
          <w:szCs w:val="17"/>
          <w:i w:val="1"/>
          <w:iCs w:val="1"/>
          <w:color w:val="auto"/>
        </w:rPr>
        <w:t>.web</w:t>
      </w:r>
      <w:r>
        <w:rPr>
          <w:rFonts w:ascii="Arial" w:cs="Arial" w:eastAsia="Arial" w:hAnsi="Arial"/>
          <w:sz w:val="17"/>
          <w:szCs w:val="17"/>
          <w:color w:val="auto"/>
        </w:rPr>
        <w:t xml:space="preserve"> auction and to award the </w:t>
      </w:r>
      <w:r>
        <w:rPr>
          <w:rFonts w:ascii="Arial" w:cs="Arial" w:eastAsia="Arial" w:hAnsi="Arial"/>
          <w:sz w:val="17"/>
          <w:szCs w:val="17"/>
          <w:i w:val="1"/>
          <w:iCs w:val="1"/>
          <w:color w:val="auto"/>
        </w:rPr>
        <w:t>.web</w:t>
      </w:r>
      <w:r>
        <w:rPr>
          <w:rFonts w:ascii="Arial" w:cs="Arial" w:eastAsia="Arial" w:hAnsi="Arial"/>
          <w:sz w:val="17"/>
          <w:szCs w:val="17"/>
          <w:color w:val="auto"/>
        </w:rPr>
        <w:t xml:space="preserve"> TLD to Afilias, concluding that such issues were beyond the IRP panel’s jurisdiction. Furthermore, as Verisign expected, the IRP panel’s ruling recommends that ICANN’s Board of Directors consider the objections made regarding the </w:t>
      </w:r>
      <w:r>
        <w:rPr>
          <w:rFonts w:ascii="Arial" w:cs="Arial" w:eastAsia="Arial" w:hAnsi="Arial"/>
          <w:sz w:val="17"/>
          <w:szCs w:val="17"/>
          <w:i w:val="1"/>
          <w:iCs w:val="1"/>
          <w:color w:val="auto"/>
        </w:rPr>
        <w:t>.web</w:t>
      </w:r>
      <w:r>
        <w:rPr>
          <w:rFonts w:ascii="Arial" w:cs="Arial" w:eastAsia="Arial" w:hAnsi="Arial"/>
          <w:sz w:val="17"/>
          <w:szCs w:val="17"/>
          <w:color w:val="auto"/>
        </w:rPr>
        <w:t xml:space="preserve"> auction and then make a decision on those objections and the delegation of </w:t>
      </w:r>
      <w:r>
        <w:rPr>
          <w:rFonts w:ascii="Arial" w:cs="Arial" w:eastAsia="Arial" w:hAnsi="Arial"/>
          <w:sz w:val="17"/>
          <w:szCs w:val="17"/>
          <w:i w:val="1"/>
          <w:iCs w:val="1"/>
          <w:color w:val="auto"/>
        </w:rPr>
        <w:t>.web</w:t>
      </w:r>
      <w:r>
        <w:rPr>
          <w:rFonts w:ascii="Arial" w:cs="Arial" w:eastAsia="Arial" w:hAnsi="Arial"/>
          <w:sz w:val="17"/>
          <w:szCs w:val="17"/>
          <w:color w:val="auto"/>
        </w:rPr>
        <w:t>. With respect to ICANN, the ruling finds that certain actions and/or inaction by ICANN in response to Afilias’ objections violated aspects of ICANN's bylaws related to transparency and fairness.</w:t>
      </w:r>
    </w:p>
    <w:p>
      <w:pPr>
        <w:spacing w:after="0" w:line="201" w:lineRule="exact"/>
        <w:rPr>
          <w:sz w:val="20"/>
          <w:szCs w:val="20"/>
          <w:color w:val="auto"/>
        </w:rPr>
      </w:pPr>
    </w:p>
    <w:p>
      <w:pPr>
        <w:ind w:right="80" w:firstLine="405"/>
        <w:spacing w:after="0" w:line="284" w:lineRule="auto"/>
        <w:rPr>
          <w:sz w:val="20"/>
          <w:szCs w:val="20"/>
          <w:color w:val="auto"/>
        </w:rPr>
      </w:pPr>
      <w:r>
        <w:rPr>
          <w:rFonts w:ascii="Arial" w:cs="Arial" w:eastAsia="Arial" w:hAnsi="Arial"/>
          <w:sz w:val="16"/>
          <w:szCs w:val="16"/>
          <w:color w:val="auto"/>
        </w:rPr>
        <w:t xml:space="preserve">On June 19, 2021, Afilias filed an application to the IRP panel requesting that it interpret certain terms of, and make certain amendments to, the final decision. Verisign believes Afilias’ application is an unmeritorious request for reconsideration, which is not permitted under the applicable rules. Verisign expects the IRP panel to rule on Afilias’ application in Q4 2021. Verisign anticipates that once the IRP panel has ruled on Afilias’ application, ICANN’s Board will proceed consistent with the IRP panel’s recommendation to consider the objections and make a decision on the delegation of </w:t>
      </w:r>
      <w:r>
        <w:rPr>
          <w:rFonts w:ascii="Arial" w:cs="Arial" w:eastAsia="Arial" w:hAnsi="Arial"/>
          <w:sz w:val="16"/>
          <w:szCs w:val="16"/>
          <w:i w:val="1"/>
          <w:iCs w:val="1"/>
          <w:color w:val="auto"/>
        </w:rPr>
        <w:t>.web</w:t>
      </w:r>
      <w:r>
        <w:rPr>
          <w:rFonts w:ascii="Arial" w:cs="Arial" w:eastAsia="Arial" w:hAnsi="Arial"/>
          <w:sz w:val="16"/>
          <w:szCs w:val="16"/>
          <w:color w:val="auto"/>
        </w:rPr>
        <w:t>.</w:t>
      </w:r>
    </w:p>
    <w:p>
      <w:pPr>
        <w:spacing w:after="0" w:line="88" w:lineRule="exact"/>
        <w:rPr>
          <w:sz w:val="20"/>
          <w:szCs w:val="20"/>
          <w:color w:val="auto"/>
        </w:rPr>
      </w:pPr>
    </w:p>
    <w:p>
      <w:pPr>
        <w:ind w:right="100" w:firstLine="405"/>
        <w:spacing w:after="0" w:line="231" w:lineRule="auto"/>
        <w:rPr>
          <w:sz w:val="20"/>
          <w:szCs w:val="20"/>
          <w:color w:val="auto"/>
        </w:rPr>
      </w:pPr>
      <w:r>
        <w:rPr>
          <w:rFonts w:ascii="Arial" w:cs="Arial" w:eastAsia="Arial" w:hAnsi="Arial"/>
          <w:sz w:val="18"/>
          <w:szCs w:val="18"/>
          <w:color w:val="auto"/>
        </w:rPr>
        <w:t>We are also involved in various investigations, claims and lawsuits arising in the normal conduct of our business, none of which, in our opinion, will have a material adverse effect on our financial condition, results of operations, or cash flows. We cannot assure you that we will prevail in any litigation. Regardless of the outcome, any litigation may require us to incur significant litigation expense and may result in significant diversion of management attention.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firstLine="445"/>
        <w:spacing w:after="0" w:line="239" w:lineRule="auto"/>
        <w:rPr>
          <w:sz w:val="20"/>
          <w:szCs w:val="20"/>
          <w:color w:val="auto"/>
        </w:rPr>
      </w:pPr>
      <w:r>
        <w:rPr>
          <w:rFonts w:ascii="Arial" w:cs="Arial" w:eastAsia="Arial" w:hAnsi="Arial"/>
          <w:sz w:val="18"/>
          <w:szCs w:val="18"/>
          <w:i w:val="1"/>
          <w:iCs w:val="1"/>
          <w:color w:val="auto"/>
        </w:rPr>
        <w:t>Our business, operating results, financial condition, reputation, cash flows or prospects can be materially adversely affected by a number of factors including but not limited to those described in Part I, Item 1A of the 2020 Form 10-K under the heading “Risk Factors.” In such case, the trading price of our common stock could decline and you could lose part or all of your investment. Additional risks and uncertainties not currently known to us or that we currently deem immaterial may also materially adversely affect our business, operating results, financial condition, reputation, cash flows and prospects. Actual results could differ materially from those projected in the forward-looking statements contained in this Form 10-Q as a result of the risk factors described in Part I, Item 1A of the 2020 Form 10-K and in other filings we make with the SEC. There have been no material changes to the Company’s risk factors since the 2020 Form 10-K.</w:t>
      </w:r>
    </w:p>
    <w:p>
      <w:pPr>
        <w:spacing w:after="0" w:line="1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share repurchase activity during the three months ended June 30,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00" w:type="dxa"/>
            <w:vAlign w:val="bottom"/>
          </w:tcPr>
          <w:p>
            <w:pPr>
              <w:spacing w:after="0"/>
              <w:rPr>
                <w:sz w:val="14"/>
                <w:szCs w:val="14"/>
                <w:color w:val="auto"/>
              </w:rPr>
            </w:pPr>
          </w:p>
        </w:tc>
        <w:tc>
          <w:tcPr>
            <w:tcW w:w="1260" w:type="dxa"/>
            <w:vAlign w:val="bottom"/>
            <w:vMerge w:val="restart"/>
          </w:tcPr>
          <w:p>
            <w:pPr>
              <w:jc w:val="center"/>
              <w:ind w:left="202"/>
              <w:spacing w:after="0"/>
              <w:rPr>
                <w:sz w:val="20"/>
                <w:szCs w:val="20"/>
                <w:color w:val="auto"/>
              </w:rPr>
            </w:pPr>
            <w:r>
              <w:rPr>
                <w:rFonts w:ascii="Arial" w:cs="Arial" w:eastAsia="Arial" w:hAnsi="Arial"/>
                <w:sz w:val="14"/>
                <w:szCs w:val="14"/>
                <w:b w:val="1"/>
                <w:bCs w:val="1"/>
                <w:color w:val="auto"/>
                <w:w w:val="95"/>
              </w:rPr>
              <w:t>Approximate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of Shares</w:t>
            </w:r>
          </w:p>
        </w:tc>
        <w:tc>
          <w:tcPr>
            <w:tcW w:w="4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Purchased as</w:t>
            </w:r>
          </w:p>
        </w:tc>
        <w:tc>
          <w:tcPr>
            <w:tcW w:w="400" w:type="dxa"/>
            <w:vAlign w:val="bottom"/>
          </w:tcPr>
          <w:p>
            <w:pPr>
              <w:spacing w:after="0"/>
              <w:rPr>
                <w:sz w:val="11"/>
                <w:szCs w:val="11"/>
                <w:color w:val="auto"/>
              </w:rPr>
            </w:pPr>
          </w:p>
        </w:tc>
        <w:tc>
          <w:tcPr>
            <w:tcW w:w="1260" w:type="dxa"/>
            <w:vAlign w:val="bottom"/>
          </w:tcPr>
          <w:p>
            <w:pPr>
              <w:jc w:val="center"/>
              <w:ind w:left="222"/>
              <w:spacing w:after="0" w:line="135" w:lineRule="exact"/>
              <w:rPr>
                <w:sz w:val="20"/>
                <w:szCs w:val="20"/>
                <w:color w:val="auto"/>
              </w:rPr>
            </w:pPr>
            <w:r>
              <w:rPr>
                <w:rFonts w:ascii="Arial" w:cs="Arial" w:eastAsia="Arial" w:hAnsi="Arial"/>
                <w:sz w:val="14"/>
                <w:szCs w:val="14"/>
                <w:b w:val="1"/>
                <w:bCs w:val="1"/>
                <w:color w:val="auto"/>
                <w:w w:val="93"/>
              </w:rPr>
              <w:t>Dollar Value of</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400" w:type="dxa"/>
            <w:vAlign w:val="bottom"/>
          </w:tcPr>
          <w:p>
            <w:pPr>
              <w:spacing w:after="0"/>
              <w:rPr>
                <w:sz w:val="11"/>
                <w:szCs w:val="11"/>
                <w:color w:val="auto"/>
              </w:rPr>
            </w:pPr>
          </w:p>
        </w:tc>
        <w:tc>
          <w:tcPr>
            <w:tcW w:w="1380" w:type="dxa"/>
            <w:vAlign w:val="bottom"/>
            <w:vMerge w:val="restart"/>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400" w:type="dxa"/>
            <w:vAlign w:val="bottom"/>
          </w:tcPr>
          <w:p>
            <w:pPr>
              <w:spacing w:after="0"/>
              <w:rPr>
                <w:sz w:val="11"/>
                <w:szCs w:val="11"/>
                <w:color w:val="auto"/>
              </w:rPr>
            </w:pPr>
          </w:p>
        </w:tc>
        <w:tc>
          <w:tcPr>
            <w:tcW w:w="1840" w:type="dxa"/>
            <w:vAlign w:val="bottom"/>
            <w:gridSpan w:val="2"/>
          </w:tcPr>
          <w:p>
            <w:pPr>
              <w:jc w:val="center"/>
              <w:ind w:right="210"/>
              <w:spacing w:after="0" w:line="135"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Announced</w:t>
            </w:r>
          </w:p>
        </w:tc>
        <w:tc>
          <w:tcPr>
            <w:tcW w:w="400" w:type="dxa"/>
            <w:vAlign w:val="bottom"/>
          </w:tcPr>
          <w:p>
            <w:pPr>
              <w:spacing w:after="0"/>
              <w:rPr>
                <w:sz w:val="11"/>
                <w:szCs w:val="11"/>
                <w:color w:val="auto"/>
              </w:rPr>
            </w:pPr>
          </w:p>
        </w:tc>
        <w:tc>
          <w:tcPr>
            <w:tcW w:w="1840" w:type="dxa"/>
            <w:vAlign w:val="bottom"/>
            <w:gridSpan w:val="2"/>
          </w:tcPr>
          <w:p>
            <w:pPr>
              <w:jc w:val="center"/>
              <w:ind w:right="190"/>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of Shares</w:t>
            </w:r>
          </w:p>
        </w:tc>
        <w:tc>
          <w:tcPr>
            <w:tcW w:w="400" w:type="dxa"/>
            <w:vAlign w:val="bottom"/>
          </w:tcPr>
          <w:p>
            <w:pPr>
              <w:spacing w:after="0"/>
              <w:rPr>
                <w:sz w:val="11"/>
                <w:szCs w:val="11"/>
                <w:color w:val="auto"/>
              </w:rPr>
            </w:pPr>
          </w:p>
        </w:tc>
        <w:tc>
          <w:tcPr>
            <w:tcW w:w="1380" w:type="dxa"/>
            <w:vAlign w:val="bottom"/>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Price Paid</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Plans or</w:t>
            </w:r>
          </w:p>
        </w:tc>
        <w:tc>
          <w:tcPr>
            <w:tcW w:w="400" w:type="dxa"/>
            <w:vAlign w:val="bottom"/>
          </w:tcPr>
          <w:p>
            <w:pPr>
              <w:spacing w:after="0"/>
              <w:rPr>
                <w:sz w:val="11"/>
                <w:szCs w:val="11"/>
                <w:color w:val="auto"/>
              </w:rPr>
            </w:pPr>
          </w:p>
        </w:tc>
        <w:tc>
          <w:tcPr>
            <w:tcW w:w="1840" w:type="dxa"/>
            <w:vAlign w:val="bottom"/>
            <w:gridSpan w:val="2"/>
          </w:tcPr>
          <w:p>
            <w:pPr>
              <w:jc w:val="center"/>
              <w:ind w:right="190"/>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202"/>
              <w:spacing w:after="0"/>
              <w:rPr>
                <w:sz w:val="20"/>
                <w:szCs w:val="20"/>
                <w:color w:val="auto"/>
              </w:rPr>
            </w:pPr>
            <w:r>
              <w:rPr>
                <w:rFonts w:ascii="Arial" w:cs="Arial" w:eastAsia="Arial" w:hAnsi="Arial"/>
                <w:sz w:val="14"/>
                <w:szCs w:val="14"/>
                <w:b w:val="1"/>
                <w:bCs w:val="1"/>
                <w:color w:val="auto"/>
                <w:w w:val="94"/>
              </w:rPr>
              <w:t>Programs (1)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80" w:type="dxa"/>
            <w:vAlign w:val="bottom"/>
            <w:gridSpan w:val="2"/>
          </w:tcPr>
          <w:p>
            <w:pPr>
              <w:jc w:val="right"/>
              <w:ind w:right="621"/>
              <w:spacing w:after="0"/>
              <w:rPr>
                <w:sz w:val="20"/>
                <w:szCs w:val="20"/>
                <w:color w:val="auto"/>
              </w:rPr>
            </w:pPr>
            <w:r>
              <w:rPr>
                <w:rFonts w:ascii="Arial" w:cs="Arial" w:eastAsia="Arial" w:hAnsi="Arial"/>
                <w:sz w:val="14"/>
                <w:szCs w:val="14"/>
                <w:b w:val="1"/>
                <w:bCs w:val="1"/>
                <w:color w:val="auto"/>
              </w:rPr>
              <w:t>(Shares in thousands)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1 - 30, 2021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207.33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May 1 - 31, 2021</w:t>
            </w:r>
          </w:p>
        </w:tc>
        <w:tc>
          <w:tcPr>
            <w:tcW w:w="1600" w:type="dxa"/>
            <w:vAlign w:val="bottom"/>
          </w:tcPr>
          <w:p>
            <w:pPr>
              <w:jc w:val="right"/>
              <w:spacing w:after="0"/>
              <w:rPr>
                <w:sz w:val="20"/>
                <w:szCs w:val="20"/>
                <w:color w:val="auto"/>
              </w:rPr>
            </w:pPr>
            <w:r>
              <w:rPr>
                <w:rFonts w:ascii="Arial" w:cs="Arial" w:eastAsia="Arial" w:hAnsi="Arial"/>
                <w:sz w:val="18"/>
                <w:szCs w:val="18"/>
                <w:color w:val="auto"/>
              </w:rPr>
              <w:t>248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0"/>
              <w:spacing w:after="0"/>
              <w:rPr>
                <w:sz w:val="20"/>
                <w:szCs w:val="20"/>
                <w:color w:val="auto"/>
              </w:rPr>
            </w:pPr>
            <w:r>
              <w:rPr>
                <w:rFonts w:ascii="Arial" w:cs="Arial" w:eastAsia="Arial" w:hAnsi="Arial"/>
                <w:sz w:val="18"/>
                <w:szCs w:val="18"/>
                <w:color w:val="auto"/>
              </w:rPr>
              <w:t>220.95</w:t>
            </w:r>
          </w:p>
        </w:tc>
        <w:tc>
          <w:tcPr>
            <w:tcW w:w="1600" w:type="dxa"/>
            <w:vAlign w:val="bottom"/>
          </w:tcPr>
          <w:p>
            <w:pPr>
              <w:jc w:val="right"/>
              <w:spacing w:after="0"/>
              <w:rPr>
                <w:sz w:val="20"/>
                <w:szCs w:val="20"/>
                <w:color w:val="auto"/>
              </w:rPr>
            </w:pPr>
            <w:r>
              <w:rPr>
                <w:rFonts w:ascii="Arial" w:cs="Arial" w:eastAsia="Arial" w:hAnsi="Arial"/>
                <w:sz w:val="18"/>
                <w:szCs w:val="18"/>
                <w:color w:val="auto"/>
              </w:rPr>
              <w:t>248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797.7</w:t>
            </w:r>
          </w:p>
        </w:tc>
        <w:tc>
          <w:tcPr>
            <w:tcW w:w="580" w:type="dxa"/>
            <w:vAlign w:val="bottom"/>
          </w:tcPr>
          <w:p>
            <w:pPr>
              <w:ind w:left="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1 - 30, 2021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221.73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right="200" w:hanging="250"/>
        <w:spacing w:after="0" w:line="263" w:lineRule="auto"/>
        <w:tabs>
          <w:tab w:leader="none" w:pos="432"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February 11, 2021, our Board of Directors authorized the repurchase of our common stock in the amount of $747.0 million, in addition to the $253.0 million that remained available for repurchases under the share repurchase program, for a total repurchase authorization of up to $1.00 billion under the program. The share repurchase program has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540"/>
        <w:spacing w:after="0" w:line="277" w:lineRule="auto"/>
        <w:rPr>
          <w:sz w:val="20"/>
          <w:szCs w:val="20"/>
          <w:color w:val="auto"/>
        </w:rPr>
      </w:pPr>
      <w:r>
        <w:rPr>
          <w:rFonts w:ascii="Arial" w:cs="Arial" w:eastAsia="Arial" w:hAnsi="Arial"/>
          <w:sz w:val="18"/>
          <w:szCs w:val="18"/>
          <w:color w:val="auto"/>
        </w:rPr>
        <w:t>no expiration date. Purchases made under the program could be effected through open market transactions, block purchases, accelerated share repurchase agreements or other negotiated transactions.</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As required under Item 6—Exhibits, the exhibits filed as part of this report are provided in this separate section. The exhibits included in this section are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5560" w:type="dxa"/>
            <w:vAlign w:val="bottom"/>
            <w:gridSpan w:val="13"/>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420" w:type="dxa"/>
            <w:vAlign w:val="bottom"/>
          </w:tcPr>
          <w:p>
            <w:pPr>
              <w:spacing w:after="0"/>
              <w:rPr>
                <w:sz w:val="16"/>
                <w:szCs w:val="16"/>
                <w:color w:val="auto"/>
              </w:rPr>
            </w:pPr>
          </w:p>
        </w:tc>
        <w:tc>
          <w:tcPr>
            <w:tcW w:w="2380" w:type="dxa"/>
            <w:vAlign w:val="bottom"/>
            <w:gridSpan w:val="6"/>
            <w:vMerge w:val="restart"/>
          </w:tcPr>
          <w:p>
            <w:pPr>
              <w:spacing w:after="0"/>
              <w:rPr>
                <w:sz w:val="20"/>
                <w:szCs w:val="20"/>
                <w:color w:val="auto"/>
              </w:rPr>
            </w:pPr>
            <w:r>
              <w:rPr>
                <w:rFonts w:ascii="Arial" w:cs="Arial" w:eastAsia="Arial" w:hAnsi="Arial"/>
                <w:sz w:val="16"/>
                <w:szCs w:val="16"/>
                <w:b w:val="1"/>
                <w:bCs w:val="1"/>
                <w:color w:val="auto"/>
              </w:rPr>
              <w:t>Incorporated by Reference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5560" w:type="dxa"/>
            <w:vAlign w:val="bottom"/>
            <w:gridSpan w:val="13"/>
            <w:vMerge w:val="continue"/>
          </w:tcPr>
          <w:p>
            <w:pPr>
              <w:spacing w:after="0"/>
              <w:rPr>
                <w:sz w:val="18"/>
                <w:szCs w:val="18"/>
                <w:color w:val="auto"/>
              </w:rPr>
            </w:pPr>
          </w:p>
        </w:tc>
        <w:tc>
          <w:tcPr>
            <w:tcW w:w="420" w:type="dxa"/>
            <w:vAlign w:val="bottom"/>
          </w:tcPr>
          <w:p>
            <w:pPr>
              <w:spacing w:after="0"/>
              <w:rPr>
                <w:sz w:val="18"/>
                <w:szCs w:val="18"/>
                <w:color w:val="auto"/>
              </w:rPr>
            </w:pPr>
          </w:p>
        </w:tc>
        <w:tc>
          <w:tcPr>
            <w:tcW w:w="2380" w:type="dxa"/>
            <w:vAlign w:val="bottom"/>
            <w:gridSpan w:val="6"/>
            <w:vMerge w:val="continue"/>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0"/>
              </w:rPr>
              <w:t>Form</w:t>
            </w: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63"/>
        </w:trPr>
        <w:tc>
          <w:tcPr>
            <w:tcW w:w="920" w:type="dxa"/>
            <w:vAlign w:val="bottom"/>
          </w:tcPr>
          <w:p>
            <w:pPr>
              <w:ind w:left="2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60" w:type="dxa"/>
            <w:vAlign w:val="bottom"/>
            <w:gridSpan w:val="13"/>
          </w:tcPr>
          <w:p>
            <w:pP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Indenture, dated as of June 8, 2021, between VeriSign, Inc. and U.S. Bank</w:t>
              </w:r>
            </w:hyperlink>
          </w:p>
        </w:tc>
        <w:tc>
          <w:tcPr>
            <w:tcW w:w="420" w:type="dxa"/>
            <w:vAlign w:val="bottom"/>
          </w:tcPr>
          <w:p>
            <w:pPr>
              <w:ind w:left="20"/>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ind w:left="400"/>
              <w:spacing w:after="0"/>
              <w:rPr>
                <w:sz w:val="20"/>
                <w:szCs w:val="20"/>
                <w:color w:val="auto"/>
              </w:rPr>
            </w:pPr>
            <w:r>
              <w:rPr>
                <w:rFonts w:ascii="Arial" w:cs="Arial" w:eastAsia="Arial" w:hAnsi="Arial"/>
                <w:sz w:val="18"/>
                <w:szCs w:val="18"/>
                <w:color w:val="auto"/>
              </w:rPr>
              <w:t>6/8/2021</w:t>
            </w:r>
          </w:p>
        </w:tc>
        <w:tc>
          <w:tcPr>
            <w:tcW w:w="100" w:type="dxa"/>
            <w:vAlign w:val="bottom"/>
          </w:tcPr>
          <w:p>
            <w:pPr>
              <w:spacing w:after="0"/>
              <w:rPr>
                <w:sz w:val="22"/>
                <w:szCs w:val="22"/>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34">
              <w:r>
                <w:rPr>
                  <w:rFonts w:ascii="Arial" w:cs="Arial" w:eastAsia="Arial" w:hAnsi="Arial"/>
                  <w:sz w:val="18"/>
                  <w:szCs w:val="18"/>
                  <w:color w:val="0000FF"/>
                </w:rPr>
                <w:t>National 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60" w:type="dxa"/>
            <w:vAlign w:val="bottom"/>
            <w:gridSpan w:val="13"/>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First Supplemental Indenture, dated as of June 8, 2021, between VeriSign,</w:t>
              </w:r>
            </w:hyperlink>
          </w:p>
        </w:tc>
        <w:tc>
          <w:tcPr>
            <w:tcW w:w="420" w:type="dxa"/>
            <w:vAlign w:val="bottom"/>
          </w:tcPr>
          <w:p>
            <w:pPr>
              <w:ind w:left="20"/>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ind w:left="400"/>
              <w:spacing w:after="0"/>
              <w:rPr>
                <w:sz w:val="20"/>
                <w:szCs w:val="20"/>
                <w:color w:val="auto"/>
              </w:rPr>
            </w:pPr>
            <w:r>
              <w:rPr>
                <w:rFonts w:ascii="Arial" w:cs="Arial" w:eastAsia="Arial" w:hAnsi="Arial"/>
                <w:sz w:val="18"/>
                <w:szCs w:val="18"/>
                <w:color w:val="auto"/>
              </w:rPr>
              <w:t>6/8/2021</w:t>
            </w:r>
          </w:p>
        </w:tc>
        <w:tc>
          <w:tcPr>
            <w:tcW w:w="100" w:type="dxa"/>
            <w:vAlign w:val="bottom"/>
          </w:tcPr>
          <w:p>
            <w:pPr>
              <w:spacing w:after="0"/>
              <w:rPr>
                <w:sz w:val="22"/>
                <w:szCs w:val="22"/>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Inc. and U.S. Bank National Association, as trustee.</w:t>
              </w:r>
            </w:hyperlink>
          </w:p>
        </w:tc>
        <w:tc>
          <w:tcPr>
            <w:tcW w:w="160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20" w:type="dxa"/>
            <w:vAlign w:val="bottom"/>
          </w:tcPr>
          <w:p>
            <w:pPr>
              <w:ind w:left="20"/>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60" w:type="dxa"/>
            <w:vAlign w:val="bottom"/>
            <w:gridSpan w:val="13"/>
          </w:tcPr>
          <w:p>
            <w:pPr>
              <w:spacing w:after="0"/>
              <w:rPr>
                <w:rFonts w:ascii="Arial" w:cs="Arial" w:eastAsia="Arial" w:hAnsi="Arial"/>
                <w:sz w:val="18"/>
                <w:szCs w:val="18"/>
                <w:color w:val="0000FF"/>
                <w:w w:val="94"/>
              </w:rPr>
            </w:pPr>
            <w:hyperlink w:anchor="page23">
              <w:r>
                <w:rPr>
                  <w:rFonts w:ascii="Arial" w:cs="Arial" w:eastAsia="Arial" w:hAnsi="Arial"/>
                  <w:sz w:val="18"/>
                  <w:szCs w:val="18"/>
                  <w:color w:val="0000FF"/>
                  <w:w w:val="94"/>
                </w:rPr>
                <w:t>Certification of Principal Executive Officer pursuant to Exchange Act Rule</w:t>
              </w:r>
            </w:hyperlink>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23">
              <w:r>
                <w:rPr>
                  <w:rFonts w:ascii="Arial" w:cs="Arial" w:eastAsia="Arial" w:hAnsi="Arial"/>
                  <w:sz w:val="18"/>
                  <w:szCs w:val="18"/>
                  <w:color w:val="0000FF"/>
                </w:rPr>
                <w:t>13a-14(a).</w:t>
              </w:r>
            </w:hyperlink>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ind w:left="20"/>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60" w:type="dxa"/>
            <w:vAlign w:val="bottom"/>
            <w:gridSpan w:val="13"/>
          </w:tcPr>
          <w:p>
            <w:pPr>
              <w:spacing w:after="0"/>
              <w:rPr>
                <w:rFonts w:ascii="Arial" w:cs="Arial" w:eastAsia="Arial" w:hAnsi="Arial"/>
                <w:sz w:val="18"/>
                <w:szCs w:val="18"/>
                <w:color w:val="0000FF"/>
                <w:w w:val="95"/>
              </w:rPr>
            </w:pPr>
            <w:hyperlink w:anchor="page24">
              <w:r>
                <w:rPr>
                  <w:rFonts w:ascii="Arial" w:cs="Arial" w:eastAsia="Arial" w:hAnsi="Arial"/>
                  <w:sz w:val="18"/>
                  <w:szCs w:val="18"/>
                  <w:color w:val="0000FF"/>
                  <w:w w:val="95"/>
                </w:rPr>
                <w:t>Certification of Principal Financial Officer pursuant to Exchange Act Rule</w:t>
              </w:r>
            </w:hyperlink>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24">
              <w:r>
                <w:rPr>
                  <w:rFonts w:ascii="Arial" w:cs="Arial" w:eastAsia="Arial" w:hAnsi="Arial"/>
                  <w:sz w:val="18"/>
                  <w:szCs w:val="18"/>
                  <w:color w:val="0000FF"/>
                </w:rPr>
                <w:t>13a-14(a).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60" w:type="dxa"/>
            <w:vAlign w:val="bottom"/>
            <w:gridSpan w:val="13"/>
          </w:tcPr>
          <w:p>
            <w:pPr>
              <w:spacing w:after="0"/>
              <w:rPr>
                <w:rFonts w:ascii="Arial" w:cs="Arial" w:eastAsia="Arial" w:hAnsi="Arial"/>
                <w:sz w:val="18"/>
                <w:szCs w:val="18"/>
                <w:color w:val="0000FF"/>
                <w:w w:val="94"/>
              </w:rPr>
            </w:pPr>
            <w:hyperlink w:anchor="page25">
              <w:r>
                <w:rPr>
                  <w:rFonts w:ascii="Arial" w:cs="Arial" w:eastAsia="Arial" w:hAnsi="Arial"/>
                  <w:sz w:val="18"/>
                  <w:szCs w:val="18"/>
                  <w:color w:val="0000FF"/>
                  <w:w w:val="94"/>
                </w:rPr>
                <w:t>Certification of Principal Executive Officer pursuant to Exchange Act Rule</w:t>
              </w:r>
            </w:hyperlink>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12"/>
          </w:tcPr>
          <w:p>
            <w:pPr>
              <w:spacing w:after="0" w:line="156" w:lineRule="exact"/>
              <w:rPr>
                <w:rFonts w:ascii="Arial" w:cs="Arial" w:eastAsia="Arial" w:hAnsi="Arial"/>
                <w:sz w:val="18"/>
                <w:szCs w:val="18"/>
                <w:color w:val="0000FF"/>
                <w:w w:val="96"/>
              </w:rPr>
            </w:pPr>
            <w:hyperlink w:anchor="page25">
              <w:r>
                <w:rPr>
                  <w:rFonts w:ascii="Arial" w:cs="Arial" w:eastAsia="Arial" w:hAnsi="Arial"/>
                  <w:sz w:val="18"/>
                  <w:szCs w:val="18"/>
                  <w:color w:val="0000FF"/>
                  <w:w w:val="96"/>
                </w:rPr>
                <w:t>13a-14(b) and Section 1350 of Chapter 63 of Title 18 of the U.S. Code</w:t>
              </w:r>
            </w:hyperlink>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w:anchor="page25">
              <w:r>
                <w:rPr>
                  <w:rFonts w:ascii="Arial" w:cs="Arial" w:eastAsia="Arial" w:hAnsi="Arial"/>
                  <w:sz w:val="18"/>
                  <w:szCs w:val="18"/>
                  <w:color w:val="0000FF"/>
                  <w:w w:val="92"/>
                </w:rPr>
                <w:t>(18 U.S.C. 1350). *</w:t>
              </w:r>
            </w:hyperlink>
          </w:p>
        </w:tc>
        <w:tc>
          <w:tcPr>
            <w:tcW w:w="3660" w:type="dxa"/>
            <w:vAlign w:val="bottom"/>
            <w:tcBorders>
              <w:top w:val="single" w:sz="8" w:color="0000FF"/>
            </w:tcBorders>
            <w:gridSpan w:val="3"/>
          </w:tcPr>
          <w:p>
            <w:pPr>
              <w:spacing w:after="0"/>
              <w:rPr>
                <w:sz w:val="13"/>
                <w:szCs w:val="13"/>
                <w:color w:val="auto"/>
              </w:rPr>
            </w:pPr>
          </w:p>
        </w:tc>
        <w:tc>
          <w:tcPr>
            <w:tcW w:w="3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20" w:type="dxa"/>
            <w:vAlign w:val="bottom"/>
          </w:tcPr>
          <w:p>
            <w:pPr>
              <w:ind w:left="20"/>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60" w:type="dxa"/>
            <w:vAlign w:val="bottom"/>
            <w:gridSpan w:val="13"/>
          </w:tcPr>
          <w:p>
            <w:pPr>
              <w:spacing w:after="0"/>
              <w:rPr>
                <w:rFonts w:ascii="Arial" w:cs="Arial" w:eastAsia="Arial" w:hAnsi="Arial"/>
                <w:sz w:val="18"/>
                <w:szCs w:val="18"/>
                <w:color w:val="0000FF"/>
                <w:w w:val="95"/>
              </w:rPr>
            </w:pPr>
            <w:hyperlink w:anchor="page26">
              <w:r>
                <w:rPr>
                  <w:rFonts w:ascii="Arial" w:cs="Arial" w:eastAsia="Arial" w:hAnsi="Arial"/>
                  <w:sz w:val="18"/>
                  <w:szCs w:val="18"/>
                  <w:color w:val="0000FF"/>
                  <w:w w:val="95"/>
                </w:rPr>
                <w:t>Certification of Principal Financial Officer pursuant to Exchange Act Rule</w:t>
              </w:r>
            </w:hyperlink>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w:anchor="page26">
              <w:r>
                <w:rPr>
                  <w:rFonts w:ascii="Arial" w:cs="Arial" w:eastAsia="Arial" w:hAnsi="Arial"/>
                  <w:sz w:val="18"/>
                  <w:szCs w:val="18"/>
                  <w:color w:val="0000FF"/>
                  <w:w w:val="91"/>
                </w:rPr>
                <w:t>13a-14(b) and Section 1350 of Chapter 63 of Title 18 of the U.S. Code (18</w:t>
              </w:r>
            </w:hyperlink>
          </w:p>
        </w:tc>
        <w:tc>
          <w:tcPr>
            <w:tcW w:w="20" w:type="dxa"/>
            <w:vAlign w:val="bottom"/>
            <w:tcBorders>
              <w:bottom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gridSpan w:val="11"/>
          </w:tcPr>
          <w:p>
            <w:pPr>
              <w:spacing w:after="0" w:line="156" w:lineRule="exact"/>
              <w:rPr>
                <w:rFonts w:ascii="Arial" w:cs="Arial" w:eastAsia="Arial" w:hAnsi="Arial"/>
                <w:sz w:val="18"/>
                <w:szCs w:val="18"/>
                <w:color w:val="0000FF"/>
              </w:rPr>
            </w:pPr>
            <w:hyperlink w:anchor="page26">
              <w:r>
                <w:rPr>
                  <w:rFonts w:ascii="Arial" w:cs="Arial" w:eastAsia="Arial" w:hAnsi="Arial"/>
                  <w:sz w:val="18"/>
                  <w:szCs w:val="18"/>
                  <w:color w:val="0000FF"/>
                </w:rPr>
                <w:t>U.S.C. 1350). *</w:t>
              </w:r>
            </w:hyperlink>
          </w:p>
        </w:tc>
        <w:tc>
          <w:tcPr>
            <w:tcW w:w="14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4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60" w:type="dxa"/>
            <w:vAlign w:val="bottom"/>
            <w:gridSpan w:val="13"/>
          </w:tcPr>
          <w:p>
            <w:pPr>
              <w:spacing w:after="0"/>
              <w:rPr>
                <w:sz w:val="20"/>
                <w:szCs w:val="20"/>
                <w:color w:val="auto"/>
              </w:rPr>
            </w:pPr>
            <w:r>
              <w:rPr>
                <w:rFonts w:ascii="Arial" w:cs="Arial" w:eastAsia="Arial" w:hAnsi="Arial"/>
                <w:sz w:val="18"/>
                <w:szCs w:val="18"/>
                <w:color w:val="auto"/>
              </w:rPr>
              <w:t>Interactive Data File. The instance document does not appear in the</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13"/>
          </w:tcPr>
          <w:p>
            <w:pPr>
              <w:spacing w:after="0" w:line="176" w:lineRule="exact"/>
              <w:rPr>
                <w:sz w:val="20"/>
                <w:szCs w:val="20"/>
                <w:color w:val="auto"/>
              </w:rPr>
            </w:pPr>
            <w:r>
              <w:rPr>
                <w:rFonts w:ascii="Arial" w:cs="Arial" w:eastAsia="Arial" w:hAnsi="Arial"/>
                <w:sz w:val="18"/>
                <w:szCs w:val="18"/>
                <w:color w:val="auto"/>
                <w:w w:val="92"/>
              </w:rPr>
              <w:t>Interactive Data File because its XBRL tags are embedded within the Inline</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60" w:type="dxa"/>
            <w:vAlign w:val="bottom"/>
            <w:gridSpan w:val="13"/>
          </w:tcPr>
          <w:p>
            <w:pPr>
              <w:spacing w:after="0"/>
              <w:rPr>
                <w:sz w:val="20"/>
                <w:szCs w:val="20"/>
                <w:color w:val="auto"/>
              </w:rPr>
            </w:pPr>
            <w:r>
              <w:rPr>
                <w:rFonts w:ascii="Arial" w:cs="Arial" w:eastAsia="Arial" w:hAnsi="Arial"/>
                <w:sz w:val="18"/>
                <w:szCs w:val="18"/>
                <w:color w:val="auto"/>
              </w:rPr>
              <w:t>XBRL document.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2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13"/>
          </w:tcPr>
          <w:p>
            <w:pPr>
              <w:spacing w:after="0" w:line="176" w:lineRule="exact"/>
              <w:rPr>
                <w:sz w:val="20"/>
                <w:szCs w:val="20"/>
                <w:color w:val="auto"/>
              </w:rPr>
            </w:pPr>
            <w:r>
              <w:rPr>
                <w:rFonts w:ascii="Arial" w:cs="Arial" w:eastAsia="Arial" w:hAnsi="Arial"/>
                <w:sz w:val="18"/>
                <w:szCs w:val="18"/>
                <w:color w:val="auto"/>
                <w:w w:val="94"/>
              </w:rPr>
              <w:t>Cover Page Interactive Data File (formatted as Inline XBRL and contained</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13"/>
          </w:tcPr>
          <w:p>
            <w:pPr>
              <w:spacing w:after="0"/>
              <w:rPr>
                <w:sz w:val="20"/>
                <w:szCs w:val="20"/>
                <w:color w:val="auto"/>
              </w:rPr>
            </w:pPr>
            <w:r>
              <w:rPr>
                <w:rFonts w:ascii="Arial" w:cs="Arial" w:eastAsia="Arial" w:hAnsi="Arial"/>
                <w:sz w:val="18"/>
                <w:szCs w:val="18"/>
                <w:color w:val="auto"/>
              </w:rPr>
              <w:t>in Exhibit 101).</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640" w:right="20" w:hanging="614"/>
        <w:spacing w:after="0" w:line="237"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contemplated by SEC Release No. 33-8212, these exhibits are furnished with this Quarterly Report on Form 10-Q and are not deemed filed with the SEC and are not incorporated by reference in any filing of VeriSign, Inc. under the Securities Act of 1933 or the Securities Exchange Act of 1934, whether made before or after the date hereof and irrespective of any general incorporation language in such filings.</w:t>
      </w: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VERISIGN, INC.</w:t>
            </w:r>
          </w:p>
        </w:tc>
        <w:tc>
          <w:tcPr>
            <w:tcW w:w="3420" w:type="dxa"/>
            <w:vAlign w:val="bottom"/>
          </w:tcPr>
          <w:p>
            <w:pPr>
              <w:spacing w:after="0"/>
              <w:rPr>
                <w:sz w:val="20"/>
                <w:szCs w:val="20"/>
                <w:color w:val="auto"/>
              </w:rPr>
            </w:pPr>
          </w:p>
        </w:tc>
      </w:tr>
      <w:tr>
        <w:trPr>
          <w:trHeight w:val="662"/>
        </w:trPr>
        <w:tc>
          <w:tcPr>
            <w:tcW w:w="3460" w:type="dxa"/>
            <w:vAlign w:val="bottom"/>
          </w:tcPr>
          <w:p>
            <w:pPr>
              <w:spacing w:after="0"/>
              <w:rPr>
                <w:sz w:val="20"/>
                <w:szCs w:val="20"/>
                <w:color w:val="auto"/>
              </w:rPr>
            </w:pPr>
            <w:r>
              <w:rPr>
                <w:rFonts w:ascii="Arial" w:cs="Arial" w:eastAsia="Arial" w:hAnsi="Arial"/>
                <w:sz w:val="18"/>
                <w:szCs w:val="18"/>
                <w:color w:val="auto"/>
              </w:rPr>
              <w:t>Date: July 22, 2021</w:t>
            </w:r>
          </w:p>
        </w:tc>
        <w:tc>
          <w:tcPr>
            <w:tcW w:w="2480" w:type="dxa"/>
            <w:vAlign w:val="bottom"/>
          </w:tcPr>
          <w:p>
            <w:pPr>
              <w:ind w:left="2040"/>
              <w:spacing w:after="0"/>
              <w:rPr>
                <w:sz w:val="20"/>
                <w:szCs w:val="20"/>
                <w:color w:val="auto"/>
              </w:rPr>
            </w:pPr>
            <w:r>
              <w:rPr>
                <w:rFonts w:ascii="Arial" w:cs="Arial" w:eastAsia="Arial" w:hAnsi="Arial"/>
                <w:sz w:val="18"/>
                <w:szCs w:val="18"/>
                <w:color w:val="auto"/>
              </w:rPr>
              <w:t>By:</w:t>
            </w:r>
          </w:p>
        </w:tc>
        <w:tc>
          <w:tcPr>
            <w:tcW w:w="184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 J</w:t>
            </w:r>
            <w:r>
              <w:rPr>
                <w:rFonts w:ascii="Arial" w:cs="Arial" w:eastAsia="Arial" w:hAnsi="Arial"/>
                <w:sz w:val="14"/>
                <w:szCs w:val="14"/>
                <w:color w:val="auto"/>
              </w:rPr>
              <w:t>AMES</w:t>
            </w:r>
            <w:r>
              <w:rPr>
                <w:rFonts w:ascii="Arial" w:cs="Arial" w:eastAsia="Arial" w:hAnsi="Arial"/>
                <w:sz w:val="18"/>
                <w:szCs w:val="18"/>
                <w:color w:val="auto"/>
              </w:rPr>
              <w:t xml:space="preserve"> B</w:t>
            </w:r>
            <w:r>
              <w:rPr>
                <w:rFonts w:ascii="Arial" w:cs="Arial" w:eastAsia="Arial" w:hAnsi="Arial"/>
                <w:sz w:val="14"/>
                <w:szCs w:val="14"/>
                <w:color w:val="auto"/>
              </w:rPr>
              <w:t>IDZOS</w:t>
            </w:r>
          </w:p>
        </w:tc>
      </w:tr>
      <w:tr>
        <w:trPr>
          <w:trHeight w:val="222"/>
        </w:trPr>
        <w:tc>
          <w:tcPr>
            <w:tcW w:w="34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20" w:type="dxa"/>
            <w:vAlign w:val="bottom"/>
          </w:tcPr>
          <w:p>
            <w:pPr>
              <w:jc w:val="center"/>
              <w:ind w:right="1750"/>
              <w:spacing w:after="0"/>
              <w:rPr>
                <w:sz w:val="20"/>
                <w:szCs w:val="20"/>
                <w:color w:val="auto"/>
              </w:rPr>
            </w:pPr>
            <w:r>
              <w:rPr>
                <w:rFonts w:ascii="Arial" w:cs="Arial" w:eastAsia="Arial" w:hAnsi="Arial"/>
                <w:sz w:val="18"/>
                <w:szCs w:val="18"/>
                <w:b w:val="1"/>
                <w:bCs w:val="1"/>
                <w:color w:val="auto"/>
                <w:w w:val="88"/>
              </w:rPr>
              <w:t>D. James Bidzos</w:t>
            </w:r>
          </w:p>
        </w:tc>
      </w:tr>
      <w:tr>
        <w:trPr>
          <w:trHeight w:val="230"/>
        </w:trPr>
        <w:tc>
          <w:tcPr>
            <w:tcW w:w="3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6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9"/>
              </w:rPr>
              <w:t>Chief Executive Officer</w:t>
            </w:r>
          </w:p>
        </w:tc>
      </w:tr>
      <w:tr>
        <w:trPr>
          <w:trHeight w:val="621"/>
        </w:trPr>
        <w:tc>
          <w:tcPr>
            <w:tcW w:w="3460" w:type="dxa"/>
            <w:vAlign w:val="bottom"/>
          </w:tcPr>
          <w:p>
            <w:pPr>
              <w:spacing w:after="0"/>
              <w:rPr>
                <w:sz w:val="20"/>
                <w:szCs w:val="20"/>
                <w:color w:val="auto"/>
              </w:rPr>
            </w:pPr>
            <w:r>
              <w:rPr>
                <w:rFonts w:ascii="Arial" w:cs="Arial" w:eastAsia="Arial" w:hAnsi="Arial"/>
                <w:sz w:val="18"/>
                <w:szCs w:val="18"/>
                <w:color w:val="auto"/>
              </w:rPr>
              <w:t>Date: July 22, 2021</w:t>
            </w:r>
          </w:p>
        </w:tc>
        <w:tc>
          <w:tcPr>
            <w:tcW w:w="2480" w:type="dxa"/>
            <w:vAlign w:val="bottom"/>
          </w:tcPr>
          <w:p>
            <w:pPr>
              <w:ind w:left="2040"/>
              <w:spacing w:after="0"/>
              <w:rPr>
                <w:sz w:val="20"/>
                <w:szCs w:val="20"/>
                <w:color w:val="auto"/>
              </w:rPr>
            </w:pPr>
            <w:r>
              <w:rPr>
                <w:rFonts w:ascii="Arial" w:cs="Arial" w:eastAsia="Arial" w:hAnsi="Arial"/>
                <w:sz w:val="18"/>
                <w:szCs w:val="18"/>
                <w:color w:val="auto"/>
              </w:rPr>
              <w:t>By:</w:t>
            </w:r>
          </w:p>
        </w:tc>
        <w:tc>
          <w:tcPr>
            <w:tcW w:w="18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EORGE</w:t>
            </w:r>
            <w:r>
              <w:rPr>
                <w:rFonts w:ascii="Arial" w:cs="Arial" w:eastAsia="Arial" w:hAnsi="Arial"/>
                <w:sz w:val="18"/>
                <w:szCs w:val="18"/>
                <w:color w:val="auto"/>
              </w:rPr>
              <w:t xml:space="preserve"> E. K</w:t>
            </w:r>
            <w:r>
              <w:rPr>
                <w:rFonts w:ascii="Arial" w:cs="Arial" w:eastAsia="Arial" w:hAnsi="Arial"/>
                <w:sz w:val="14"/>
                <w:szCs w:val="14"/>
                <w:color w:val="auto"/>
              </w:rPr>
              <w:t>ILGUSS</w:t>
            </w:r>
            <w:r>
              <w:rPr>
                <w:rFonts w:ascii="Arial" w:cs="Arial" w:eastAsia="Arial" w:hAnsi="Arial"/>
                <w:sz w:val="18"/>
                <w:szCs w:val="18"/>
                <w:color w:val="auto"/>
              </w:rPr>
              <w:t>, III</w:t>
            </w:r>
          </w:p>
        </w:tc>
      </w:tr>
      <w:tr>
        <w:trPr>
          <w:trHeight w:val="222"/>
        </w:trPr>
        <w:tc>
          <w:tcPr>
            <w:tcW w:w="34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George E. Kilguss, III</w:t>
            </w:r>
          </w:p>
        </w:tc>
      </w:tr>
      <w:tr>
        <w:trPr>
          <w:trHeight w:val="230"/>
        </w:trPr>
        <w:tc>
          <w:tcPr>
            <w:tcW w:w="3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6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2"/>
              </w:rPr>
              <w:t>Chief Financial Officer</w:t>
            </w:r>
          </w:p>
        </w:tc>
      </w:tr>
      <w:tr>
        <w:trPr>
          <w:trHeight w:val="743"/>
        </w:trPr>
        <w:tc>
          <w:tcPr>
            <w:tcW w:w="3460" w:type="dxa"/>
            <w:vAlign w:val="bottom"/>
          </w:tcPr>
          <w:p>
            <w:pPr>
              <w:spacing w:after="0"/>
              <w:rPr>
                <w:sz w:val="24"/>
                <w:szCs w:val="24"/>
                <w:color w:val="auto"/>
              </w:rPr>
            </w:pPr>
          </w:p>
        </w:tc>
        <w:tc>
          <w:tcPr>
            <w:tcW w:w="2480" w:type="dxa"/>
            <w:vAlign w:val="bottom"/>
          </w:tcPr>
          <w:p>
            <w:pPr>
              <w:ind w:left="2060"/>
              <w:spacing w:after="0"/>
              <w:rPr>
                <w:sz w:val="20"/>
                <w:szCs w:val="20"/>
                <w:color w:val="auto"/>
              </w:rPr>
            </w:pPr>
            <w:r>
              <w:rPr>
                <w:rFonts w:ascii="Arial" w:cs="Arial" w:eastAsia="Arial" w:hAnsi="Arial"/>
                <w:sz w:val="18"/>
                <w:szCs w:val="18"/>
                <w:color w:val="auto"/>
              </w:rPr>
              <w:t>22</w:t>
            </w:r>
          </w:p>
        </w:tc>
        <w:tc>
          <w:tcPr>
            <w:tcW w:w="184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22" w:name="page23"/>
    <w:bookmarkEnd w:id="22"/>
    <w:p>
      <w:pPr>
        <w:ind w:left="9364"/>
        <w:spacing w:after="0"/>
        <w:rPr>
          <w:sz w:val="20"/>
          <w:szCs w:val="20"/>
          <w:color w:val="auto"/>
        </w:rPr>
      </w:pPr>
      <w:r>
        <w:rPr>
          <w:rFonts w:ascii="Arial" w:cs="Arial" w:eastAsia="Arial" w:hAnsi="Arial"/>
          <w:sz w:val="18"/>
          <w:szCs w:val="18"/>
          <w:b w:val="1"/>
          <w:bCs w:val="1"/>
          <w:color w:val="auto"/>
        </w:rPr>
        <w:t>EXHIBIT 31.01</w:t>
      </w:r>
    </w:p>
    <w:p>
      <w:pPr>
        <w:spacing w:after="0" w:line="104" w:lineRule="exact"/>
        <w:rPr>
          <w:sz w:val="20"/>
          <w:szCs w:val="20"/>
          <w:color w:val="auto"/>
        </w:rPr>
      </w:pPr>
    </w:p>
    <w:p>
      <w:pPr>
        <w:jc w:val="center"/>
        <w:ind w:right="656"/>
        <w:spacing w:after="0" w:line="263"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200" w:lineRule="exact"/>
        <w:rPr>
          <w:sz w:val="20"/>
          <w:szCs w:val="20"/>
          <w:color w:val="auto"/>
        </w:rPr>
      </w:pPr>
    </w:p>
    <w:p>
      <w:pPr>
        <w:spacing w:after="0" w:line="3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 James Bidzos, certify that:</w:t>
      </w:r>
    </w:p>
    <w:p>
      <w:pPr>
        <w:spacing w:after="0" w:line="90" w:lineRule="exact"/>
        <w:rPr>
          <w:sz w:val="20"/>
          <w:szCs w:val="20"/>
          <w:color w:val="auto"/>
        </w:rPr>
      </w:pPr>
    </w:p>
    <w:p>
      <w:pPr>
        <w:ind w:left="184" w:hanging="184"/>
        <w:spacing w:after="0"/>
        <w:tabs>
          <w:tab w:leader="none" w:pos="184"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VeriSign, Inc.;</w:t>
      </w:r>
    </w:p>
    <w:p>
      <w:pPr>
        <w:spacing w:after="0" w:line="103" w:lineRule="exact"/>
        <w:rPr>
          <w:rFonts w:ascii="Arial" w:cs="Arial" w:eastAsia="Arial" w:hAnsi="Arial"/>
          <w:sz w:val="18"/>
          <w:szCs w:val="18"/>
          <w:color w:val="auto"/>
        </w:rPr>
      </w:pPr>
    </w:p>
    <w:p>
      <w:pPr>
        <w:ind w:left="-656" w:firstLine="656"/>
        <w:spacing w:after="0" w:line="342" w:lineRule="auto"/>
        <w:tabs>
          <w:tab w:leader="none" w:pos="172"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left="-656" w:right="160" w:firstLine="656"/>
        <w:spacing w:after="0" w:line="308" w:lineRule="auto"/>
        <w:tabs>
          <w:tab w:leader="none" w:pos="172"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56" w:right="120" w:firstLine="656"/>
        <w:spacing w:after="0" w:line="263" w:lineRule="auto"/>
        <w:tabs>
          <w:tab w:leader="none" w:pos="17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4" w:right="280" w:firstLine="644"/>
        <w:spacing w:after="0" w:line="263" w:lineRule="auto"/>
        <w:tabs>
          <w:tab w:leader="none" w:pos="837"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4" w:right="220" w:firstLine="644"/>
        <w:spacing w:after="0" w:line="263" w:lineRule="auto"/>
        <w:tabs>
          <w:tab w:leader="none" w:pos="847"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4" w:right="60" w:firstLine="644"/>
        <w:spacing w:after="0" w:line="342" w:lineRule="auto"/>
        <w:tabs>
          <w:tab w:leader="none" w:pos="837"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4" w:right="20" w:firstLine="644"/>
        <w:spacing w:after="0" w:line="263" w:lineRule="auto"/>
        <w:tabs>
          <w:tab w:leader="none" w:pos="847"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56" w:right="80" w:firstLine="656"/>
        <w:spacing w:after="0" w:line="308" w:lineRule="auto"/>
        <w:tabs>
          <w:tab w:leader="none" w:pos="17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4" w:right="260" w:firstLine="644"/>
        <w:spacing w:after="0" w:line="308" w:lineRule="auto"/>
        <w:tabs>
          <w:tab w:leader="none" w:pos="837"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4" w:right="540" w:firstLine="644"/>
        <w:spacing w:after="0" w:line="277" w:lineRule="auto"/>
        <w:tabs>
          <w:tab w:leader="none" w:pos="847"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44"/>
        <w:spacing w:after="0"/>
        <w:tabs>
          <w:tab w:leader="none" w:pos="5184" w:val="left"/>
          <w:tab w:leader="none" w:pos="7004" w:val="left"/>
        </w:tabs>
        <w:rPr>
          <w:sz w:val="20"/>
          <w:szCs w:val="20"/>
          <w:color w:val="auto"/>
        </w:rPr>
      </w:pPr>
      <w:r>
        <w:rPr>
          <w:rFonts w:ascii="Arial" w:cs="Arial" w:eastAsia="Arial" w:hAnsi="Arial"/>
          <w:sz w:val="18"/>
          <w:szCs w:val="18"/>
          <w:color w:val="auto"/>
        </w:rPr>
        <w:t>Date: July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 J</w:t>
      </w:r>
      <w:r>
        <w:rPr>
          <w:rFonts w:ascii="Arial" w:cs="Arial" w:eastAsia="Arial" w:hAnsi="Arial"/>
          <w:sz w:val="13"/>
          <w:szCs w:val="13"/>
          <w:color w:val="auto"/>
        </w:rPr>
        <w:t>AMES</w:t>
      </w:r>
      <w:r>
        <w:rPr>
          <w:rFonts w:ascii="Arial" w:cs="Arial" w:eastAsia="Arial" w:hAnsi="Arial"/>
          <w:sz w:val="17"/>
          <w:szCs w:val="17"/>
          <w:color w:val="auto"/>
        </w:rPr>
        <w:t xml:space="preserve"> B</w:t>
      </w:r>
      <w:r>
        <w:rPr>
          <w:rFonts w:ascii="Arial" w:cs="Arial" w:eastAsia="Arial" w:hAnsi="Arial"/>
          <w:sz w:val="13"/>
          <w:szCs w:val="13"/>
          <w:color w:val="auto"/>
        </w:rPr>
        <w:t>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14605</wp:posOffset>
            </wp:positionV>
            <wp:extent cx="27000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12"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D. James Bidzos</w:t>
      </w:r>
    </w:p>
    <w:p>
      <w:pPr>
        <w:spacing w:after="0" w:line="27"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i w:val="1"/>
          <w:iCs w:val="1"/>
          <w:color w:val="auto"/>
        </w:rPr>
        <w:t>Chief Executive Officer</w:t>
      </w:r>
    </w:p>
    <w:p>
      <w:pPr>
        <w:sectPr>
          <w:pgSz w:w="11900" w:h="16838" w:orient="portrait"/>
          <w:cols w:equalWidth="0" w:num="1">
            <w:col w:w="10584"/>
          </w:cols>
          <w:pgMar w:left="976" w:top="1309" w:right="339" w:bottom="1440" w:gutter="0" w:footer="0" w:header="0"/>
        </w:sectPr>
      </w:pPr>
    </w:p>
    <w:bookmarkStart w:id="23" w:name="page24"/>
    <w:bookmarkEnd w:id="23"/>
    <w:p>
      <w:pPr>
        <w:ind w:left="9980"/>
        <w:spacing w:after="0"/>
        <w:rPr>
          <w:sz w:val="20"/>
          <w:szCs w:val="20"/>
          <w:color w:val="auto"/>
        </w:rPr>
      </w:pPr>
      <w:r>
        <w:rPr>
          <w:rFonts w:ascii="Arial" w:cs="Arial" w:eastAsia="Arial" w:hAnsi="Arial"/>
          <w:sz w:val="18"/>
          <w:szCs w:val="18"/>
          <w:b w:val="1"/>
          <w:bCs w:val="1"/>
          <w:color w:val="auto"/>
        </w:rPr>
        <w:t>EXHIBIT 31.02</w:t>
      </w:r>
    </w:p>
    <w:p>
      <w:pPr>
        <w:spacing w:after="0" w:line="104"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200" w:lineRule="exact"/>
        <w:rPr>
          <w:sz w:val="20"/>
          <w:szCs w:val="20"/>
          <w:color w:val="auto"/>
        </w:rPr>
      </w:pPr>
    </w:p>
    <w:p>
      <w:pPr>
        <w:spacing w:after="0" w:line="3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George E. Kilguss, III, certify that:</w:t>
      </w:r>
    </w:p>
    <w:p>
      <w:pPr>
        <w:spacing w:after="0" w:line="90" w:lineRule="exact"/>
        <w:rPr>
          <w:sz w:val="20"/>
          <w:szCs w:val="20"/>
          <w:color w:val="auto"/>
        </w:rPr>
      </w:pPr>
    </w:p>
    <w:p>
      <w:pPr>
        <w:ind w:left="800" w:hanging="18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VeriSign, Inc.;</w:t>
      </w:r>
    </w:p>
    <w:p>
      <w:pPr>
        <w:spacing w:after="0" w:line="103" w:lineRule="exact"/>
        <w:rPr>
          <w:rFonts w:ascii="Arial" w:cs="Arial" w:eastAsia="Arial" w:hAnsi="Arial"/>
          <w:sz w:val="18"/>
          <w:szCs w:val="18"/>
          <w:color w:val="auto"/>
        </w:rPr>
      </w:pPr>
    </w:p>
    <w:p>
      <w:pPr>
        <w:ind w:left="-40" w:firstLine="656"/>
        <w:spacing w:after="0" w:line="342" w:lineRule="auto"/>
        <w:tabs>
          <w:tab w:leader="none" w:pos="78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left="-40" w:right="160" w:firstLine="656"/>
        <w:spacing w:after="0" w:line="308" w:lineRule="auto"/>
        <w:tabs>
          <w:tab w:leader="none" w:pos="788"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40" w:right="120" w:firstLine="656"/>
        <w:spacing w:after="0" w:line="263" w:lineRule="auto"/>
        <w:tabs>
          <w:tab w:leader="none" w:pos="78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20" w:right="280" w:firstLine="644"/>
        <w:spacing w:after="0" w:line="263" w:lineRule="auto"/>
        <w:tabs>
          <w:tab w:leader="none" w:pos="145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20" w:right="220" w:firstLine="644"/>
        <w:spacing w:after="0" w:line="263" w:lineRule="auto"/>
        <w:tabs>
          <w:tab w:leader="none" w:pos="146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620" w:right="60" w:firstLine="644"/>
        <w:spacing w:after="0" w:line="342" w:lineRule="auto"/>
        <w:tabs>
          <w:tab w:leader="none" w:pos="1453"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20" w:right="20" w:firstLine="644"/>
        <w:spacing w:after="0" w:line="263" w:lineRule="auto"/>
        <w:tabs>
          <w:tab w:leader="none" w:pos="1463"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0" w:right="80" w:firstLine="656"/>
        <w:spacing w:after="0" w:line="308" w:lineRule="auto"/>
        <w:tabs>
          <w:tab w:leader="none" w:pos="78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20" w:right="260" w:firstLine="644"/>
        <w:spacing w:after="0" w:line="308" w:lineRule="auto"/>
        <w:tabs>
          <w:tab w:leader="none" w:pos="1453"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620" w:right="540" w:firstLine="644"/>
        <w:spacing w:after="0" w:line="277" w:lineRule="auto"/>
        <w:tabs>
          <w:tab w:leader="none" w:pos="1463"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5860" w:val="left"/>
          <w:tab w:leader="none" w:pos="7740" w:val="left"/>
        </w:tabs>
        <w:rPr>
          <w:sz w:val="20"/>
          <w:szCs w:val="20"/>
          <w:color w:val="auto"/>
        </w:rPr>
      </w:pPr>
      <w:r>
        <w:rPr>
          <w:rFonts w:ascii="Arial" w:cs="Arial" w:eastAsia="Arial" w:hAnsi="Arial"/>
          <w:sz w:val="18"/>
          <w:szCs w:val="18"/>
          <w:color w:val="auto"/>
        </w:rPr>
        <w:t>Date: July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EORGE</w:t>
      </w:r>
      <w:r>
        <w:rPr>
          <w:rFonts w:ascii="Arial" w:cs="Arial" w:eastAsia="Arial" w:hAnsi="Arial"/>
          <w:sz w:val="17"/>
          <w:szCs w:val="17"/>
          <w:color w:val="auto"/>
        </w:rPr>
        <w:t xml:space="preserve"> E. K</w:t>
      </w:r>
      <w:r>
        <w:rPr>
          <w:rFonts w:ascii="Arial" w:cs="Arial" w:eastAsia="Arial" w:hAnsi="Arial"/>
          <w:sz w:val="13"/>
          <w:szCs w:val="13"/>
          <w:color w:val="auto"/>
        </w:rPr>
        <w:t>ILGUSS</w:t>
      </w:r>
      <w:r>
        <w:rPr>
          <w:rFonts w:ascii="Arial" w:cs="Arial" w:eastAsia="Arial" w:hAnsi="Arial"/>
          <w:sz w:val="17"/>
          <w:szCs w:val="17"/>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14605</wp:posOffset>
            </wp:positionV>
            <wp:extent cx="30861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2"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George E. Kilguss, III</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i w:val="1"/>
          <w:iCs w:val="1"/>
          <w:color w:val="auto"/>
        </w:rPr>
        <w:t>Chief Financial Officer</w:t>
      </w:r>
    </w:p>
    <w:p>
      <w:pPr>
        <w:sectPr>
          <w:pgSz w:w="11900" w:h="16838" w:orient="portrait"/>
          <w:cols w:equalWidth="0" w:num="1">
            <w:col w:w="11200"/>
          </w:cols>
          <w:pgMar w:left="360" w:top="1309"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32.01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3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 D. James Bidzos, Chief Executive Officer of VeriSign, Inc. (the “Company”), do hereby certify, pursuant to 18 U.S.C. Section 1350, as adopted pursuant to Section 906 of the Sarbanes-Oxley Act of 2002, that, to my knowledge:</w:t>
      </w:r>
    </w:p>
    <w:p>
      <w:pPr>
        <w:spacing w:after="0" w:line="35" w:lineRule="exact"/>
        <w:rPr>
          <w:sz w:val="20"/>
          <w:szCs w:val="20"/>
          <w:color w:val="auto"/>
        </w:rPr>
      </w:pPr>
    </w:p>
    <w:p>
      <w:pPr>
        <w:ind w:left="660" w:right="40" w:firstLine="644"/>
        <w:spacing w:after="0" w:line="342" w:lineRule="auto"/>
        <w:tabs>
          <w:tab w:leader="none" w:pos="148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June 30, 2021, as filed with the Securities and Exchange Commission (the “Report”), fully complies with the requirements of Section 13(a) or 15(d) of the Securities Exchange Act of 1934; and</w:t>
      </w:r>
    </w:p>
    <w:p>
      <w:pPr>
        <w:spacing w:after="0" w:line="2" w:lineRule="exact"/>
        <w:rPr>
          <w:rFonts w:ascii="Arial" w:cs="Arial" w:eastAsia="Arial" w:hAnsi="Arial"/>
          <w:sz w:val="16"/>
          <w:szCs w:val="16"/>
          <w:color w:val="auto"/>
        </w:rPr>
      </w:pPr>
    </w:p>
    <w:p>
      <w:pPr>
        <w:ind w:left="1480" w:hanging="176"/>
        <w:spacing w:after="0"/>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30" w:lineRule="exact"/>
        <w:rPr>
          <w:sz w:val="20"/>
          <w:szCs w:val="20"/>
          <w:color w:val="auto"/>
        </w:rPr>
      </w:pPr>
    </w:p>
    <w:p>
      <w:pPr>
        <w:ind w:left="1020"/>
        <w:spacing w:after="0"/>
        <w:tabs>
          <w:tab w:leader="none" w:pos="7520" w:val="left"/>
        </w:tabs>
        <w:rPr>
          <w:sz w:val="20"/>
          <w:szCs w:val="20"/>
          <w:color w:val="auto"/>
        </w:rPr>
      </w:pPr>
      <w:r>
        <w:rPr>
          <w:rFonts w:ascii="Arial" w:cs="Arial" w:eastAsia="Arial" w:hAnsi="Arial"/>
          <w:sz w:val="18"/>
          <w:szCs w:val="18"/>
          <w:color w:val="auto"/>
        </w:rPr>
        <w:t>Date: July 22, 2021</w:t>
      </w:r>
      <w:r>
        <w:rPr>
          <w:sz w:val="20"/>
          <w:szCs w:val="20"/>
          <w:color w:val="auto"/>
        </w:rPr>
        <w:tab/>
      </w:r>
      <w:r>
        <w:rPr>
          <w:rFonts w:ascii="Arial" w:cs="Arial" w:eastAsia="Arial" w:hAnsi="Arial"/>
          <w:sz w:val="17"/>
          <w:szCs w:val="17"/>
          <w:color w:val="auto"/>
        </w:rPr>
        <w:t>/S/ D. J</w:t>
      </w:r>
      <w:r>
        <w:rPr>
          <w:rFonts w:ascii="Arial" w:cs="Arial" w:eastAsia="Arial" w:hAnsi="Arial"/>
          <w:sz w:val="13"/>
          <w:szCs w:val="13"/>
          <w:color w:val="auto"/>
        </w:rPr>
        <w:t>AMES</w:t>
      </w:r>
      <w:r>
        <w:rPr>
          <w:rFonts w:ascii="Arial" w:cs="Arial" w:eastAsia="Arial" w:hAnsi="Arial"/>
          <w:sz w:val="17"/>
          <w:szCs w:val="17"/>
          <w:color w:val="auto"/>
        </w:rPr>
        <w:t xml:space="preserve"> B</w:t>
      </w:r>
      <w:r>
        <w:rPr>
          <w:rFonts w:ascii="Arial" w:cs="Arial" w:eastAsia="Arial" w:hAnsi="Arial"/>
          <w:sz w:val="13"/>
          <w:szCs w:val="13"/>
          <w:color w:val="auto"/>
        </w:rPr>
        <w:t>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24688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2"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color w:val="auto"/>
        </w:rPr>
        <w:t>D. James Bidzos</w:t>
      </w:r>
    </w:p>
    <w:p>
      <w:pPr>
        <w:spacing w:after="0" w:line="27"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i w:val="1"/>
          <w:iCs w:val="1"/>
          <w:color w:val="auto"/>
        </w:rPr>
        <w:t>Chief Executive Officer</w:t>
      </w:r>
    </w:p>
    <w:p>
      <w:pPr>
        <w:sectPr>
          <w:pgSz w:w="11900" w:h="16838" w:orient="portrait"/>
          <w:cols w:equalWidth="0" w:num="1">
            <w:col w:w="11240"/>
          </w:cols>
          <w:pgMar w:left="320" w:top="1309"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32.02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3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 George E. Kilguss, III, Chief Financial Officer of VeriSign, Inc. (the “Company”), do hereby certify, pursuant to 18 U.S.C. Section 1350, as adopted pursuant to Section 906 of the Sarbanes-Oxley Act of 2002, that, to my knowledge:</w:t>
      </w:r>
    </w:p>
    <w:p>
      <w:pPr>
        <w:spacing w:after="0" w:line="35" w:lineRule="exact"/>
        <w:rPr>
          <w:sz w:val="20"/>
          <w:szCs w:val="20"/>
          <w:color w:val="auto"/>
        </w:rPr>
      </w:pPr>
    </w:p>
    <w:p>
      <w:pPr>
        <w:ind w:left="660" w:right="40" w:firstLine="644"/>
        <w:spacing w:after="0" w:line="342" w:lineRule="auto"/>
        <w:tabs>
          <w:tab w:leader="none" w:pos="148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June 30, 2021, as filed with the Securities and Exchange Commission (the “Report”), fully complies with the requirements of Section 13(a) or 15(d) of the Securities Exchange Act of 1934; and</w:t>
      </w:r>
    </w:p>
    <w:p>
      <w:pPr>
        <w:spacing w:after="0" w:line="2" w:lineRule="exact"/>
        <w:rPr>
          <w:rFonts w:ascii="Arial" w:cs="Arial" w:eastAsia="Arial" w:hAnsi="Arial"/>
          <w:sz w:val="16"/>
          <w:szCs w:val="16"/>
          <w:color w:val="auto"/>
        </w:rPr>
      </w:pPr>
    </w:p>
    <w:p>
      <w:pPr>
        <w:ind w:left="1480" w:hanging="176"/>
        <w:spacing w:after="0"/>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30" w:lineRule="exact"/>
        <w:rPr>
          <w:sz w:val="20"/>
          <w:szCs w:val="20"/>
          <w:color w:val="auto"/>
        </w:rPr>
      </w:pPr>
    </w:p>
    <w:p>
      <w:pPr>
        <w:ind w:left="1020"/>
        <w:spacing w:after="0"/>
        <w:tabs>
          <w:tab w:leader="none" w:pos="7260" w:val="left"/>
        </w:tabs>
        <w:rPr>
          <w:sz w:val="20"/>
          <w:szCs w:val="20"/>
          <w:color w:val="auto"/>
        </w:rPr>
      </w:pPr>
      <w:r>
        <w:rPr>
          <w:rFonts w:ascii="Arial" w:cs="Arial" w:eastAsia="Arial" w:hAnsi="Arial"/>
          <w:sz w:val="18"/>
          <w:szCs w:val="18"/>
          <w:color w:val="auto"/>
        </w:rPr>
        <w:t>Date: July 22, 2021</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EORGE</w:t>
      </w:r>
      <w:r>
        <w:rPr>
          <w:rFonts w:ascii="Arial" w:cs="Arial" w:eastAsia="Arial" w:hAnsi="Arial"/>
          <w:sz w:val="17"/>
          <w:szCs w:val="17"/>
          <w:color w:val="auto"/>
        </w:rPr>
        <w:t xml:space="preserve"> E. K</w:t>
      </w:r>
      <w:r>
        <w:rPr>
          <w:rFonts w:ascii="Arial" w:cs="Arial" w:eastAsia="Arial" w:hAnsi="Arial"/>
          <w:sz w:val="13"/>
          <w:szCs w:val="13"/>
          <w:color w:val="auto"/>
        </w:rPr>
        <w:t>ILGUSS</w:t>
      </w:r>
      <w:r>
        <w:rPr>
          <w:rFonts w:ascii="Arial" w:cs="Arial" w:eastAsia="Arial" w:hAnsi="Arial"/>
          <w:sz w:val="17"/>
          <w:szCs w:val="17"/>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5031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2"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George E. Kilguss, III</w:t>
      </w:r>
    </w:p>
    <w:p>
      <w:pPr>
        <w:spacing w:after="0" w:line="27" w:lineRule="exact"/>
        <w:rPr>
          <w:sz w:val="20"/>
          <w:szCs w:val="20"/>
          <w:color w:val="auto"/>
        </w:rPr>
      </w:pPr>
    </w:p>
    <w:p>
      <w:pPr>
        <w:ind w:left="7400"/>
        <w:spacing w:after="0"/>
        <w:rPr>
          <w:sz w:val="20"/>
          <w:szCs w:val="20"/>
          <w:color w:val="auto"/>
        </w:rPr>
      </w:pPr>
      <w:r>
        <w:rPr>
          <w:rFonts w:ascii="Arial" w:cs="Arial" w:eastAsia="Arial" w:hAnsi="Arial"/>
          <w:sz w:val="18"/>
          <w:szCs w:val="18"/>
          <w:b w:val="1"/>
          <w:bCs w:val="1"/>
          <w:i w:val="1"/>
          <w:iCs w:val="1"/>
          <w:color w:val="auto"/>
        </w:rPr>
        <w:t>Chief Financial Officer</w:t>
      </w:r>
    </w:p>
    <w:sectPr>
      <w:pgSz w:w="11900" w:h="16838" w:orient="portrait"/>
      <w:cols w:equalWidth="0" w:num="1">
        <w:col w:w="11240"/>
      </w:cols>
      <w:pgMar w:left="320" w:top="13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34" Type="http://schemas.openxmlformats.org/officeDocument/2006/relationships/hyperlink" Target="http://www.sec.gov/Archives/edgar/data/1014473/000114036121020169/brhc10025490_ex4-1.htm" TargetMode="External"/><Relationship Id="rId35" Type="http://schemas.openxmlformats.org/officeDocument/2006/relationships/hyperlink" Target="http://www.sec.gov/Archives/edgar/data/1014473/000114036121020169/brhc10025490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2021-07-22T15:40:47Z</dcterms:created>
  <dcterms:modified xsi:type="dcterms:W3CDTF">2021-07-22T15:40:47Z</dcterms:modified>
</cp:coreProperties>
</file>