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431165</wp:posOffset>
            </wp:positionH>
            <wp:positionV relativeFrom="page">
              <wp:posOffset>509270</wp:posOffset>
            </wp:positionV>
            <wp:extent cx="6694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page">
              <wp:posOffset>431165</wp:posOffset>
            </wp:positionH>
            <wp:positionV relativeFrom="page">
              <wp:posOffset>534670</wp:posOffset>
            </wp:positionV>
            <wp:extent cx="6694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480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122555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122555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VERISIGN,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65" w:lineRule="exact"/>
        <w:rPr>
          <w:sz w:val="24"/>
          <w:szCs w:val="24"/>
          <w:color w:val="auto"/>
        </w:rPr>
      </w:pPr>
    </w:p>
    <w:tbl>
      <w:tblPr>
        <w:tblLayout w:type="fixed"/>
        <w:tblInd w:w="1480" w:type="dxa"/>
        <w:tblCellMar>
          <w:top w:w="0" w:type="dxa"/>
          <w:left w:w="0" w:type="dxa"/>
          <w:bottom w:w="0" w:type="dxa"/>
          <w:right w:w="0" w:type="dxa"/>
        </w:tblCellMar>
      </w:tblPr>
      <w:tr>
        <w:trPr>
          <w:trHeight w:val="239"/>
        </w:trPr>
        <w:tc>
          <w:tcPr>
            <w:tcW w:w="2400" w:type="dxa"/>
            <w:vAlign w:val="bottom"/>
          </w:tcPr>
          <w:p>
            <w:pPr>
              <w:ind w:left="980"/>
              <w:spacing w:after="0"/>
              <w:rPr>
                <w:sz w:val="20"/>
                <w:szCs w:val="20"/>
                <w:color w:val="auto"/>
              </w:rPr>
            </w:pPr>
            <w:r>
              <w:rPr>
                <w:rFonts w:ascii="Arial" w:cs="Arial" w:eastAsia="Arial" w:hAnsi="Arial"/>
                <w:sz w:val="18"/>
                <w:szCs w:val="18"/>
                <w:b w:val="1"/>
                <w:bCs w:val="1"/>
                <w:color w:val="auto"/>
              </w:rPr>
              <w:t>000-23593</w:t>
            </w:r>
          </w:p>
        </w:tc>
        <w:tc>
          <w:tcPr>
            <w:tcW w:w="5160" w:type="dxa"/>
            <w:vAlign w:val="bottom"/>
          </w:tcPr>
          <w:p>
            <w:pPr>
              <w:jc w:val="center"/>
              <w:ind w:left="3940"/>
              <w:spacing w:after="0"/>
              <w:rPr>
                <w:sz w:val="20"/>
                <w:szCs w:val="20"/>
                <w:color w:val="auto"/>
              </w:rPr>
            </w:pPr>
            <w:r>
              <w:rPr>
                <w:rFonts w:ascii="Arial" w:cs="Arial" w:eastAsia="Arial" w:hAnsi="Arial"/>
                <w:sz w:val="18"/>
                <w:szCs w:val="18"/>
                <w:b w:val="1"/>
                <w:bCs w:val="1"/>
                <w:color w:val="auto"/>
                <w:w w:val="89"/>
              </w:rPr>
              <w:t>94-3221585</w:t>
            </w:r>
          </w:p>
        </w:tc>
      </w:tr>
      <w:tr>
        <w:trPr>
          <w:trHeight w:val="144"/>
        </w:trPr>
        <w:tc>
          <w:tcPr>
            <w:tcW w:w="2400" w:type="dxa"/>
            <w:vAlign w:val="bottom"/>
          </w:tcPr>
          <w:p>
            <w:pPr>
              <w:ind w:left="980"/>
              <w:spacing w:after="0" w:line="145" w:lineRule="exact"/>
              <w:rPr>
                <w:sz w:val="20"/>
                <w:szCs w:val="20"/>
                <w:color w:val="auto"/>
              </w:rPr>
            </w:pPr>
            <w:r>
              <w:rPr>
                <w:rFonts w:ascii="Arial" w:cs="Arial" w:eastAsia="Arial" w:hAnsi="Arial"/>
                <w:sz w:val="14"/>
                <w:szCs w:val="14"/>
                <w:b w:val="1"/>
                <w:bCs w:val="1"/>
                <w:color w:val="auto"/>
              </w:rPr>
              <w:t>(Commission</w:t>
            </w:r>
          </w:p>
        </w:tc>
        <w:tc>
          <w:tcPr>
            <w:tcW w:w="5160" w:type="dxa"/>
            <w:vAlign w:val="bottom"/>
          </w:tcPr>
          <w:p>
            <w:pPr>
              <w:jc w:val="center"/>
              <w:ind w:left="3940"/>
              <w:spacing w:after="0" w:line="145"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00" w:type="dxa"/>
            <w:vAlign w:val="bottom"/>
          </w:tcPr>
          <w:p>
            <w:pPr>
              <w:ind w:left="960"/>
              <w:spacing w:after="0"/>
              <w:rPr>
                <w:sz w:val="20"/>
                <w:szCs w:val="20"/>
                <w:color w:val="auto"/>
              </w:rPr>
            </w:pPr>
            <w:r>
              <w:rPr>
                <w:rFonts w:ascii="Arial" w:cs="Arial" w:eastAsia="Arial" w:hAnsi="Arial"/>
                <w:sz w:val="14"/>
                <w:szCs w:val="14"/>
                <w:b w:val="1"/>
                <w:bCs w:val="1"/>
                <w:color w:val="auto"/>
              </w:rPr>
              <w:t>File Number)</w:t>
            </w:r>
          </w:p>
        </w:tc>
        <w:tc>
          <w:tcPr>
            <w:tcW w:w="5160" w:type="dxa"/>
            <w:vAlign w:val="bottom"/>
          </w:tcPr>
          <w:p>
            <w:pPr>
              <w:jc w:val="center"/>
              <w:ind w:left="3940"/>
              <w:spacing w:after="0"/>
              <w:rPr>
                <w:sz w:val="20"/>
                <w:szCs w:val="20"/>
                <w:color w:val="auto"/>
              </w:rPr>
            </w:pPr>
            <w:r>
              <w:rPr>
                <w:rFonts w:ascii="Arial" w:cs="Arial" w:eastAsia="Arial" w:hAnsi="Arial"/>
                <w:sz w:val="14"/>
                <w:szCs w:val="14"/>
                <w:b w:val="1"/>
                <w:bCs w:val="1"/>
                <w:color w:val="auto"/>
                <w:w w:val="96"/>
              </w:rPr>
              <w:t>Identification No.)</w:t>
            </w:r>
          </w:p>
        </w:tc>
      </w:tr>
      <w:tr>
        <w:trPr>
          <w:trHeight w:val="403"/>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12061 Bluemont Way,</w:t>
            </w:r>
          </w:p>
        </w:tc>
        <w:tc>
          <w:tcPr>
            <w:tcW w:w="5160" w:type="dxa"/>
            <w:vAlign w:val="bottom"/>
          </w:tcPr>
          <w:p>
            <w:pPr>
              <w:spacing w:after="0"/>
              <w:rPr>
                <w:sz w:val="24"/>
                <w:szCs w:val="24"/>
                <w:color w:val="auto"/>
              </w:rPr>
            </w:pPr>
          </w:p>
        </w:tc>
      </w:tr>
      <w:tr>
        <w:trPr>
          <w:trHeight w:val="225"/>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Reston, Virginia</w:t>
            </w:r>
          </w:p>
        </w:tc>
        <w:tc>
          <w:tcPr>
            <w:tcW w:w="5160" w:type="dxa"/>
            <w:vAlign w:val="bottom"/>
          </w:tcPr>
          <w:p>
            <w:pPr>
              <w:jc w:val="right"/>
              <w:ind w:right="20"/>
              <w:spacing w:after="0"/>
              <w:rPr>
                <w:sz w:val="20"/>
                <w:szCs w:val="20"/>
                <w:color w:val="auto"/>
              </w:rPr>
            </w:pPr>
            <w:r>
              <w:rPr>
                <w:rFonts w:ascii="Arial" w:cs="Arial" w:eastAsia="Arial" w:hAnsi="Arial"/>
                <w:sz w:val="18"/>
                <w:szCs w:val="18"/>
                <w:b w:val="1"/>
                <w:bCs w:val="1"/>
                <w:color w:val="auto"/>
              </w:rPr>
              <w:t>20190</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60" w:type="dxa"/>
            <w:vAlign w:val="bottom"/>
          </w:tcPr>
          <w:p>
            <w:pPr>
              <w:jc w:val="center"/>
              <w:ind w:left="442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400" w:type="dxa"/>
            <w:vAlign w:val="bottom"/>
          </w:tcPr>
          <w:p>
            <w:pPr>
              <w:spacing w:after="0"/>
              <w:rPr>
                <w:sz w:val="24"/>
                <w:szCs w:val="24"/>
                <w:color w:val="auto"/>
              </w:rPr>
            </w:pPr>
          </w:p>
        </w:tc>
        <w:tc>
          <w:tcPr>
            <w:tcW w:w="5160" w:type="dxa"/>
            <w:vAlign w:val="bottom"/>
          </w:tcPr>
          <w:p>
            <w:pPr>
              <w:jc w:val="right"/>
              <w:ind w:right="2780"/>
              <w:spacing w:after="0"/>
              <w:rPr>
                <w:sz w:val="20"/>
                <w:szCs w:val="20"/>
                <w:color w:val="auto"/>
              </w:rPr>
            </w:pPr>
            <w:r>
              <w:rPr>
                <w:rFonts w:ascii="Arial" w:cs="Arial" w:eastAsia="Arial" w:hAnsi="Arial"/>
                <w:sz w:val="18"/>
                <w:szCs w:val="18"/>
                <w:b w:val="1"/>
                <w:bCs w:val="1"/>
                <w:color w:val="auto"/>
              </w:rPr>
              <w:t>(703) 948-3200</w:t>
            </w:r>
          </w:p>
        </w:tc>
      </w:tr>
      <w:tr>
        <w:trPr>
          <w:trHeight w:val="186"/>
        </w:trPr>
        <w:tc>
          <w:tcPr>
            <w:tcW w:w="2400" w:type="dxa"/>
            <w:vAlign w:val="bottom"/>
          </w:tcPr>
          <w:p>
            <w:pPr>
              <w:spacing w:after="0"/>
              <w:rPr>
                <w:sz w:val="16"/>
                <w:szCs w:val="16"/>
                <w:color w:val="auto"/>
              </w:rPr>
            </w:pPr>
          </w:p>
        </w:tc>
        <w:tc>
          <w:tcPr>
            <w:tcW w:w="5160" w:type="dxa"/>
            <w:vAlign w:val="bottom"/>
          </w:tcPr>
          <w:p>
            <w:pPr>
              <w:jc w:val="center"/>
              <w:ind w:right="1600"/>
              <w:spacing w:after="0"/>
              <w:rPr>
                <w:sz w:val="20"/>
                <w:szCs w:val="20"/>
                <w:color w:val="auto"/>
              </w:rPr>
            </w:pPr>
            <w:r>
              <w:rPr>
                <w:rFonts w:ascii="Arial" w:cs="Arial" w:eastAsia="Arial" w:hAnsi="Arial"/>
                <w:sz w:val="14"/>
                <w:szCs w:val="14"/>
                <w:b w:val="1"/>
                <w:bCs w:val="1"/>
                <w:color w:val="auto"/>
                <w:w w:val="93"/>
              </w:rPr>
              <w:t>(Registrant’s Telephone Number, Including Area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4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right="3340" w:firstLine="26"/>
        <w:spacing w:after="0" w:line="411" w:lineRule="auto"/>
        <w:tabs>
          <w:tab w:leader="none" w:pos="6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360" w:type="dxa"/>
        <w:tblCellMar>
          <w:top w:w="0" w:type="dxa"/>
          <w:left w:w="0" w:type="dxa"/>
          <w:bottom w:w="0" w:type="dxa"/>
          <w:right w:w="0" w:type="dxa"/>
        </w:tblCellMar>
      </w:tblPr>
      <w:tr>
        <w:trPr>
          <w:trHeight w:val="176"/>
        </w:trPr>
        <w:tc>
          <w:tcPr>
            <w:tcW w:w="820" w:type="dxa"/>
            <w:vAlign w:val="bottom"/>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Title of each class</w:t>
            </w: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2"/>
              </w:rPr>
              <w:t>Trading Symbol(s)</w:t>
            </w:r>
          </w:p>
        </w:tc>
        <w:tc>
          <w:tcPr>
            <w:tcW w:w="1460" w:type="dxa"/>
            <w:vAlign w:val="bottom"/>
          </w:tcPr>
          <w:p>
            <w:pPr>
              <w:spacing w:after="0"/>
              <w:rPr>
                <w:sz w:val="15"/>
                <w:szCs w:val="15"/>
                <w:color w:val="auto"/>
              </w:rPr>
            </w:pPr>
          </w:p>
        </w:tc>
        <w:tc>
          <w:tcPr>
            <w:tcW w:w="30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3420" w:type="dxa"/>
            <w:vAlign w:val="bottom"/>
            <w:gridSpan w:val="3"/>
          </w:tcPr>
          <w:p>
            <w:pPr>
              <w:jc w:val="center"/>
              <w:ind w:right="560"/>
              <w:spacing w:after="0"/>
              <w:rPr>
                <w:sz w:val="20"/>
                <w:szCs w:val="20"/>
                <w:color w:val="auto"/>
              </w:rPr>
            </w:pPr>
            <w:r>
              <w:rPr>
                <w:rFonts w:ascii="Arial" w:cs="Arial" w:eastAsia="Arial" w:hAnsi="Arial"/>
                <w:sz w:val="16"/>
                <w:szCs w:val="16"/>
                <w:color w:val="auto"/>
                <w:w w:val="89"/>
              </w:rPr>
              <w:t>Common Stock, $0.001 Par Value Per Share</w:t>
            </w:r>
          </w:p>
        </w:tc>
        <w:tc>
          <w:tcPr>
            <w:tcW w:w="56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Arial" w:cs="Arial" w:eastAsia="Arial" w:hAnsi="Arial"/>
                <w:sz w:val="16"/>
                <w:szCs w:val="16"/>
                <w:color w:val="auto"/>
                <w:w w:val="94"/>
              </w:rPr>
              <w:t>VRSN</w:t>
            </w: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91" w:lineRule="exact"/>
        <w:rPr>
          <w:sz w:val="24"/>
          <w:szCs w:val="24"/>
          <w:color w:val="auto"/>
        </w:rPr>
      </w:pPr>
    </w:p>
    <w:p>
      <w:pPr>
        <w:ind w:right="14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20" w:type="dxa"/>
            <w:vAlign w:val="bottom"/>
          </w:tcPr>
          <w:p>
            <w:pPr>
              <w:spacing w:after="0"/>
              <w:rPr>
                <w:sz w:val="22"/>
                <w:szCs w:val="22"/>
                <w:color w:val="auto"/>
              </w:rPr>
            </w:pPr>
          </w:p>
        </w:tc>
        <w:tc>
          <w:tcPr>
            <w:tcW w:w="10200" w:type="dxa"/>
            <w:vAlign w:val="bottom"/>
          </w:tcPr>
          <w:p>
            <w:pPr>
              <w:ind w:left="7780"/>
              <w:spacing w:after="0"/>
              <w:rPr>
                <w:sz w:val="20"/>
                <w:szCs w:val="20"/>
                <w:color w:val="auto"/>
              </w:rPr>
            </w:pPr>
            <w:r>
              <w:rPr>
                <w:rFonts w:ascii="Arial" w:cs="Arial" w:eastAsia="Arial" w:hAnsi="Arial"/>
                <w:sz w:val="16"/>
                <w:szCs w:val="16"/>
                <w:color w:val="auto"/>
              </w:rPr>
              <w:t>Emerging growth company</w:t>
            </w:r>
          </w:p>
        </w:tc>
        <w:tc>
          <w:tcPr>
            <w:tcW w:w="820" w:type="dxa"/>
            <w:vAlign w:val="bottom"/>
            <w:gridSpan w:val="2"/>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10420" w:type="dxa"/>
            <w:vAlign w:val="bottom"/>
            <w:gridSpan w:val="2"/>
          </w:tcPr>
          <w:p>
            <w:pPr>
              <w:ind w:left="20"/>
              <w:spacing w:after="0"/>
              <w:rPr>
                <w:sz w:val="20"/>
                <w:szCs w:val="20"/>
                <w:color w:val="auto"/>
              </w:rPr>
            </w:pPr>
            <w:r>
              <w:rPr>
                <w:rFonts w:ascii="Arial" w:cs="Arial" w:eastAsia="Arial" w:hAnsi="Arial"/>
                <w:sz w:val="16"/>
                <w:szCs w:val="16"/>
                <w:color w:val="auto"/>
                <w:w w:val="94"/>
              </w:rPr>
              <w:t>If an emerging growth company, indicate by check mark if the registrant has elected not to use the extended transition period for complying with any new or</w:t>
            </w:r>
          </w:p>
        </w:tc>
        <w:tc>
          <w:tcPr>
            <w:tcW w:w="820" w:type="dxa"/>
            <w:vAlign w:val="bottom"/>
            <w:gridSpan w:val="2"/>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4"/>
        </w:trPr>
        <w:tc>
          <w:tcPr>
            <w:tcW w:w="10420" w:type="dxa"/>
            <w:vAlign w:val="bottom"/>
            <w:gridSpan w:val="2"/>
          </w:tcPr>
          <w:p>
            <w:pPr>
              <w:ind w:left="20"/>
              <w:spacing w:after="0"/>
              <w:rPr>
                <w:sz w:val="20"/>
                <w:szCs w:val="20"/>
                <w:color w:val="auto"/>
              </w:rPr>
            </w:pPr>
            <w:r>
              <w:rPr>
                <w:rFonts w:ascii="Arial" w:cs="Arial" w:eastAsia="Arial" w:hAnsi="Arial"/>
                <w:sz w:val="16"/>
                <w:szCs w:val="16"/>
                <w:color w:val="auto"/>
              </w:rPr>
              <w:t>revised financial accounting standards provided pursuant to Section 13(a) of the Exchange Act.</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10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22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p>
      <w:pPr>
        <w:ind w:left="20"/>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62"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On February 11, 2021, VeriSign, Inc. (the “Company”) announced its financial results for the fiscal quarter and year ended December 31, 2020. A copy of this press release is attached hereto as Exhibit 99.1.</w:t>
      </w:r>
    </w:p>
    <w:p>
      <w:pPr>
        <w:spacing w:after="0" w:line="35"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Company is required to disclose annually the following non-guarantor subsidiary financial information pursuant to section 4.2(d) of the indentures governing each of the Company’s senior notes:</w:t>
      </w:r>
    </w:p>
    <w:p>
      <w:pPr>
        <w:spacing w:after="0" w:line="35"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As of December 31, 2020, the Company’s non-guarantor subsidiaries collectively had (1) liabilities (excluding intercompany liabilities) of $420.7 million (13.3% of the Company’s consolidated total liabilities), of which $342.4 million were deferred revenues, (2) assets (excluding intercompany assets) of $820.1 million (46.4% of the Company’s consolidated total assets), of which $781.7 million were cash, cash equivalents and marketable securities held by foreign subsidiaries and (3) assets (excluding cash, cash equivalents and marketable securities, and intercompany assets) of $38.4 million (6.4% of the Company’s consolidated total assets, excluding cash, cash equivalents and marketable securities).</w:t>
      </w:r>
    </w:p>
    <w:p>
      <w:pPr>
        <w:spacing w:after="0" w:line="41"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For the twelve months ended December 31, 2020, the Company’s non-guarantor subsidiaries collectively had Adjusted EBITDA of $293.4 million (31.6% of the Company’s consolidated Adjusted EBITDA), which includes intercompany transactions with the Company. Such intercompany transactions represent the majority of the Company’s non-guarantor subsidiaries’ aggregate expenses. Intercompany transactions and allocations of revenues and costs between the parent and the non-guarantor subsidiaries can vary significantly. Therefore, the Company believes that period-to-period comparisons of Adjusted EBITDA of the Company’s non-guarantor subsidiaries may not necessarily be meaningful.</w:t>
      </w:r>
    </w:p>
    <w:p>
      <w:pPr>
        <w:spacing w:after="0" w:line="41"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Adjusted EBITDA is a non-GAAP financial measure and is calculated in accordance with the terms of the indentures governing the Company’s senior notes. Adjusted EBITDA refers to net income before interest, taxes, depreciation and amortization, stock-based compensation, unrealized gain/loss on hedging agreements, and gain on the sale of a business. Management believes that Adjusted EBITDA supplements the financial data prepared in accordance with GAAP by providing investors with additional information that allows them to have a clearer picture of the Company’s operations and financial performance and the comparability of the Company’s operating results from period to period. The presentation of this additional information is not meant to be considered in isolation nor as a substitute for results prepared in accordance with GAAP. The table below reconciles the Company’s consolidated Net Income, which is the most directly comparable financial measure calculated and presented in accordance with generally accepted accounting principles (GAAP), to the Company’s consolidated non-GAAP Adjusted EBITDA for the year ended December 31, 2020.</w:t>
      </w:r>
    </w:p>
    <w:p>
      <w:pPr>
        <w:sectPr>
          <w:pgSz w:w="11900" w:h="16838" w:orient="portrait"/>
          <w:cols w:equalWidth="0" w:num="1">
            <w:col w:w="11240"/>
          </w:cols>
          <w:pgMar w:left="320" w:top="8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Income tax benefit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Stock-based compensation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Unrealized loss on hedging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 on sale of business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Adjusted EBITDA</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2060" w:type="dxa"/>
            <w:vAlign w:val="bottom"/>
          </w:tcPr>
          <w:p>
            <w:pPr>
              <w:jc w:val="center"/>
              <w:ind w:right="239"/>
              <w:spacing w:after="0"/>
              <w:rPr>
                <w:sz w:val="20"/>
                <w:szCs w:val="20"/>
                <w:color w:val="auto"/>
              </w:rPr>
            </w:pPr>
            <w:r>
              <w:rPr>
                <w:rFonts w:ascii="Arial" w:cs="Arial" w:eastAsia="Arial" w:hAnsi="Arial"/>
                <w:sz w:val="16"/>
                <w:szCs w:val="16"/>
                <w:b w:val="1"/>
                <w:bCs w:val="1"/>
                <w:color w:val="auto"/>
                <w:w w:val="93"/>
              </w:rPr>
              <w:t>Year Ended</w:t>
            </w:r>
          </w:p>
        </w:tc>
      </w:tr>
      <w:tr>
        <w:trPr>
          <w:trHeight w:val="213"/>
        </w:trPr>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December 31, 2020</w:t>
            </w:r>
          </w:p>
        </w:tc>
      </w:tr>
      <w:tr>
        <w:trPr>
          <w:trHeight w:val="207"/>
        </w:trPr>
        <w:tc>
          <w:tcPr>
            <w:tcW w:w="320" w:type="dxa"/>
            <w:vAlign w:val="bottom"/>
          </w:tcPr>
          <w:p>
            <w:pPr>
              <w:spacing w:after="0"/>
              <w:rPr>
                <w:sz w:val="17"/>
                <w:szCs w:val="17"/>
                <w:color w:val="auto"/>
              </w:rPr>
            </w:pPr>
          </w:p>
        </w:tc>
        <w:tc>
          <w:tcPr>
            <w:tcW w:w="206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(in millions)</w:t>
            </w:r>
          </w:p>
        </w:tc>
      </w:tr>
      <w:tr>
        <w:trPr>
          <w:trHeight w:val="216"/>
        </w:trPr>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814.9</w:t>
            </w:r>
          </w:p>
        </w:tc>
      </w:tr>
      <w:tr>
        <w:trPr>
          <w:trHeight w:val="216"/>
        </w:trPr>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216"/>
        </w:trPr>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6"/>
        </w:trPr>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46.4</w:t>
            </w:r>
          </w:p>
        </w:tc>
      </w:tr>
      <w:tr>
        <w:trPr>
          <w:trHeight w:val="216"/>
        </w:trPr>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6"/>
        </w:trPr>
        <w:tc>
          <w:tcPr>
            <w:tcW w:w="3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9"/>
        </w:trPr>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09"/>
        </w:trPr>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928.9</w:t>
            </w:r>
          </w:p>
        </w:tc>
      </w:tr>
      <w:tr>
        <w:trPr>
          <w:trHeight w:val="24"/>
        </w:trPr>
        <w:tc>
          <w:tcPr>
            <w:tcW w:w="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2">
            <w:col w:w="8140" w:space="720"/>
            <w:col w:w="2380"/>
          </w:cols>
          <w:pgMar w:left="320" w:top="864" w:right="339" w:bottom="1440" w:gutter="0" w:footer="0" w:header="0"/>
          <w:type w:val="continuous"/>
        </w:sectPr>
      </w:pPr>
    </w:p>
    <w:p>
      <w:pPr>
        <w:ind w:right="20" w:firstLine="405"/>
        <w:spacing w:after="0" w:line="263" w:lineRule="auto"/>
        <w:rPr>
          <w:sz w:val="20"/>
          <w:szCs w:val="20"/>
          <w:color w:val="auto"/>
        </w:rPr>
      </w:pPr>
      <w:r>
        <w:rPr>
          <w:rFonts w:ascii="Arial" w:cs="Arial" w:eastAsia="Arial" w:hAnsi="Arial"/>
          <w:sz w:val="18"/>
          <w:szCs w:val="18"/>
          <w:color w:val="auto"/>
        </w:rPr>
        <w:t>The information in this Item 2.02 of Form 8-K and the Exhibit attached hereto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8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Effective February 11, 2021, the Company’s Board of Directors authorized the repurchase of an additional approximately $747.0 million of common stock under the Company’s share repurchase program, which, in addition to the approximately $253.0 million of common stock that remained available for repurchase under the program, resulted in a total repurchase authorization of up to $1.0 billion of common stock under the program. The share repurchase program has no expiration date. Purchases made under the share repurchase program can be effected through open market transactions, block purchases, accelerated share repurchase agreements or other negotiated transactions.</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40" w:hanging="251"/>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2"/>
                <w:szCs w:val="12"/>
                <w:color w:val="auto"/>
              </w:rPr>
            </w:pPr>
          </w:p>
        </w:tc>
        <w:tc>
          <w:tcPr>
            <w:tcW w:w="105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500" w:type="dxa"/>
            <w:vAlign w:val="bottom"/>
            <w:gridSpan w:val="3"/>
          </w:tcPr>
          <w:p>
            <w:pPr>
              <w:ind w:left="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Text of press release of VeriSign, Inc. issued on February 11, 2021.</w:t>
              </w:r>
            </w:hyperlink>
          </w:p>
        </w:tc>
        <w:tc>
          <w:tcPr>
            <w:tcW w:w="0" w:type="dxa"/>
            <w:vAlign w:val="bottom"/>
          </w:tcPr>
          <w:p>
            <w:pPr>
              <w:spacing w:after="0"/>
              <w:rPr>
                <w:sz w:val="1"/>
                <w:szCs w:val="1"/>
                <w:color w:val="auto"/>
              </w:rPr>
            </w:pPr>
          </w:p>
        </w:tc>
      </w:tr>
      <w:tr>
        <w:trPr>
          <w:trHeight w:val="297"/>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500" w:type="dxa"/>
            <w:vAlign w:val="bottom"/>
            <w:gridSpan w:val="3"/>
          </w:tcPr>
          <w:p>
            <w:pPr>
              <w:ind w:left="200"/>
              <w:spacing w:after="0"/>
              <w:rPr>
                <w:sz w:val="20"/>
                <w:szCs w:val="20"/>
                <w:color w:val="auto"/>
              </w:rPr>
            </w:pPr>
            <w:r>
              <w:rPr>
                <w:rFonts w:ascii="Arial" w:cs="Arial" w:eastAsia="Arial" w:hAnsi="Arial"/>
                <w:sz w:val="18"/>
                <w:szCs w:val="18"/>
                <w:color w:val="auto"/>
              </w:rPr>
              <w:t>Inline XBRL for the cover page of this Current Report on Form 8-K</w:t>
            </w:r>
          </w:p>
        </w:tc>
        <w:tc>
          <w:tcPr>
            <w:tcW w:w="0" w:type="dxa"/>
            <w:vAlign w:val="bottom"/>
          </w:tcPr>
          <w:p>
            <w:pPr>
              <w:spacing w:after="0"/>
              <w:rPr>
                <w:sz w:val="1"/>
                <w:szCs w:val="1"/>
                <w:color w:val="auto"/>
              </w:rPr>
            </w:pPr>
          </w:p>
        </w:tc>
      </w:tr>
      <w:tr>
        <w:trPr>
          <w:trHeight w:val="817"/>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VERISIGN, INC.</w:t>
      </w:r>
    </w:p>
    <w:p>
      <w:pPr>
        <w:spacing w:after="0" w:line="306" w:lineRule="exact"/>
        <w:rPr>
          <w:sz w:val="20"/>
          <w:szCs w:val="20"/>
          <w:color w:val="auto"/>
        </w:rPr>
      </w:pPr>
    </w:p>
    <w:p>
      <w:pPr>
        <w:ind w:left="20"/>
        <w:spacing w:after="0"/>
        <w:tabs>
          <w:tab w:leader="none" w:pos="5280" w:val="left"/>
          <w:tab w:leader="none" w:pos="5860" w:val="left"/>
        </w:tabs>
        <w:rPr>
          <w:sz w:val="20"/>
          <w:szCs w:val="20"/>
          <w:color w:val="auto"/>
        </w:rPr>
      </w:pPr>
      <w:r>
        <w:rPr>
          <w:rFonts w:ascii="Arial" w:cs="Arial" w:eastAsia="Arial" w:hAnsi="Arial"/>
          <w:sz w:val="18"/>
          <w:szCs w:val="18"/>
          <w:color w:val="auto"/>
        </w:rPr>
        <w:t>Date: February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C. Indelicarto</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-130175</wp:posOffset>
            </wp:positionV>
            <wp:extent cx="31718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729" w:right="8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Exhibit Index</w:t>
      </w:r>
    </w:p>
    <w:p>
      <w:pPr>
        <w:spacing w:after="0" w:line="379"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50" w:lineRule="exact"/>
        <w:rPr>
          <w:sz w:val="20"/>
          <w:szCs w:val="20"/>
          <w:color w:val="auto"/>
        </w:rPr>
      </w:pPr>
    </w:p>
    <w:p>
      <w:pPr>
        <w:ind w:left="20"/>
        <w:spacing w:after="0"/>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Exhibit 99.1</w:t>
      </w:r>
      <w:r>
        <w:rPr>
          <w:sz w:val="20"/>
          <w:szCs w:val="20"/>
          <w:color w:val="auto"/>
        </w:rPr>
        <w:tab/>
      </w:r>
      <w:hyperlink w:anchor="page6">
        <w:r>
          <w:rPr>
            <w:rFonts w:ascii="Arial" w:cs="Arial" w:eastAsia="Arial" w:hAnsi="Arial"/>
            <w:sz w:val="16"/>
            <w:szCs w:val="16"/>
            <w:u w:val="single" w:color="auto"/>
            <w:color w:val="0000FF"/>
          </w:rPr>
          <w:t>Text of press release of VeriSign, Inc. issued on February 11, 2021.</w:t>
        </w:r>
      </w:hyperlink>
    </w:p>
    <w:p>
      <w:pPr>
        <w:spacing w:after="0" w:line="90"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Inline XBRL for the cover page of this Current Report on Form 8-K</w:t>
      </w:r>
    </w:p>
    <w:p>
      <w:pPr>
        <w:sectPr>
          <w:pgSz w:w="11900" w:h="16838" w:orient="portrait"/>
          <w:cols w:equalWidth="0" w:num="1">
            <w:col w:w="10139"/>
          </w:cols>
          <w:pgMar w:left="320" w:top="733"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908685" cy="797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0868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23"/>
          <w:szCs w:val="23"/>
          <w:b w:val="1"/>
          <w:bCs w:val="1"/>
          <w:color w:val="auto"/>
        </w:rPr>
        <w:t>Verisign Reports Fourth Quarter and Full Year 2020 Results</w:t>
      </w: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RESTON, VA - Feb. 11, 2021 - </w:t>
      </w:r>
      <w:r>
        <w:rPr>
          <w:rFonts w:ascii="Arial" w:cs="Arial" w:eastAsia="Arial" w:hAnsi="Arial"/>
          <w:sz w:val="18"/>
          <w:szCs w:val="18"/>
          <w:color w:val="auto"/>
        </w:rPr>
        <w:t>VeriSign, Inc. (NASDAQ: VRSN), a global provider of domain name registry services and internet infrastructure, today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financial results for the fourth quarter and full year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Financial Results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VeriSign, Inc. and subsidiaries (“Verisign”) reported revenue of $320 million for the fourth quarter of 2020, up 3.1 percent from the same quarter in 2019. Verisign reported net income of $157 million and diluted earnings per share (diluted “EPS”) of $1.38 for the fourth quarter of 2020, compared to net income of $148 million and diluted EPS of $1.26 for the same quarter in 2019. The operating margin was 63.9 percent for the fourth quarters of 2020 and 2019.</w:t>
      </w:r>
    </w:p>
    <w:p>
      <w:pPr>
        <w:spacing w:after="0" w:line="22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income for the fourth quarter of 2020 included recognition of $12.4 million of previously unrecognized income tax benefits as a result of the lapse of certain statutes of limitations. This income tax benefit increased diluted EPS by $0.11.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Financial Results</w:t>
      </w:r>
    </w:p>
    <w:p>
      <w:pPr>
        <w:spacing w:after="0" w:line="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Verisign reported revenue of $1.27 billion for 2020, up 2.7 percent from $1.23 billion in 2019. Verisign reported net income of $815 million and diluted EPS of $7.07 for 2020, compared to net income of $612 million and diluted EPS of $5.15 in 2019. The operating margin for 2020 was 65.2 percent compared to 65.5 percent in 2019.</w:t>
      </w:r>
    </w:p>
    <w:p>
      <w:pPr>
        <w:spacing w:after="0" w:line="2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Net income for the full year of 2020 included the recognition of $204.2 million of previously unrecognized income tax benefits. These benefits resulted from remeasurements of Verisign’s accrual for uncertain tax positions as previously noted in the first and third quarter 2020 earnings releases and also due to the lapse of certain statutes of limitations noted above. Cumulatively, these income tax benefits increased diluted EPS by $1.77 for 2020.</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“Reliance on internet services increased significantly due to the global events of 2020. Our resilient network design and preparedness over decades for challenging scenarios, and our agility and preparation for working remotely, enabled us to reliably and securely meet increased global dependence on the internet,” said Jim Bidzos, Executive Chairman and Chief Executive Officer.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Verisign ended 2020 with cash, cash equivalents, and marketable securities of $1.17 billion, a decrease of $51 million from year-end 2019.</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was $195 million for the fourth quarter of 2020 and $730 million for the full year of 2020 compared with $194 million for the same quarter in 2019 and $754 million for the full year 2019.</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Deferred revenues as of Dec. 31, 2020, totaled $1.06 billion, an increase of $29 million from year-end 2019.</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fourth quarter of 2020, Verisign repurchased 0.8 million shares of its common stock for $170 million. During the full year of 2020, Verisign repurchased 3.7 million shares of its common stock for $735 million.</w:t>
      </w:r>
    </w:p>
    <w:p>
      <w:pPr>
        <w:ind w:left="660" w:right="18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Feb. 11, 2021 the Board of Directors approved an additional authorization for share repurchases of approximately $747 million of common stock, which brings the total amount to $1.0 billion authorized and available under Verisign’s share repurchase program, which has no expiration.</w:t>
      </w:r>
    </w:p>
    <w:p>
      <w:pPr>
        <w:sectPr>
          <w:pgSz w:w="11900" w:h="16838" w:orient="portrait"/>
          <w:cols w:equalWidth="0" w:num="1">
            <w:col w:w="11160"/>
          </w:cols>
          <w:pgMar w:left="320" w:top="1440"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Business Highlights</w:t>
      </w:r>
    </w:p>
    <w:p>
      <w:pPr>
        <w:spacing w:after="0" w:line="200" w:lineRule="exact"/>
        <w:rPr>
          <w:sz w:val="20"/>
          <w:szCs w:val="20"/>
          <w:color w:val="auto"/>
        </w:rPr>
      </w:pPr>
    </w:p>
    <w:p>
      <w:pPr>
        <w:spacing w:after="0" w:line="299" w:lineRule="exact"/>
        <w:rPr>
          <w:sz w:val="20"/>
          <w:szCs w:val="20"/>
          <w:color w:val="auto"/>
        </w:rPr>
      </w:pPr>
    </w:p>
    <w:p>
      <w:pPr>
        <w:ind w:left="660" w:right="400" w:hanging="328"/>
        <w:spacing w:after="0" w:line="29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Verisign ended the fourth quarter of 2020 with 165.2 million .com and .net domain name registrations in the domain name base, a 4.0 percent increase from the end of the fourth quarter of 2019, and a net increase of 1.46 million registrations during the fourth quarter of 2020.</w:t>
      </w:r>
    </w:p>
    <w:p>
      <w:pPr>
        <w:ind w:left="660" w:right="2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fourth quarter of 2020, Verisign processed 10.5 million new domain name registrations for .com and .net, as compared to 10.3 million for the same quarter in 2019.</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final .com and .net renewal rate was 73.7 percent for the third quarters of 2020 and 2019. Renewal rates are not fully measurable until 45 days after the end of the quarter.</w:t>
      </w:r>
    </w:p>
    <w:p>
      <w:pPr>
        <w:ind w:left="660" w:right="3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Verisign announces that it will increase the annual registry-level wholesale fee for each new and renewal .com domain name registration from $7.85 to $8.39, effective Sept. 1, 2021.</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Today’s Conference Call</w:t>
      </w:r>
    </w:p>
    <w:p>
      <w:pPr>
        <w:spacing w:after="0" w:line="2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 xml:space="preserve">Verisign will host a live conference call today at 4:30 p.m. (EST) to review the fourth quarter and full year 2020 results. The call will be accessible by direct dial at (888) 676-VRSN (U.S.) or (786) 789-4776 (international), conference ID: Verisign. A listen-only live web cast of the conference call and accompanying slide presentation will also be available at </w:t>
      </w:r>
      <w:r>
        <w:rPr>
          <w:rFonts w:ascii="Arial" w:cs="Arial" w:eastAsia="Arial" w:hAnsi="Arial"/>
          <w:sz w:val="18"/>
          <w:szCs w:val="18"/>
          <w:u w:val="single" w:color="auto"/>
          <w:color w:val="0000FF"/>
        </w:rPr>
        <w:t>https://investor.verisign.com</w:t>
      </w:r>
      <w:r>
        <w:rPr>
          <w:rFonts w:ascii="Arial" w:cs="Arial" w:eastAsia="Arial" w:hAnsi="Arial"/>
          <w:sz w:val="18"/>
          <w:szCs w:val="18"/>
          <w:color w:val="auto"/>
        </w:rPr>
        <w:t xml:space="preserve">. An audio archive of the call will be available at </w:t>
      </w:r>
      <w:r>
        <w:rPr>
          <w:rFonts w:ascii="Arial" w:cs="Arial" w:eastAsia="Arial" w:hAnsi="Arial"/>
          <w:sz w:val="18"/>
          <w:szCs w:val="18"/>
          <w:u w:val="single" w:color="auto"/>
          <w:color w:val="0000FF"/>
        </w:rPr>
        <w:t>https://investor.verisign.com/events.cfm</w:t>
      </w:r>
      <w:r>
        <w:rPr>
          <w:rFonts w:ascii="Arial" w:cs="Arial" w:eastAsia="Arial" w:hAnsi="Arial"/>
          <w:sz w:val="18"/>
          <w:szCs w:val="18"/>
          <w:color w:val="000000"/>
        </w:rPr>
        <w:t>. This news release and the financial information discussed on today’s conference call are available at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https://investor.verisign.com</w:t>
      </w:r>
      <w:r>
        <w:rPr>
          <w:rFonts w:ascii="Arial" w:cs="Arial" w:eastAsia="Arial" w:hAnsi="Arial"/>
          <w:sz w:val="18"/>
          <w:szCs w:val="18"/>
          <w:color w:val="000000"/>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Verisign</w:t>
      </w:r>
    </w:p>
    <w:p>
      <w:pPr>
        <w:spacing w:after="0" w:line="2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Verisign, a global provider of domain name registry services and internet infrastructure, enables internet navigation for many of the world’s most recognized domain names. Verisign enables the security, stability, and resiliency of key internet infrastructure and services, including providing root zone maintainer services, operating two of the 13 global internet root servers, and providing registration services and authoritative resolution for the .com and</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 xml:space="preserve">.net top-level domains, which support the majority of global e-commerce. To learn more about what it means to be Powered by Verisign, please visit </w:t>
      </w:r>
      <w:r>
        <w:rPr>
          <w:rFonts w:ascii="Arial" w:cs="Arial" w:eastAsia="Arial" w:hAnsi="Arial"/>
          <w:sz w:val="18"/>
          <w:szCs w:val="18"/>
          <w:u w:val="single" w:color="auto"/>
          <w:color w:val="0000FF"/>
        </w:rPr>
        <w:t>Verisign.com</w:t>
      </w:r>
      <w:r>
        <w:rPr>
          <w:rFonts w:ascii="Arial" w:cs="Arial" w:eastAsia="Arial" w:hAnsi="Arial"/>
          <w:sz w:val="18"/>
          <w:szCs w:val="18"/>
          <w:color w:val="000000"/>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VRSNF</w:t>
      </w:r>
    </w:p>
    <w:p>
      <w:pPr>
        <w:spacing w:after="0" w:line="25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Statements in this announcement other than historical data and information constitute forward-looking statements within the meaning of Section 27A of the Securities Act of 1933 as amended and Section 21E of the Securities Exchange Act of 1934 as amended. These statements involve risks and uncertainties that could cause our actual results to differ materially from those stated or implied by such forward-looking statements. The potential risks and uncertainties include, among others, the effects of the COVID-19 pandemic, risks arising from the agreements governing our business; new or existing governmental laws and regulations in the U.S. or other applicable foreign jurisdictions; system interruptions, security breaches, attacks on the internet by hackers, viruses, or intentional acts of vandalism; the uncertainty of the impact of changes to the multi-stakeholder model of internet governance; risks arising from our operation of two root zone servers and our performance of the Root Zone Maintainer functions; changes in internet practices and behavior and the adoption of substitute technologies; the success or failure of the evolution of our markets; the highly competitive business environment in which we operate; whether we can maintain strong relationships with registrars and their resellers to maintain their marketing focus on our products and services; the possibility of system interruptions or failures; challenging global economic conditions; economic, legal and political risk associated with our international operations; our ability to protect and enforce our rights to our intellectual property and ensure that we do not infringe on others’ intellectual property; the outcome of legal or other challenges resulting from our activities or the activities of registrars or registrants, or litigation generally; the impact of our new strategic initiatives, including our IDN gTLDs; whether we can retain and motivate our senior management and key employees; and the impact of unfavorable tax rules and regulations. More information about potential factors that could affect our business and financial results is included in our filings with the SEC, including in our Annual Report on Form 10-K for the year ended Dec. 31, 2019, Quarterly Reports on Form 10-Q and Current Reports on Form 8-K. Verisign undertakes no obligation to update any of the forward-looking statements after the date of this announcement.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 Relations: David Atchley, </w:t>
      </w:r>
      <w:r>
        <w:rPr>
          <w:rFonts w:ascii="Arial" w:cs="Arial" w:eastAsia="Arial" w:hAnsi="Arial"/>
          <w:sz w:val="18"/>
          <w:szCs w:val="18"/>
          <w:u w:val="single" w:color="auto"/>
          <w:color w:val="0000FF"/>
        </w:rPr>
        <w:t>datchley@verisign.com</w:t>
      </w:r>
      <w:r>
        <w:rPr>
          <w:rFonts w:ascii="Arial" w:cs="Arial" w:eastAsia="Arial" w:hAnsi="Arial"/>
          <w:sz w:val="18"/>
          <w:szCs w:val="18"/>
          <w:color w:val="auto"/>
        </w:rPr>
        <w:t>, 703-948-4643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Relations: James Barbour, </w:t>
      </w:r>
      <w:r>
        <w:rPr>
          <w:rFonts w:ascii="Arial" w:cs="Arial" w:eastAsia="Arial" w:hAnsi="Arial"/>
          <w:sz w:val="18"/>
          <w:szCs w:val="18"/>
          <w:u w:val="single" w:color="auto"/>
          <w:color w:val="0000FF"/>
        </w:rPr>
        <w:t>jbarbour@verisign.com</w:t>
      </w:r>
      <w:r>
        <w:rPr>
          <w:rFonts w:ascii="Arial" w:cs="Arial" w:eastAsia="Arial" w:hAnsi="Arial"/>
          <w:sz w:val="18"/>
          <w:szCs w:val="18"/>
          <w:color w:val="auto"/>
        </w:rPr>
        <w:t>, 703-948-3800</w:t>
      </w:r>
    </w:p>
    <w:p>
      <w:pPr>
        <w:spacing w:after="0" w:line="238" w:lineRule="exact"/>
        <w:rPr>
          <w:sz w:val="20"/>
          <w:szCs w:val="20"/>
          <w:color w:val="auto"/>
        </w:rPr>
      </w:pPr>
    </w:p>
    <w:p>
      <w:pPr>
        <w:ind w:right="640"/>
        <w:spacing w:after="0" w:line="255" w:lineRule="auto"/>
        <w:rPr>
          <w:sz w:val="20"/>
          <w:szCs w:val="20"/>
          <w:color w:val="auto"/>
        </w:rPr>
      </w:pPr>
      <w:r>
        <w:rPr>
          <w:rFonts w:ascii="Arial" w:cs="Arial" w:eastAsia="Arial" w:hAnsi="Arial"/>
          <w:sz w:val="13"/>
          <w:szCs w:val="13"/>
          <w:color w:val="auto"/>
        </w:rPr>
        <w:t>©2021 VeriSign, Inc. All rights reserved. VERISIGN, the VERISIGN logo, and other trademarks, service marks, and designs are registered or unregistered trademarks of VeriSign, Inc. and its subsidiaries in the United States and in foreign countries. All other trademarks are property of their respective owners.</w:t>
      </w:r>
    </w:p>
    <w:p>
      <w:pPr>
        <w:sectPr>
          <w:pgSz w:w="11900" w:h="16838" w:orient="portrait"/>
          <w:cols w:equalWidth="0" w:num="1">
            <w:col w:w="11220"/>
          </w:cols>
          <w:pgMar w:left="32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6160" w:type="dxa"/>
            <w:vAlign w:val="bottom"/>
            <w:gridSpan w:val="4"/>
          </w:tcPr>
          <w:p>
            <w:pPr>
              <w:jc w:val="center"/>
              <w:ind w:right="2220"/>
              <w:spacing w:after="0" w:line="176" w:lineRule="exact"/>
              <w:rPr>
                <w:sz w:val="20"/>
                <w:szCs w:val="20"/>
                <w:color w:val="auto"/>
              </w:rPr>
            </w:pPr>
            <w:r>
              <w:rPr>
                <w:rFonts w:ascii="Arial" w:cs="Arial" w:eastAsia="Arial" w:hAnsi="Arial"/>
                <w:sz w:val="18"/>
                <w:szCs w:val="18"/>
                <w:b w:val="1"/>
                <w:bCs w:val="1"/>
                <w:color w:val="auto"/>
                <w:w w:val="91"/>
              </w:rPr>
              <w:t>ASSETS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5"/>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401,194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508,196</w:t>
            </w:r>
          </w:p>
        </w:tc>
        <w:tc>
          <w:tcPr>
            <w:tcW w:w="0" w:type="dxa"/>
            <w:vAlign w:val="bottom"/>
          </w:tcPr>
          <w:p>
            <w:pPr>
              <w:spacing w:after="0"/>
              <w:rPr>
                <w:sz w:val="1"/>
                <w:szCs w:val="1"/>
                <w:color w:val="auto"/>
              </w:rPr>
            </w:pPr>
          </w:p>
        </w:tc>
      </w:tr>
      <w:tr>
        <w:trPr>
          <w:trHeight w:val="229"/>
        </w:trPr>
        <w:tc>
          <w:tcPr>
            <w:tcW w:w="83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709,863</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60,530</w:t>
            </w:r>
          </w:p>
        </w:tc>
        <w:tc>
          <w:tcPr>
            <w:tcW w:w="0" w:type="dxa"/>
            <w:vAlign w:val="bottom"/>
          </w:tcPr>
          <w:p>
            <w:pPr>
              <w:spacing w:after="0"/>
              <w:rPr>
                <w:sz w:val="1"/>
                <w:szCs w:val="1"/>
                <w:color w:val="auto"/>
              </w:rPr>
            </w:pPr>
          </w:p>
        </w:tc>
      </w:tr>
      <w:tr>
        <w:trPr>
          <w:trHeight w:val="223"/>
        </w:trPr>
        <w:tc>
          <w:tcPr>
            <w:tcW w:w="838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1,217,940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1,278,589</w:t>
            </w:r>
          </w:p>
        </w:tc>
        <w:tc>
          <w:tcPr>
            <w:tcW w:w="0" w:type="dxa"/>
            <w:vAlign w:val="bottom"/>
          </w:tcPr>
          <w:p>
            <w:pPr>
              <w:spacing w:after="0"/>
              <w:rPr>
                <w:sz w:val="1"/>
                <w:szCs w:val="1"/>
                <w:color w:val="auto"/>
              </w:rPr>
            </w:pPr>
          </w:p>
        </w:tc>
      </w:tr>
      <w:tr>
        <w:trPr>
          <w:trHeight w:val="223"/>
        </w:trPr>
        <w:tc>
          <w:tcPr>
            <w:tcW w:w="8380" w:type="dxa"/>
            <w:vAlign w:val="bottom"/>
            <w:gridSpan w:val="5"/>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250,283</w:t>
            </w:r>
          </w:p>
        </w:tc>
        <w:tc>
          <w:tcPr>
            <w:tcW w:w="0" w:type="dxa"/>
            <w:vAlign w:val="bottom"/>
          </w:tcPr>
          <w:p>
            <w:pPr>
              <w:spacing w:after="0"/>
              <w:rPr>
                <w:sz w:val="1"/>
                <w:szCs w:val="1"/>
                <w:color w:val="auto"/>
              </w:rPr>
            </w:pPr>
          </w:p>
        </w:tc>
      </w:tr>
      <w:tr>
        <w:trPr>
          <w:trHeight w:val="229"/>
        </w:trPr>
        <w:tc>
          <w:tcPr>
            <w:tcW w:w="8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52,527</w:t>
            </w:r>
          </w:p>
        </w:tc>
        <w:tc>
          <w:tcPr>
            <w:tcW w:w="0" w:type="dxa"/>
            <w:vAlign w:val="bottom"/>
          </w:tcPr>
          <w:p>
            <w:pPr>
              <w:spacing w:after="0"/>
              <w:rPr>
                <w:sz w:val="1"/>
                <w:szCs w:val="1"/>
                <w:color w:val="auto"/>
              </w:rPr>
            </w:pPr>
          </w:p>
        </w:tc>
      </w:tr>
      <w:tr>
        <w:trPr>
          <w:trHeight w:val="229"/>
        </w:trPr>
        <w:tc>
          <w:tcPr>
            <w:tcW w:w="8380" w:type="dxa"/>
            <w:vAlign w:val="bottom"/>
            <w:gridSpan w:val="5"/>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87,798</w:t>
            </w:r>
          </w:p>
        </w:tc>
        <w:tc>
          <w:tcPr>
            <w:tcW w:w="0" w:type="dxa"/>
            <w:vAlign w:val="bottom"/>
          </w:tcPr>
          <w:p>
            <w:pPr>
              <w:spacing w:after="0"/>
              <w:rPr>
                <w:sz w:val="1"/>
                <w:szCs w:val="1"/>
                <w:color w:val="auto"/>
              </w:rPr>
            </w:pPr>
          </w:p>
        </w:tc>
      </w:tr>
      <w:tr>
        <w:trPr>
          <w:trHeight w:val="230"/>
        </w:trPr>
        <w:tc>
          <w:tcPr>
            <w:tcW w:w="8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Deposits to acquire intangible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39,812</w:t>
            </w:r>
          </w:p>
        </w:tc>
        <w:tc>
          <w:tcPr>
            <w:tcW w:w="0" w:type="dxa"/>
            <w:vAlign w:val="bottom"/>
          </w:tcPr>
          <w:p>
            <w:pPr>
              <w:spacing w:after="0"/>
              <w:rPr>
                <w:sz w:val="1"/>
                <w:szCs w:val="1"/>
                <w:color w:val="auto"/>
              </w:rPr>
            </w:pPr>
          </w:p>
        </w:tc>
      </w:tr>
      <w:tr>
        <w:trPr>
          <w:trHeight w:val="223"/>
        </w:trPr>
        <w:tc>
          <w:tcPr>
            <w:tcW w:w="838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Total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575,420</w:t>
            </w:r>
          </w:p>
        </w:tc>
        <w:tc>
          <w:tcPr>
            <w:tcW w:w="0" w:type="dxa"/>
            <w:vAlign w:val="bottom"/>
          </w:tcPr>
          <w:p>
            <w:pPr>
              <w:spacing w:after="0"/>
              <w:rPr>
                <w:sz w:val="1"/>
                <w:szCs w:val="1"/>
                <w:color w:val="auto"/>
              </w:rPr>
            </w:pPr>
          </w:p>
        </w:tc>
      </w:tr>
      <w:tr>
        <w:trPr>
          <w:trHeight w:val="223"/>
        </w:trPr>
        <w:tc>
          <w:tcPr>
            <w:tcW w:w="8380" w:type="dxa"/>
            <w:vAlign w:val="bottom"/>
            <w:gridSpan w:val="5"/>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1,854,009</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220" w:type="dxa"/>
            <w:vAlign w:val="bottom"/>
            <w:shd w:val="clear" w:color="auto" w:fill="CCEEFF"/>
          </w:tcPr>
          <w:p>
            <w:pPr>
              <w:spacing w:after="0"/>
              <w:rPr>
                <w:sz w:val="15"/>
                <w:szCs w:val="15"/>
                <w:color w:val="auto"/>
              </w:rPr>
            </w:pPr>
          </w:p>
        </w:tc>
        <w:tc>
          <w:tcPr>
            <w:tcW w:w="6160" w:type="dxa"/>
            <w:vAlign w:val="bottom"/>
            <w:gridSpan w:val="4"/>
            <w:shd w:val="clear" w:color="auto" w:fill="CCEEFF"/>
          </w:tcPr>
          <w:p>
            <w:pPr>
              <w:jc w:val="center"/>
              <w:ind w:right="2220"/>
              <w:spacing w:after="0" w:line="156" w:lineRule="exact"/>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Current liabilities:</w:t>
            </w:r>
          </w:p>
        </w:tc>
        <w:tc>
          <w:tcPr>
            <w:tcW w:w="3940" w:type="dxa"/>
            <w:vAlign w:val="bottom"/>
            <w:tcBorders>
              <w:top w:val="single" w:sz="8" w:color="auto"/>
            </w:tcBorders>
            <w:gridSpan w:val="3"/>
          </w:tcPr>
          <w:p>
            <w:pPr>
              <w:spacing w:after="0"/>
              <w:rPr>
                <w:sz w:val="19"/>
                <w:szCs w:val="19"/>
                <w:color w:val="auto"/>
              </w:rPr>
            </w:pPr>
          </w:p>
        </w:tc>
        <w:tc>
          <w:tcPr>
            <w:tcW w:w="22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209,988</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Deferred revenues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755,178</w:t>
            </w:r>
          </w:p>
        </w:tc>
        <w:tc>
          <w:tcPr>
            <w:tcW w:w="0" w:type="dxa"/>
            <w:vAlign w:val="bottom"/>
          </w:tcPr>
          <w:p>
            <w:pPr>
              <w:spacing w:after="0"/>
              <w:rPr>
                <w:sz w:val="1"/>
                <w:szCs w:val="1"/>
                <w:color w:val="auto"/>
              </w:rPr>
            </w:pPr>
          </w:p>
        </w:tc>
      </w:tr>
      <w:tr>
        <w:trPr>
          <w:trHeight w:val="223"/>
        </w:trPr>
        <w:tc>
          <w:tcPr>
            <w:tcW w:w="838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965,166</w:t>
            </w:r>
          </w:p>
        </w:tc>
        <w:tc>
          <w:tcPr>
            <w:tcW w:w="0" w:type="dxa"/>
            <w:vAlign w:val="bottom"/>
          </w:tcPr>
          <w:p>
            <w:pPr>
              <w:spacing w:after="0"/>
              <w:rPr>
                <w:sz w:val="1"/>
                <w:szCs w:val="1"/>
                <w:color w:val="auto"/>
              </w:rPr>
            </w:pPr>
          </w:p>
        </w:tc>
      </w:tr>
      <w:tr>
        <w:trPr>
          <w:trHeight w:val="223"/>
        </w:trPr>
        <w:tc>
          <w:tcPr>
            <w:tcW w:w="8380" w:type="dxa"/>
            <w:vAlign w:val="bottom"/>
            <w:gridSpan w:val="5"/>
          </w:tcPr>
          <w:p>
            <w:pPr>
              <w:ind w:left="20"/>
              <w:spacing w:after="0"/>
              <w:rPr>
                <w:sz w:val="20"/>
                <w:szCs w:val="20"/>
                <w:color w:val="auto"/>
              </w:rPr>
            </w:pPr>
            <w:r>
              <w:rPr>
                <w:rFonts w:ascii="Arial" w:cs="Arial" w:eastAsia="Arial" w:hAnsi="Arial"/>
                <w:sz w:val="18"/>
                <w:szCs w:val="18"/>
                <w:color w:val="auto"/>
              </w:rPr>
              <w:t>Long-term deferred revenues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282,838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278,702</w:t>
            </w:r>
          </w:p>
        </w:tc>
        <w:tc>
          <w:tcPr>
            <w:tcW w:w="0" w:type="dxa"/>
            <w:vAlign w:val="bottom"/>
          </w:tcPr>
          <w:p>
            <w:pPr>
              <w:spacing w:after="0"/>
              <w:rPr>
                <w:sz w:val="1"/>
                <w:szCs w:val="1"/>
                <w:color w:val="auto"/>
              </w:rPr>
            </w:pPr>
          </w:p>
        </w:tc>
      </w:tr>
      <w:tr>
        <w:trPr>
          <w:trHeight w:val="230"/>
        </w:trPr>
        <w:tc>
          <w:tcPr>
            <w:tcW w:w="8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1,787,565</w:t>
            </w: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Long-term tax and 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312,676</w:t>
            </w:r>
          </w:p>
        </w:tc>
        <w:tc>
          <w:tcPr>
            <w:tcW w:w="0" w:type="dxa"/>
            <w:vAlign w:val="bottom"/>
          </w:tcPr>
          <w:p>
            <w:pPr>
              <w:spacing w:after="0"/>
              <w:rPr>
                <w:sz w:val="1"/>
                <w:szCs w:val="1"/>
                <w:color w:val="auto"/>
              </w:rPr>
            </w:pPr>
          </w:p>
        </w:tc>
      </w:tr>
      <w:tr>
        <w:trPr>
          <w:trHeight w:val="223"/>
        </w:trPr>
        <w:tc>
          <w:tcPr>
            <w:tcW w:w="838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2,168,415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2,378,943</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gridSpan w:val="5"/>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3,157,108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3,344,109</w:t>
            </w:r>
          </w:p>
        </w:tc>
        <w:tc>
          <w:tcPr>
            <w:tcW w:w="0" w:type="dxa"/>
            <w:vAlign w:val="bottom"/>
          </w:tcPr>
          <w:p>
            <w:pPr>
              <w:spacing w:after="0"/>
              <w:rPr>
                <w:sz w:val="1"/>
                <w:szCs w:val="1"/>
                <w:color w:val="auto"/>
              </w:rPr>
            </w:pPr>
          </w:p>
        </w:tc>
      </w:tr>
      <w:tr>
        <w:trPr>
          <w:trHeight w:val="210"/>
        </w:trPr>
        <w:tc>
          <w:tcPr>
            <w:tcW w:w="83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gridSpan w:val="5"/>
          </w:tcPr>
          <w:p>
            <w:pPr>
              <w:ind w:left="20"/>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w w:val="92"/>
              </w:rPr>
              <w:t>Preferred stock—par value $.001 per share; Authorized shares: 5,000; Issued and outstanding shares: none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80" w:type="dxa"/>
            <w:vAlign w:val="bottom"/>
            <w:gridSpan w:val="5"/>
          </w:tcPr>
          <w:p>
            <w:pPr>
              <w:ind w:left="360"/>
              <w:spacing w:after="0" w:line="176" w:lineRule="exact"/>
              <w:rPr>
                <w:sz w:val="20"/>
                <w:szCs w:val="20"/>
                <w:color w:val="auto"/>
              </w:rPr>
            </w:pPr>
            <w:r>
              <w:rPr>
                <w:rFonts w:ascii="Arial" w:cs="Arial" w:eastAsia="Arial" w:hAnsi="Arial"/>
                <w:sz w:val="18"/>
                <w:szCs w:val="18"/>
                <w:color w:val="auto"/>
                <w:w w:val="90"/>
              </w:rPr>
              <w:t>Common stock and additional paid-in capital—par value $.001 per share; Authorized shares: 1,000,000; Issued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80" w:type="dxa"/>
            <w:vAlign w:val="bottom"/>
            <w:gridSpan w:val="5"/>
          </w:tcPr>
          <w:p>
            <w:pPr>
              <w:ind w:left="360"/>
              <w:spacing w:after="0" w:line="176" w:lineRule="exact"/>
              <w:rPr>
                <w:sz w:val="20"/>
                <w:szCs w:val="20"/>
                <w:color w:val="auto"/>
              </w:rPr>
            </w:pPr>
            <w:r>
              <w:rPr>
                <w:rFonts w:ascii="Arial" w:cs="Arial" w:eastAsia="Arial" w:hAnsi="Arial"/>
                <w:sz w:val="18"/>
                <w:szCs w:val="18"/>
                <w:color w:val="auto"/>
                <w:w w:val="92"/>
              </w:rPr>
              <w:t>shares: 353,789 at December 31, 2020 and 353,157 at December 31, 2019; Outstanding shares: 113,470 at</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14,275,160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14,990,011</w:t>
            </w:r>
          </w:p>
        </w:tc>
        <w:tc>
          <w:tcPr>
            <w:tcW w:w="0" w:type="dxa"/>
            <w:vAlign w:val="bottom"/>
          </w:tcPr>
          <w:p>
            <w:pPr>
              <w:spacing w:after="0"/>
              <w:rPr>
                <w:sz w:val="1"/>
                <w:szCs w:val="1"/>
                <w:color w:val="auto"/>
              </w:rPr>
            </w:pPr>
          </w:p>
        </w:tc>
      </w:tr>
      <w:tr>
        <w:trPr>
          <w:trHeight w:val="230"/>
        </w:trPr>
        <w:tc>
          <w:tcPr>
            <w:tcW w:w="8380" w:type="dxa"/>
            <w:vAlign w:val="bottom"/>
            <w:gridSpan w:val="5"/>
          </w:tcPr>
          <w:p>
            <w:pPr>
              <w:ind w:left="360"/>
              <w:spacing w:after="0"/>
              <w:rPr>
                <w:sz w:val="20"/>
                <w:szCs w:val="20"/>
                <w:color w:val="auto"/>
              </w:rPr>
            </w:pPr>
            <w:r>
              <w:rPr>
                <w:rFonts w:ascii="Arial" w:cs="Arial" w:eastAsia="Arial" w:hAnsi="Arial"/>
                <w:sz w:val="18"/>
                <w:szCs w:val="18"/>
                <w:color w:val="auto"/>
              </w:rPr>
              <w:t>December 31, 2020 and 116,715 at December 31, 2019</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(16,477,490)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gridSpan w:val="5"/>
          </w:tcPr>
          <w:p>
            <w:pPr>
              <w:ind w:left="3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3"/>
        </w:trPr>
        <w:tc>
          <w:tcPr>
            <w:tcW w:w="8380" w:type="dxa"/>
            <w:vAlign w:val="bottom"/>
            <w:gridSpan w:val="5"/>
            <w:shd w:val="clear" w:color="auto" w:fill="CCEEFF"/>
          </w:tcPr>
          <w:p>
            <w:pPr>
              <w:ind w:left="68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(1,490,100)</w:t>
            </w:r>
          </w:p>
        </w:tc>
        <w:tc>
          <w:tcPr>
            <w:tcW w:w="0" w:type="dxa"/>
            <w:vAlign w:val="bottom"/>
          </w:tcPr>
          <w:p>
            <w:pPr>
              <w:spacing w:after="0"/>
              <w:rPr>
                <w:sz w:val="1"/>
                <w:szCs w:val="1"/>
                <w:color w:val="auto"/>
              </w:rPr>
            </w:pPr>
          </w:p>
        </w:tc>
      </w:tr>
      <w:tr>
        <w:trPr>
          <w:trHeight w:val="223"/>
        </w:trPr>
        <w:tc>
          <w:tcPr>
            <w:tcW w:w="8380" w:type="dxa"/>
            <w:vAlign w:val="bottom"/>
            <w:gridSpan w:val="5"/>
          </w:tcPr>
          <w:p>
            <w:pPr>
              <w:ind w:left="68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1,854,009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769"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7"/>
                <w:szCs w:val="17"/>
                <w:color w:val="auto"/>
              </w:rPr>
            </w:pPr>
          </w:p>
        </w:tc>
        <w:tc>
          <w:tcPr>
            <w:tcW w:w="236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1,231,661</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180,467</w:t>
            </w:r>
          </w:p>
        </w:tc>
        <w:tc>
          <w:tcPr>
            <w:tcW w:w="0" w:type="dxa"/>
            <w:vAlign w:val="bottom"/>
          </w:tcPr>
          <w:p>
            <w:pPr>
              <w:spacing w:after="0"/>
              <w:rPr>
                <w:sz w:val="1"/>
                <w:szCs w:val="1"/>
                <w:color w:val="auto"/>
              </w:rPr>
            </w:pPr>
          </w:p>
        </w:tc>
      </w:tr>
      <w:tr>
        <w:trPr>
          <w:trHeight w:val="229"/>
        </w:trPr>
        <w:tc>
          <w:tcPr>
            <w:tcW w:w="56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46,637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60,805</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440,851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425,534</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824,201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806,127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Non-operating income,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758,776</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(146,477)</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612,299</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 used to compute 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114,107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117,658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115,298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118,968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769" w:right="3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VERISIGN,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814,888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612,299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540"/>
              <w:spacing w:after="0"/>
              <w:rPr>
                <w:sz w:val="20"/>
                <w:szCs w:val="20"/>
                <w:color w:val="auto"/>
              </w:rPr>
            </w:pPr>
            <w:r>
              <w:rPr>
                <w:rFonts w:ascii="Arial" w:cs="Arial" w:eastAsia="Arial" w:hAnsi="Arial"/>
                <w:sz w:val="18"/>
                <w:szCs w:val="18"/>
                <w:color w:val="auto"/>
              </w:rPr>
              <w:t>Depreciation of property and equipment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46,330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50,626</w:t>
            </w:r>
          </w:p>
        </w:tc>
        <w:tc>
          <w:tcPr>
            <w:tcW w:w="0" w:type="dxa"/>
            <w:vAlign w:val="bottom"/>
          </w:tcPr>
          <w:p>
            <w:pPr>
              <w:spacing w:after="0"/>
              <w:rPr>
                <w:sz w:val="1"/>
                <w:szCs w:val="1"/>
                <w:color w:val="auto"/>
              </w:rPr>
            </w:pPr>
          </w:p>
        </w:tc>
      </w:tr>
      <w:tr>
        <w:trPr>
          <w:trHeight w:val="229"/>
        </w:trPr>
        <w:tc>
          <w:tcPr>
            <w:tcW w:w="8280" w:type="dxa"/>
            <w:vAlign w:val="bottom"/>
          </w:tcPr>
          <w:p>
            <w:pPr>
              <w:ind w:left="540"/>
              <w:spacing w:after="0"/>
              <w:rPr>
                <w:sz w:val="20"/>
                <w:szCs w:val="20"/>
                <w:color w:val="auto"/>
              </w:rPr>
            </w:pPr>
            <w:r>
              <w:rPr>
                <w:rFonts w:ascii="Arial" w:cs="Arial" w:eastAsia="Arial" w:hAnsi="Arial"/>
                <w:sz w:val="18"/>
                <w:szCs w:val="18"/>
                <w:color w:val="auto"/>
              </w:rPr>
              <w:t>Amortization of discount on investments in debt securities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Gain on sale of business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30"/>
        </w:trPr>
        <w:tc>
          <w:tcPr>
            <w:tcW w:w="8280" w:type="dxa"/>
            <w:vAlign w:val="bottom"/>
          </w:tcPr>
          <w:p>
            <w:pPr>
              <w:ind w:left="5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6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280" w:type="dxa"/>
            <w:vAlign w:val="bottom"/>
          </w:tcPr>
          <w:p>
            <w:pPr>
              <w:ind w:left="66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16,191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deferred income taxes and other long-term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730,183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753,892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Arial" w:cs="Arial" w:eastAsia="Arial" w:hAnsi="Arial"/>
                <w:sz w:val="18"/>
                <w:szCs w:val="18"/>
                <w:color w:val="auto"/>
              </w:rPr>
              <w:t>Proceeds from maturities and sales of marketable securities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2,305,732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2,247,904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(2,030,521)</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(40,316)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(Payments) from sale of business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223"/>
        </w:trPr>
        <w:tc>
          <w:tcPr>
            <w:tcW w:w="8280" w:type="dxa"/>
            <w:vAlign w:val="bottom"/>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167,195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(782,583)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(764,877)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(770,303)</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366,753</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517,601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8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132,683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89,974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80"/>
      </w:cols>
      <w:pgMar w:left="360" w:top="7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2021-02-11T15:20:21Z</dcterms:created>
  <dcterms:modified xsi:type="dcterms:W3CDTF">2021-02-11T15:20:21Z</dcterms:modified>
</cp:coreProperties>
</file>