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7455.xml.htm"/>
      <w:bookmarkStart w:id="1" w:name="kswkform4_17895974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CALYS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25"/>
        <w:gridCol w:w="438"/>
        <w:gridCol w:w="834"/>
        <w:gridCol w:w="1390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72.38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297.26</w:t>
            </w:r>
          </w:p>
        </w:tc>
        <w:tc>
          <w:tcPr>
            <w:tcW w:w="13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30,886.239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of shares exempt under Rule 16b-3 as payment of tax liability to Company by delivery or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31.5691 dividend equivalent restricted stock units acquired on August 27, 2026, in respect of previously granted restricted stock units under the Company's Amended and Restated 2006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John Calys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0819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3423</Characters>
  <CharactersWithSpaces>3980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