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BERKSHIRE HATHAWAY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3555 FARNAM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VERISIGN INC/CA</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VRSN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12/31/2024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OMAHA</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NE</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68131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2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5"/>
          </w:tcPr>
          <w:p>
            <w:pPr>
              <w:jc w:val="center"/>
              <w:ind w:right="2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6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9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12/31/2024</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2"/>
              </w:rPr>
              <w:t>P</w:t>
            </w:r>
          </w:p>
        </w:tc>
        <w:tc>
          <w:tcPr>
            <w:tcW w:w="360" w:type="dxa"/>
            <w:vAlign w:val="bottom"/>
          </w:tcPr>
          <w:p>
            <w:pPr>
              <w:spacing w:after="0"/>
              <w:rPr>
                <w:sz w:val="21"/>
                <w:szCs w:val="21"/>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1,621</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60" w:type="dxa"/>
            <w:vAlign w:val="bottom"/>
            <w:vMerge w:val="restart"/>
          </w:tcPr>
          <w:p>
            <w:pPr>
              <w:jc w:val="center"/>
              <w:ind w:left="14"/>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204.8282</w:t>
            </w:r>
            <w:r>
              <w:rPr>
                <w:rFonts w:ascii="Times New Roman" w:cs="Times New Roman" w:eastAsia="Times New Roman" w:hAnsi="Times New Roman"/>
                <w:sz w:val="22"/>
                <w:szCs w:val="22"/>
                <w:color w:val="008000"/>
                <w:w w:val="97"/>
                <w:vertAlign w:val="superscript"/>
              </w:rPr>
              <w:t>(1)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13,271,457</w:t>
            </w:r>
          </w:p>
        </w:tc>
        <w:tc>
          <w:tcPr>
            <w:tcW w:w="34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01/02/2025</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3"/>
                <w:szCs w:val="13"/>
                <w:color w:val="0000FF"/>
                <w:w w:val="82"/>
              </w:rPr>
              <w:t>P</w:t>
            </w:r>
          </w:p>
        </w:tc>
        <w:tc>
          <w:tcPr>
            <w:tcW w:w="3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5,879</w:t>
            </w:r>
          </w:p>
        </w:tc>
        <w:tc>
          <w:tcPr>
            <w:tcW w:w="4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60" w:type="dxa"/>
            <w:vAlign w:val="bottom"/>
            <w:tcBorders>
              <w:top w:val="single" w:sz="8" w:color="2C2C2C"/>
            </w:tcBorders>
            <w:vMerge w:val="restart"/>
          </w:tcPr>
          <w:p>
            <w:pPr>
              <w:jc w:val="center"/>
              <w:ind w:left="14"/>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204.8429</w:t>
            </w:r>
            <w:r>
              <w:rPr>
                <w:rFonts w:ascii="Times New Roman" w:cs="Times New Roman" w:eastAsia="Times New Roman" w:hAnsi="Times New Roman"/>
                <w:sz w:val="22"/>
                <w:szCs w:val="22"/>
                <w:color w:val="008000"/>
                <w:w w:val="97"/>
                <w:vertAlign w:val="superscript"/>
              </w:rPr>
              <w:t>(4)</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13,277,336</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01/03/2025</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3"/>
                <w:szCs w:val="13"/>
                <w:color w:val="0000FF"/>
                <w:w w:val="82"/>
              </w:rPr>
              <w:t>P</w:t>
            </w:r>
          </w:p>
        </w:tc>
        <w:tc>
          <w:tcPr>
            <w:tcW w:w="3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11,744</w:t>
            </w:r>
          </w:p>
        </w:tc>
        <w:tc>
          <w:tcPr>
            <w:tcW w:w="4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60" w:type="dxa"/>
            <w:vAlign w:val="bottom"/>
            <w:tcBorders>
              <w:top w:val="single" w:sz="8" w:color="2C2C2C"/>
            </w:tcBorders>
            <w:vMerge w:val="restart"/>
          </w:tcPr>
          <w:p>
            <w:pPr>
              <w:jc w:val="center"/>
              <w:ind w:left="14"/>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204.6057</w:t>
            </w:r>
            <w:r>
              <w:rPr>
                <w:rFonts w:ascii="Times New Roman" w:cs="Times New Roman" w:eastAsia="Times New Roman" w:hAnsi="Times New Roman"/>
                <w:sz w:val="22"/>
                <w:szCs w:val="22"/>
                <w:color w:val="008000"/>
                <w:w w:val="97"/>
                <w:vertAlign w:val="superscript"/>
              </w:rPr>
              <w:t>(5)</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13,289,080</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01/03/2025</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3"/>
                <w:szCs w:val="13"/>
                <w:color w:val="0000FF"/>
                <w:w w:val="82"/>
              </w:rPr>
              <w:t>P</w:t>
            </w:r>
          </w:p>
        </w:tc>
        <w:tc>
          <w:tcPr>
            <w:tcW w:w="3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800</w:t>
            </w:r>
          </w:p>
        </w:tc>
        <w:tc>
          <w:tcPr>
            <w:tcW w:w="4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60" w:type="dxa"/>
            <w:vAlign w:val="bottom"/>
            <w:tcBorders>
              <w:top w:val="single" w:sz="8" w:color="2C2C2C"/>
            </w:tcBorders>
            <w:vMerge w:val="restart"/>
          </w:tcPr>
          <w:p>
            <w:pPr>
              <w:jc w:val="center"/>
              <w:ind w:left="14"/>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204.9429</w:t>
            </w:r>
            <w:r>
              <w:rPr>
                <w:rFonts w:ascii="Times New Roman" w:cs="Times New Roman" w:eastAsia="Times New Roman" w:hAnsi="Times New Roman"/>
                <w:sz w:val="22"/>
                <w:szCs w:val="22"/>
                <w:color w:val="008000"/>
                <w:w w:val="97"/>
                <w:vertAlign w:val="superscript"/>
              </w:rPr>
              <w:t>(6)</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13,289,880</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900" w:type="dxa"/>
            <w:vAlign w:val="bottom"/>
            <w:gridSpan w:val="17"/>
          </w:tcPr>
          <w:p>
            <w:pPr>
              <w:jc w:val="center"/>
              <w:ind w:righ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80" w:type="dxa"/>
            <w:vAlign w:val="bottom"/>
            <w:gridSpan w:val="13"/>
          </w:tcPr>
          <w:p>
            <w:pPr>
              <w:jc w:val="center"/>
              <w:ind w:left="11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3"/>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or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Expiration</w:t>
            </w:r>
          </w:p>
        </w:tc>
        <w:tc>
          <w:tcPr>
            <w:tcW w:w="1040" w:type="dxa"/>
            <w:vAlign w:val="bottom"/>
            <w:gridSpan w:val="3"/>
          </w:tcPr>
          <w:p>
            <w:pPr>
              <w:jc w:val="center"/>
              <w:ind w:right="60"/>
              <w:spacing w:after="0" w:line="133" w:lineRule="exact"/>
              <w:rPr>
                <w:sz w:val="20"/>
                <w:szCs w:val="20"/>
                <w:color w:val="auto"/>
              </w:rPr>
            </w:pPr>
            <w:r>
              <w:rPr>
                <w:rFonts w:ascii="Arial" w:cs="Arial" w:eastAsia="Arial" w:hAnsi="Arial"/>
                <w:sz w:val="12"/>
                <w:szCs w:val="12"/>
                <w:b w:val="1"/>
                <w:bCs w:val="1"/>
                <w:color w:val="auto"/>
                <w:w w:val="87"/>
              </w:rPr>
              <w:t>of</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3"/>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BERKSHIRE HATHAWAY INC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3555 FARNAM STREET</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0000FF"/>
              </w:rPr>
              <w:t>OMAHA</w:t>
            </w:r>
          </w:p>
        </w:tc>
        <w:tc>
          <w:tcPr>
            <w:tcW w:w="70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68131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3"/>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BUFFETT WARREN E</w:t>
              </w:r>
            </w:hyperlink>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-4100195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3555 FARNAM 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OMAHA</w:t>
            </w:r>
          </w:p>
        </w:tc>
        <w:tc>
          <w:tcPr>
            <w:tcW w:w="12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NE</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68131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36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-559435</wp:posOffset>
            </wp:positionV>
            <wp:extent cx="2809240" cy="638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63881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1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$204.6900 to $204.9900. The Reporting Persons undertake to provide Verisign, Inc. ("Verisign"), any security holder of Verisign, or the staff of the Securities and Exchange Commission, upon request, full information regarding the number of shares purchased at each separate price within the range set forth in footnote 1 to this Form 4.</w:t>
      </w:r>
    </w:p>
    <w:p>
      <w:pPr>
        <w:spacing w:after="0" w:line="20" w:lineRule="exact"/>
        <w:rPr>
          <w:rFonts w:ascii="Times New Roman" w:cs="Times New Roman" w:eastAsia="Times New Roman" w:hAnsi="Times New Roman"/>
          <w:sz w:val="13"/>
          <w:szCs w:val="13"/>
          <w:color w:val="008000"/>
        </w:rPr>
      </w:pPr>
    </w:p>
    <w:p>
      <w:pPr>
        <w:ind w:right="6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8,016,933 of the total reported securities are owned as of January 3, 2025 by the following subsidiary of Berkshire Hathaway Inc. ("Berkshire"): Government Employees Insurance Company (8,016,933). As Berkshire is in the chain of ownership of the subsidiary, it may be deemed presently to both beneficially own and have a pecuniary interest in all shares presently directly owned by the subsidiary. Warren E. Buffett, as the controlling stockholder of Berkshire, may be deemed presently to beneficially own, but only to the extent he has a pecuniary interest in, the shares presently owned by the subsidiary. Mr. Buffett disclaims beneficial ownership of the reported securities except to the extent of his pecuniary interest therein.</w:t>
      </w:r>
    </w:p>
    <w:p>
      <w:pPr>
        <w:spacing w:after="0" w:line="24"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5,272,947 of the total reported securities are owned as of January 3, 2025 by the following pension plans of Berkshire's subsidiaries: Berkshire Hathaway Consolidated Pension Plan (1,015,032), Precision CastParts Corp Master Trust (362,815), Scott Fetzer Collective Investment Trust (95,100) and BNSF Master Retirement Trust (3,800,000). Each of Berkshire, Mr. Buffett and these pension plans disclaims beneficial ownership in such shares.</w:t>
      </w:r>
    </w:p>
    <w:p>
      <w:pPr>
        <w:spacing w:after="0" w:line="20" w:lineRule="exact"/>
        <w:rPr>
          <w:rFonts w:ascii="Times New Roman" w:cs="Times New Roman" w:eastAsia="Times New Roman" w:hAnsi="Times New Roman"/>
          <w:sz w:val="13"/>
          <w:szCs w:val="13"/>
          <w:color w:val="008000"/>
        </w:rPr>
      </w:pPr>
    </w:p>
    <w:p>
      <w:pPr>
        <w:jc w:val="both"/>
        <w:ind w:right="1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$204.5400 to $204.9600. The Reporting Persons undertake to provide Verisign, any security holder of Verisign, or the staff of the Securities and Exchange Commission, upon request, full information regarding the number of shares purchased at each separate price within the range set forth in footnote 4 to this Form 4.</w:t>
      </w:r>
    </w:p>
    <w:p>
      <w:pPr>
        <w:spacing w:after="0" w:line="20" w:lineRule="exact"/>
        <w:rPr>
          <w:rFonts w:ascii="Times New Roman" w:cs="Times New Roman" w:eastAsia="Times New Roman" w:hAnsi="Times New Roman"/>
          <w:sz w:val="13"/>
          <w:szCs w:val="13"/>
          <w:color w:val="008000"/>
        </w:rPr>
      </w:pPr>
    </w:p>
    <w:p>
      <w:pPr>
        <w:jc w:val="both"/>
        <w:ind w:right="1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$203.8900 to $204.8800. The Reporting Persons undertake to provide Verisign, any security holder of Verisign, or the staff of the Securities and Exchange Commission, upon request, full information regarding the number of shares purchased at each separate price within the range set forth in footnote 5 to this Form 4.</w:t>
      </w:r>
    </w:p>
    <w:p>
      <w:pPr>
        <w:spacing w:after="0" w:line="20" w:lineRule="exact"/>
        <w:rPr>
          <w:rFonts w:ascii="Times New Roman" w:cs="Times New Roman" w:eastAsia="Times New Roman" w:hAnsi="Times New Roman"/>
          <w:sz w:val="13"/>
          <w:szCs w:val="13"/>
          <w:color w:val="008000"/>
        </w:rPr>
      </w:pPr>
    </w:p>
    <w:p>
      <w:pPr>
        <w:jc w:val="both"/>
        <w:ind w:right="1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$204.9000 to $204.9800. The Reporting Persons undertake to provide Verisign, any security holder of Verisign, or the staff of the Securities and Exchange Commission, upon request, full information regarding the number of shares purchased at each separate price within the range set forth in footnote 6 to this Form 4.</w:t>
      </w:r>
    </w:p>
    <w:p>
      <w:pPr>
        <w:sectPr>
          <w:pgSz w:w="11900" w:h="16838" w:orient="portrait"/>
          <w:cols w:equalWidth="0" w:num="1">
            <w:col w:w="10900"/>
          </w:cols>
          <w:pgMar w:left="500" w:top="125" w:right="49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Warren E. Buffett,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76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0763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behalf of himself and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6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other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72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39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43942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480" w:space="260"/>
            <w:col w:w="2160"/>
          </w:cols>
          <w:pgMar w:left="500" w:top="125" w:right="49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5"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3" Type="http://schemas.openxmlformats.org/officeDocument/2006/relationships/hyperlink" Target="http://www.sec.gov/cgi-bin/browse-edgar?action=getcompany&amp;CIK=0001067983" TargetMode="External"/><Relationship Id="rId14" Type="http://schemas.openxmlformats.org/officeDocument/2006/relationships/hyperlink" Target="http://www.sec.gov/cgi-bin/browse-edgar?action=getcompany&amp;CIK=0001014473" TargetMode="External"/><Relationship Id="rId16" Type="http://schemas.openxmlformats.org/officeDocument/2006/relationships/hyperlink" Target="http://www.sec.gov/cgi-bin/browse-edgar?action=getcompany&amp;CIK=00003150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2025-01-03T19:36:24Z</dcterms:created>
  <dcterms:modified xsi:type="dcterms:W3CDTF">2025-01-03T19:36:24Z</dcterms:modified>
</cp:coreProperties>
</file>